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F9E15">
      <w:pPr>
        <w:pStyle w:val="17"/>
        <w:kinsoku w:val="0"/>
        <w:overflowPunct w:val="0"/>
        <w:rPr>
          <w:rFonts w:hAnsi="宋体"/>
          <w:color w:val="auto"/>
          <w:sz w:val="36"/>
          <w:szCs w:val="36"/>
        </w:rPr>
      </w:pPr>
    </w:p>
    <w:p w14:paraId="1BF81D21">
      <w:pPr>
        <w:pStyle w:val="17"/>
        <w:kinsoku w:val="0"/>
        <w:overflowPunct w:val="0"/>
        <w:rPr>
          <w:rFonts w:hAnsi="宋体"/>
          <w:color w:val="auto"/>
          <w:sz w:val="36"/>
          <w:szCs w:val="36"/>
        </w:rPr>
      </w:pPr>
    </w:p>
    <w:p w14:paraId="4AD1E92C">
      <w:pPr>
        <w:pStyle w:val="17"/>
        <w:kinsoku w:val="0"/>
        <w:overflowPunct w:val="0"/>
        <w:spacing w:before="1"/>
        <w:rPr>
          <w:rFonts w:hAnsi="宋体"/>
          <w:color w:val="auto"/>
          <w:sz w:val="31"/>
          <w:szCs w:val="31"/>
        </w:rPr>
      </w:pPr>
    </w:p>
    <w:p w14:paraId="20085BF7">
      <w:pPr>
        <w:pStyle w:val="17"/>
        <w:kinsoku w:val="0"/>
        <w:overflowPunct w:val="0"/>
        <w:spacing w:line="242" w:lineRule="auto"/>
        <w:ind w:left="1765" w:right="1795" w:firstLine="602"/>
        <w:rPr>
          <w:rFonts w:hAnsi="宋体"/>
          <w:color w:val="auto"/>
          <w:spacing w:val="-2"/>
          <w:sz w:val="60"/>
          <w:szCs w:val="60"/>
        </w:rPr>
      </w:pPr>
      <w:r>
        <w:rPr>
          <w:rFonts w:hint="eastAsia" w:hAnsi="宋体"/>
          <w:color w:val="auto"/>
          <w:sz w:val="60"/>
          <w:szCs w:val="60"/>
        </w:rPr>
        <w:t>北京市政府采购项目</w:t>
      </w:r>
      <w:r>
        <w:rPr>
          <w:rFonts w:hAnsi="宋体"/>
          <w:color w:val="auto"/>
          <w:sz w:val="60"/>
          <w:szCs w:val="60"/>
        </w:rPr>
        <w:t xml:space="preserve"> </w:t>
      </w:r>
      <w:r>
        <w:rPr>
          <w:rFonts w:hint="eastAsia" w:hAnsi="宋体"/>
          <w:color w:val="auto"/>
          <w:spacing w:val="-2"/>
          <w:sz w:val="60"/>
          <w:szCs w:val="60"/>
        </w:rPr>
        <w:t>竞争性磋商文件示范文本</w:t>
      </w:r>
    </w:p>
    <w:p w14:paraId="66FAB7BD">
      <w:pPr>
        <w:pStyle w:val="17"/>
        <w:kinsoku w:val="0"/>
        <w:overflowPunct w:val="0"/>
        <w:spacing w:before="5"/>
        <w:ind w:left="2913" w:right="2945"/>
        <w:jc w:val="center"/>
        <w:rPr>
          <w:rFonts w:hAnsi="宋体"/>
          <w:color w:val="auto"/>
          <w:w w:val="110"/>
          <w:sz w:val="60"/>
          <w:szCs w:val="60"/>
        </w:rPr>
      </w:pPr>
      <w:r>
        <w:rPr>
          <w:rFonts w:hint="eastAsia" w:hAnsi="宋体"/>
          <w:color w:val="auto"/>
          <w:w w:val="110"/>
          <w:sz w:val="60"/>
          <w:szCs w:val="60"/>
        </w:rPr>
        <w:t>（</w:t>
      </w:r>
      <w:r>
        <w:rPr>
          <w:rFonts w:hAnsi="宋体" w:cs="Arial"/>
          <w:b/>
          <w:bCs/>
          <w:color w:val="auto"/>
          <w:w w:val="110"/>
          <w:sz w:val="60"/>
          <w:szCs w:val="60"/>
        </w:rPr>
        <w:t>202</w:t>
      </w:r>
      <w:r>
        <w:rPr>
          <w:rFonts w:hint="eastAsia" w:hAnsi="宋体" w:cs="Arial"/>
          <w:b/>
          <w:bCs/>
          <w:color w:val="auto"/>
          <w:w w:val="110"/>
          <w:sz w:val="60"/>
          <w:szCs w:val="60"/>
          <w:lang w:val="en-US" w:eastAsia="zh-CN"/>
        </w:rPr>
        <w:t>4</w:t>
      </w:r>
      <w:r>
        <w:rPr>
          <w:rFonts w:hint="eastAsia" w:hAnsi="宋体"/>
          <w:color w:val="auto"/>
          <w:w w:val="110"/>
          <w:sz w:val="60"/>
          <w:szCs w:val="60"/>
        </w:rPr>
        <w:t>年版）</w:t>
      </w:r>
    </w:p>
    <w:p w14:paraId="45B03D1D">
      <w:pPr>
        <w:pStyle w:val="17"/>
        <w:kinsoku w:val="0"/>
        <w:overflowPunct w:val="0"/>
        <w:rPr>
          <w:rFonts w:hAnsi="宋体"/>
          <w:color w:val="auto"/>
          <w:sz w:val="70"/>
          <w:szCs w:val="70"/>
        </w:rPr>
      </w:pPr>
    </w:p>
    <w:p w14:paraId="35903364">
      <w:pPr>
        <w:pStyle w:val="17"/>
        <w:kinsoku w:val="0"/>
        <w:overflowPunct w:val="0"/>
        <w:spacing w:line="360" w:lineRule="auto"/>
        <w:rPr>
          <w:rFonts w:hAnsi="宋体"/>
          <w:color w:val="auto"/>
          <w:sz w:val="94"/>
          <w:szCs w:val="94"/>
        </w:rPr>
      </w:pPr>
    </w:p>
    <w:p w14:paraId="6D7017C2">
      <w:pPr>
        <w:pStyle w:val="260"/>
        <w:spacing w:line="360" w:lineRule="auto"/>
        <w:jc w:val="both"/>
        <w:rPr>
          <w:rFonts w:hint="eastAsia" w:ascii="宋体" w:hAnsi="宋体"/>
          <w:color w:val="auto"/>
          <w:sz w:val="36"/>
          <w:szCs w:val="36"/>
          <w:lang w:eastAsia="zh-CN"/>
        </w:rPr>
      </w:pPr>
      <w:r>
        <w:rPr>
          <w:rFonts w:hint="eastAsia" w:ascii="宋体" w:hAnsi="宋体"/>
          <w:color w:val="auto"/>
          <w:sz w:val="36"/>
          <w:szCs w:val="36"/>
        </w:rPr>
        <w:t>项目名称：</w:t>
      </w:r>
      <w:r>
        <w:rPr>
          <w:rFonts w:hint="eastAsia" w:ascii="宋体" w:hAnsi="宋体"/>
          <w:color w:val="auto"/>
          <w:sz w:val="36"/>
          <w:szCs w:val="36"/>
          <w:lang w:eastAsia="zh-CN"/>
        </w:rPr>
        <w:t>2025年农村公路日常养护项目</w:t>
      </w:r>
    </w:p>
    <w:p w14:paraId="1115AA1F">
      <w:pPr>
        <w:pStyle w:val="260"/>
        <w:spacing w:line="360" w:lineRule="auto"/>
        <w:jc w:val="left"/>
        <w:rPr>
          <w:rFonts w:hint="eastAsia" w:ascii="宋体" w:hAnsi="宋体"/>
          <w:color w:val="auto"/>
          <w:spacing w:val="-6"/>
          <w:sz w:val="36"/>
          <w:szCs w:val="36"/>
          <w:highlight w:val="none"/>
        </w:rPr>
      </w:pPr>
      <w:r>
        <w:rPr>
          <w:rFonts w:hint="eastAsia" w:ascii="宋体" w:hAnsi="宋体"/>
          <w:color w:val="auto"/>
          <w:spacing w:val="-6"/>
          <w:sz w:val="36"/>
          <w:szCs w:val="36"/>
        </w:rPr>
        <w:t>项目编号</w:t>
      </w:r>
      <w:r>
        <w:rPr>
          <w:rFonts w:ascii="宋体" w:hAnsi="宋体"/>
          <w:color w:val="auto"/>
          <w:spacing w:val="-6"/>
          <w:sz w:val="36"/>
          <w:szCs w:val="36"/>
        </w:rPr>
        <w:t>/</w:t>
      </w:r>
      <w:r>
        <w:rPr>
          <w:rFonts w:hint="eastAsia" w:ascii="宋体" w:hAnsi="宋体"/>
          <w:color w:val="auto"/>
          <w:spacing w:val="-6"/>
          <w:sz w:val="36"/>
          <w:szCs w:val="36"/>
          <w:highlight w:val="none"/>
        </w:rPr>
        <w:t>包号：11011324210200018053-XM001</w:t>
      </w:r>
    </w:p>
    <w:p w14:paraId="7AF63A48">
      <w:pPr>
        <w:pStyle w:val="260"/>
        <w:spacing w:line="360" w:lineRule="auto"/>
        <w:jc w:val="left"/>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val="en-US" w:eastAsia="zh-CN"/>
        </w:rPr>
        <w:t>采购人</w:t>
      </w:r>
      <w:r>
        <w:rPr>
          <w:rFonts w:hint="eastAsia" w:ascii="宋体" w:hAnsi="宋体"/>
          <w:color w:val="auto"/>
          <w:sz w:val="36"/>
          <w:szCs w:val="36"/>
          <w:highlight w:val="none"/>
        </w:rPr>
        <w:t>名称：</w:t>
      </w:r>
      <w:r>
        <w:rPr>
          <w:rFonts w:hint="eastAsia" w:ascii="宋体" w:hAnsi="宋体"/>
          <w:color w:val="auto"/>
          <w:sz w:val="36"/>
          <w:szCs w:val="36"/>
          <w:highlight w:val="none"/>
          <w:lang w:eastAsia="zh-CN"/>
        </w:rPr>
        <w:t>北京市顺义区牛栏山镇人民政府</w:t>
      </w:r>
    </w:p>
    <w:p w14:paraId="3A6DEA56">
      <w:pPr>
        <w:pStyle w:val="260"/>
        <w:spacing w:line="360" w:lineRule="auto"/>
        <w:jc w:val="both"/>
        <w:rPr>
          <w:rFonts w:ascii="宋体" w:hAnsi="宋体"/>
          <w:color w:val="auto"/>
          <w:sz w:val="36"/>
          <w:szCs w:val="36"/>
          <w:highlight w:val="none"/>
        </w:rPr>
      </w:pPr>
      <w:r>
        <w:rPr>
          <w:rFonts w:hint="eastAsia" w:ascii="宋体" w:hAnsi="宋体"/>
          <w:color w:val="auto"/>
          <w:sz w:val="36"/>
          <w:szCs w:val="36"/>
          <w:highlight w:val="none"/>
        </w:rPr>
        <w:t>采购代理机构：北京北咨招标有限公司</w:t>
      </w:r>
    </w:p>
    <w:p w14:paraId="36581975">
      <w:pPr>
        <w:pStyle w:val="17"/>
        <w:kinsoku w:val="0"/>
        <w:overflowPunct w:val="0"/>
        <w:spacing w:before="6"/>
        <w:ind w:left="1472"/>
        <w:jc w:val="center"/>
        <w:rPr>
          <w:rFonts w:hAnsi="宋体"/>
          <w:color w:val="auto"/>
          <w:sz w:val="36"/>
          <w:szCs w:val="36"/>
        </w:rPr>
        <w:sectPr>
          <w:type w:val="continuous"/>
          <w:pgSz w:w="11910" w:h="16840"/>
          <w:pgMar w:top="1380" w:right="559" w:bottom="280" w:left="1160" w:header="720" w:footer="720" w:gutter="0"/>
          <w:pgNumType w:fmt="decimal" w:start="0"/>
          <w:cols w:space="720" w:num="1"/>
        </w:sectPr>
      </w:pPr>
    </w:p>
    <w:p w14:paraId="69C303A3">
      <w:pPr>
        <w:pStyle w:val="17"/>
        <w:kinsoku w:val="0"/>
        <w:overflowPunct w:val="0"/>
        <w:rPr>
          <w:rFonts w:hAnsi="宋体"/>
          <w:color w:val="auto"/>
          <w:sz w:val="20"/>
          <w:szCs w:val="20"/>
        </w:rPr>
      </w:pPr>
      <w:r>
        <w:rPr>
          <w:rFonts w:hAnsi="宋体"/>
          <w:color w:val="auto"/>
        </w:rPr>
        <mc:AlternateContent>
          <mc:Choice Requires="wps">
            <w:drawing>
              <wp:anchor distT="0" distB="0" distL="114300" distR="114300" simplePos="0" relativeHeight="251661312" behindDoc="1" locked="0" layoutInCell="0" allowOverlap="1">
                <wp:simplePos x="0" y="0"/>
                <wp:positionH relativeFrom="page">
                  <wp:posOffset>3152140</wp:posOffset>
                </wp:positionH>
                <wp:positionV relativeFrom="page">
                  <wp:posOffset>2948305</wp:posOffset>
                </wp:positionV>
                <wp:extent cx="3340100" cy="38100"/>
                <wp:effectExtent l="0" t="0" r="0" b="0"/>
                <wp:wrapNone/>
                <wp:docPr id="1427502484" name="Rectangle 4"/>
                <wp:cNvGraphicFramePr/>
                <a:graphic xmlns:a="http://schemas.openxmlformats.org/drawingml/2006/main">
                  <a:graphicData uri="http://schemas.microsoft.com/office/word/2010/wordprocessingShape">
                    <wps:wsp>
                      <wps:cNvSpPr>
                        <a:spLocks noChangeArrowheads="1"/>
                      </wps:cNvSpPr>
                      <wps:spPr bwMode="auto">
                        <a:xfrm>
                          <a:off x="0" y="0"/>
                          <a:ext cx="3340100" cy="38100"/>
                        </a:xfrm>
                        <a:prstGeom prst="rect">
                          <a:avLst/>
                        </a:prstGeom>
                        <a:noFill/>
                        <a:ln>
                          <a:noFill/>
                        </a:ln>
                      </wps:spPr>
                      <wps:txbx>
                        <w:txbxContent>
                          <w:p w14:paraId="090C1CC1">
                            <w:pPr>
                              <w:widowControl/>
                              <w:autoSpaceDE/>
                              <w:autoSpaceDN/>
                              <w:adjustRightInd/>
                              <w:spacing w:line="60" w:lineRule="atLeast"/>
                              <w:rPr>
                                <w:rFonts w:ascii="Times New Roman" w:cs="Times New Roman" w:eastAsiaTheme="minorEastAsia"/>
                                <w:sz w:val="24"/>
                                <w:szCs w:val="24"/>
                              </w:rPr>
                            </w:pPr>
                          </w:p>
                          <w:p w14:paraId="79257FBE">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4" o:spid="_x0000_s1026" o:spt="1" style="position:absolute;left:0pt;margin-left:248.2pt;margin-top:232.15pt;height:3pt;width:263pt;mso-position-horizontal-relative:page;mso-position-vertical-relative:page;z-index:-251655168;mso-width-relative:page;mso-height-relative:page;" filled="f" stroked="f" coordsize="21600,21600" o:allowincell="f" o:gfxdata="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7+5PtwAAAAMAQAADwAAAAAAAAABACAAAAAiAAAAZHJzL2Rv&#10;d25yZXYueG1sUEsBAhQAFAAAAAgAh07iQOoHlo39AQAAAwQAAA4AAAAAAAAAAQAgAAAAKwEAAGRy&#10;cy9lMm9Eb2MueG1sUEsFBgAAAAAGAAYAWQEAAJoFAAAAAA==&#10;">
                <v:fill on="f" focussize="0,0"/>
                <v:stroke on="f"/>
                <v:imagedata o:title=""/>
                <o:lock v:ext="edit" aspectratio="f"/>
                <v:textbox inset="0mm,0mm,0mm,0mm">
                  <w:txbxContent>
                    <w:p w14:paraId="090C1CC1">
                      <w:pPr>
                        <w:widowControl/>
                        <w:autoSpaceDE/>
                        <w:autoSpaceDN/>
                        <w:adjustRightInd/>
                        <w:spacing w:line="60" w:lineRule="atLeast"/>
                        <w:rPr>
                          <w:rFonts w:ascii="Times New Roman" w:cs="Times New Roman" w:eastAsiaTheme="minorEastAsia"/>
                          <w:sz w:val="24"/>
                          <w:szCs w:val="24"/>
                        </w:rPr>
                      </w:pPr>
                    </w:p>
                    <w:p w14:paraId="79257FBE">
                      <w:pPr>
                        <w:rPr>
                          <w:rFonts w:ascii="Times New Roman" w:cs="Times New Roman" w:eastAsiaTheme="minorEastAsia"/>
                          <w:sz w:val="24"/>
                          <w:szCs w:val="24"/>
                        </w:rPr>
                      </w:pPr>
                    </w:p>
                  </w:txbxContent>
                </v:textbox>
              </v:rect>
            </w:pict>
          </mc:Fallback>
        </mc:AlternateContent>
      </w:r>
      <w:r>
        <w:rPr>
          <w:rFonts w:hAnsi="宋体"/>
          <w:color w:val="auto"/>
        </w:rPr>
        <mc:AlternateContent>
          <mc:Choice Requires="wps">
            <w:drawing>
              <wp:anchor distT="0" distB="0" distL="114300" distR="114300" simplePos="0" relativeHeight="251662336" behindDoc="1" locked="0" layoutInCell="0" allowOverlap="1">
                <wp:simplePos x="0" y="0"/>
                <wp:positionH relativeFrom="page">
                  <wp:posOffset>2387600</wp:posOffset>
                </wp:positionH>
                <wp:positionV relativeFrom="page">
                  <wp:posOffset>3245485</wp:posOffset>
                </wp:positionV>
                <wp:extent cx="4102100" cy="38100"/>
                <wp:effectExtent l="0" t="0" r="0" b="0"/>
                <wp:wrapNone/>
                <wp:docPr id="745259690" name="Rectangle 5"/>
                <wp:cNvGraphicFramePr/>
                <a:graphic xmlns:a="http://schemas.openxmlformats.org/drawingml/2006/main">
                  <a:graphicData uri="http://schemas.microsoft.com/office/word/2010/wordprocessingShape">
                    <wps:wsp>
                      <wps:cNvSpPr>
                        <a:spLocks noChangeArrowheads="1"/>
                      </wps:cNvSpPr>
                      <wps:spPr bwMode="auto">
                        <a:xfrm>
                          <a:off x="0" y="0"/>
                          <a:ext cx="4102100" cy="38100"/>
                        </a:xfrm>
                        <a:prstGeom prst="rect">
                          <a:avLst/>
                        </a:prstGeom>
                        <a:noFill/>
                        <a:ln>
                          <a:noFill/>
                        </a:ln>
                      </wps:spPr>
                      <wps:txbx>
                        <w:txbxContent>
                          <w:p w14:paraId="5CD2F81C">
                            <w:pPr>
                              <w:widowControl/>
                              <w:autoSpaceDE/>
                              <w:autoSpaceDN/>
                              <w:adjustRightInd/>
                              <w:spacing w:line="60" w:lineRule="atLeast"/>
                              <w:rPr>
                                <w:rFonts w:ascii="Times New Roman" w:cs="Times New Roman" w:eastAsiaTheme="minorEastAsia"/>
                                <w:sz w:val="24"/>
                                <w:szCs w:val="24"/>
                              </w:rPr>
                            </w:pPr>
                          </w:p>
                          <w:p w14:paraId="6B48574F">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5" o:spid="_x0000_s1026" o:spt="1" style="position:absolute;left:0pt;margin-left:188pt;margin-top:255.55pt;height:3pt;width:323pt;mso-position-horizontal-relative:page;mso-position-vertical-relative:page;z-index:-251654144;mso-width-relative:page;mso-height-relative:page;" filled="f" stroked="f" coordsize="21600,21600" o:allowincell="f" o:gfxdata="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3ihR2wAAAAwBAAAPAAAAAAAAAAEAIAAAACIAAABkcnMvZG93&#10;bnJldi54bWxQSwECFAAUAAAACACHTuJA5duwpf0BAAACBAAADgAAAAAAAAABACAAAAAqAQAAZHJz&#10;L2Uyb0RvYy54bWxQSwUGAAAAAAYABgBZAQAAmQUAAAAA&#10;">
                <v:fill on="f" focussize="0,0"/>
                <v:stroke on="f"/>
                <v:imagedata o:title=""/>
                <o:lock v:ext="edit" aspectratio="f"/>
                <v:textbox inset="0mm,0mm,0mm,0mm">
                  <w:txbxContent>
                    <w:p w14:paraId="5CD2F81C">
                      <w:pPr>
                        <w:widowControl/>
                        <w:autoSpaceDE/>
                        <w:autoSpaceDN/>
                        <w:adjustRightInd/>
                        <w:spacing w:line="60" w:lineRule="atLeast"/>
                        <w:rPr>
                          <w:rFonts w:ascii="Times New Roman" w:cs="Times New Roman" w:eastAsiaTheme="minorEastAsia"/>
                          <w:sz w:val="24"/>
                          <w:szCs w:val="24"/>
                        </w:rPr>
                      </w:pPr>
                    </w:p>
                    <w:p w14:paraId="6B48574F">
                      <w:pPr>
                        <w:rPr>
                          <w:rFonts w:ascii="Times New Roman" w:cs="Times New Roman" w:eastAsiaTheme="minorEastAsia"/>
                          <w:sz w:val="24"/>
                          <w:szCs w:val="24"/>
                        </w:rPr>
                      </w:pPr>
                    </w:p>
                  </w:txbxContent>
                </v:textbox>
              </v:rect>
            </w:pict>
          </mc:Fallback>
        </mc:AlternateContent>
      </w:r>
      <w:r>
        <w:rPr>
          <w:rFonts w:hAnsi="宋体"/>
          <w:color w:val="auto"/>
        </w:rPr>
        <mc:AlternateContent>
          <mc:Choice Requires="wps">
            <w:drawing>
              <wp:anchor distT="0" distB="0" distL="114300" distR="114300" simplePos="0" relativeHeight="251663360" behindDoc="1" locked="0" layoutInCell="0" allowOverlap="1">
                <wp:simplePos x="0" y="0"/>
                <wp:positionH relativeFrom="page">
                  <wp:posOffset>2693670</wp:posOffset>
                </wp:positionH>
                <wp:positionV relativeFrom="page">
                  <wp:posOffset>3540760</wp:posOffset>
                </wp:positionV>
                <wp:extent cx="3771900" cy="38100"/>
                <wp:effectExtent l="0" t="0" r="0" b="0"/>
                <wp:wrapNone/>
                <wp:docPr id="1317376187" name="Rectangle 6"/>
                <wp:cNvGraphicFramePr/>
                <a:graphic xmlns:a="http://schemas.openxmlformats.org/drawingml/2006/main">
                  <a:graphicData uri="http://schemas.microsoft.com/office/word/2010/wordprocessingShape">
                    <wps:wsp>
                      <wps:cNvSpPr>
                        <a:spLocks noChangeArrowheads="1"/>
                      </wps:cNvSpPr>
                      <wps:spPr bwMode="auto">
                        <a:xfrm>
                          <a:off x="0" y="0"/>
                          <a:ext cx="3771900" cy="38100"/>
                        </a:xfrm>
                        <a:prstGeom prst="rect">
                          <a:avLst/>
                        </a:prstGeom>
                        <a:noFill/>
                        <a:ln>
                          <a:noFill/>
                        </a:ln>
                      </wps:spPr>
                      <wps:txbx>
                        <w:txbxContent>
                          <w:p w14:paraId="34D32196">
                            <w:pPr>
                              <w:widowControl/>
                              <w:autoSpaceDE/>
                              <w:autoSpaceDN/>
                              <w:adjustRightInd/>
                              <w:spacing w:line="60" w:lineRule="atLeast"/>
                              <w:rPr>
                                <w:rFonts w:ascii="Times New Roman" w:cs="Times New Roman" w:eastAsiaTheme="minorEastAsia"/>
                                <w:sz w:val="24"/>
                                <w:szCs w:val="24"/>
                              </w:rPr>
                            </w:pPr>
                          </w:p>
                          <w:p w14:paraId="37871F7C">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6" o:spid="_x0000_s1026" o:spt="1" style="position:absolute;left:0pt;margin-left:212.1pt;margin-top:278.8pt;height:3pt;width:297pt;mso-position-horizontal-relative:page;mso-position-vertical-relative:page;z-index:-251653120;mso-width-relative:page;mso-height-relative:page;" filled="f" stroked="f" coordsize="21600,21600" o:allowincell="f" o:gfxdata="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8G1PXcAAAADAEAAA8AAAAAAAAAAQAgAAAAIgAAAGRycy9k&#10;b3ducmV2LnhtbFBLAQIUABQAAAAIAIdO4kD6P0eE/gEAAAMEAAAOAAAAAAAAAAEAIAAAACsBAABk&#10;cnMvZTJvRG9jLnhtbFBLBQYAAAAABgAGAFkBAACbBQAAAAA=&#10;">
                <v:fill on="f" focussize="0,0"/>
                <v:stroke on="f"/>
                <v:imagedata o:title=""/>
                <o:lock v:ext="edit" aspectratio="f"/>
                <v:textbox inset="0mm,0mm,0mm,0mm">
                  <w:txbxContent>
                    <w:p w14:paraId="34D32196">
                      <w:pPr>
                        <w:widowControl/>
                        <w:autoSpaceDE/>
                        <w:autoSpaceDN/>
                        <w:adjustRightInd/>
                        <w:spacing w:line="60" w:lineRule="atLeast"/>
                        <w:rPr>
                          <w:rFonts w:ascii="Times New Roman" w:cs="Times New Roman" w:eastAsiaTheme="minorEastAsia"/>
                          <w:sz w:val="24"/>
                          <w:szCs w:val="24"/>
                        </w:rPr>
                      </w:pPr>
                    </w:p>
                    <w:p w14:paraId="37871F7C">
                      <w:pPr>
                        <w:rPr>
                          <w:rFonts w:ascii="Times New Roman" w:cs="Times New Roman" w:eastAsiaTheme="minorEastAsia"/>
                          <w:sz w:val="24"/>
                          <w:szCs w:val="24"/>
                        </w:rPr>
                      </w:pPr>
                    </w:p>
                  </w:txbxContent>
                </v:textbox>
              </v:rect>
            </w:pict>
          </mc:Fallback>
        </mc:AlternateContent>
      </w:r>
      <w:r>
        <w:rPr>
          <w:rFonts w:hAnsi="宋体"/>
          <w:color w:val="auto"/>
        </w:rPr>
        <mc:AlternateContent>
          <mc:Choice Requires="wps">
            <w:drawing>
              <wp:anchor distT="0" distB="0" distL="114300" distR="114300" simplePos="0" relativeHeight="251664384" behindDoc="1" locked="0" layoutInCell="0" allowOverlap="1">
                <wp:simplePos x="0" y="0"/>
                <wp:positionH relativeFrom="page">
                  <wp:posOffset>2693670</wp:posOffset>
                </wp:positionH>
                <wp:positionV relativeFrom="page">
                  <wp:posOffset>3837940</wp:posOffset>
                </wp:positionV>
                <wp:extent cx="3771900" cy="38100"/>
                <wp:effectExtent l="0" t="0" r="0" b="0"/>
                <wp:wrapNone/>
                <wp:docPr id="918481441" name="Rectangle 7"/>
                <wp:cNvGraphicFramePr/>
                <a:graphic xmlns:a="http://schemas.openxmlformats.org/drawingml/2006/main">
                  <a:graphicData uri="http://schemas.microsoft.com/office/word/2010/wordprocessingShape">
                    <wps:wsp>
                      <wps:cNvSpPr>
                        <a:spLocks noChangeArrowheads="1"/>
                      </wps:cNvSpPr>
                      <wps:spPr bwMode="auto">
                        <a:xfrm>
                          <a:off x="0" y="0"/>
                          <a:ext cx="3771900" cy="38100"/>
                        </a:xfrm>
                        <a:prstGeom prst="rect">
                          <a:avLst/>
                        </a:prstGeom>
                        <a:noFill/>
                        <a:ln>
                          <a:noFill/>
                        </a:ln>
                      </wps:spPr>
                      <wps:txbx>
                        <w:txbxContent>
                          <w:p w14:paraId="76F2F8B8">
                            <w:pPr>
                              <w:widowControl/>
                              <w:autoSpaceDE/>
                              <w:autoSpaceDN/>
                              <w:adjustRightInd/>
                              <w:spacing w:line="60" w:lineRule="atLeast"/>
                              <w:rPr>
                                <w:rFonts w:ascii="Times New Roman" w:cs="Times New Roman" w:eastAsiaTheme="minorEastAsia"/>
                                <w:sz w:val="24"/>
                                <w:szCs w:val="24"/>
                              </w:rPr>
                            </w:pPr>
                          </w:p>
                          <w:p w14:paraId="581288B1">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7" o:spid="_x0000_s1026" o:spt="1" style="position:absolute;left:0pt;margin-left:212.1pt;margin-top:302.2pt;height:3pt;width:297pt;mso-position-horizontal-relative:page;mso-position-vertical-relative:page;z-index:-251652096;mso-width-relative:page;mso-height-relative:page;" filled="f" stroked="f" coordsize="21600,21600" o:allowincell="f" o:gfxdata="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OEh8dsAAAAMAQAADwAAAAAAAAABACAAAAAiAAAAZHJzL2Rv&#10;d25yZXYueG1sUEsBAhQAFAAAAAgAh07iQDs6rvr+AQAAAgQAAA4AAAAAAAAAAQAgAAAAKgEAAGRy&#10;cy9lMm9Eb2MueG1sUEsFBgAAAAAGAAYAWQEAAJoFAAAAAA==&#10;">
                <v:fill on="f" focussize="0,0"/>
                <v:stroke on="f"/>
                <v:imagedata o:title=""/>
                <o:lock v:ext="edit" aspectratio="f"/>
                <v:textbox inset="0mm,0mm,0mm,0mm">
                  <w:txbxContent>
                    <w:p w14:paraId="76F2F8B8">
                      <w:pPr>
                        <w:widowControl/>
                        <w:autoSpaceDE/>
                        <w:autoSpaceDN/>
                        <w:adjustRightInd/>
                        <w:spacing w:line="60" w:lineRule="atLeast"/>
                        <w:rPr>
                          <w:rFonts w:ascii="Times New Roman" w:cs="Times New Roman" w:eastAsiaTheme="minorEastAsia"/>
                          <w:sz w:val="24"/>
                          <w:szCs w:val="24"/>
                        </w:rPr>
                      </w:pPr>
                    </w:p>
                    <w:p w14:paraId="581288B1">
                      <w:pPr>
                        <w:rPr>
                          <w:rFonts w:ascii="Times New Roman" w:cs="Times New Roman" w:eastAsiaTheme="minorEastAsia"/>
                          <w:sz w:val="24"/>
                          <w:szCs w:val="24"/>
                        </w:rPr>
                      </w:pPr>
                    </w:p>
                  </w:txbxContent>
                </v:textbox>
              </v:rect>
            </w:pict>
          </mc:Fallback>
        </mc:AlternateContent>
      </w:r>
    </w:p>
    <w:p w14:paraId="58C54C3C">
      <w:pPr>
        <w:pStyle w:val="17"/>
        <w:kinsoku w:val="0"/>
        <w:overflowPunct w:val="0"/>
        <w:spacing w:before="7"/>
        <w:rPr>
          <w:rFonts w:hAnsi="宋体"/>
          <w:color w:val="auto"/>
          <w:sz w:val="14"/>
          <w:szCs w:val="14"/>
        </w:rPr>
      </w:pPr>
    </w:p>
    <w:p w14:paraId="105E4670">
      <w:pPr>
        <w:pStyle w:val="17"/>
        <w:tabs>
          <w:tab w:val="left" w:pos="1442"/>
        </w:tabs>
        <w:kinsoku w:val="0"/>
        <w:overflowPunct w:val="0"/>
        <w:spacing w:before="50"/>
        <w:ind w:right="32"/>
        <w:jc w:val="center"/>
        <w:rPr>
          <w:rFonts w:hAnsi="宋体"/>
          <w:color w:val="auto"/>
          <w:sz w:val="20"/>
          <w:szCs w:val="20"/>
        </w:rPr>
      </w:pPr>
      <w:r>
        <w:rPr>
          <w:rFonts w:hAnsi="宋体"/>
          <w:color w:val="auto"/>
        </w:rPr>
        <mc:AlternateContent>
          <mc:Choice Requires="wps">
            <w:drawing>
              <wp:anchor distT="0" distB="0" distL="114300" distR="114300" simplePos="0" relativeHeight="251659264" behindDoc="1" locked="0" layoutInCell="0" allowOverlap="1">
                <wp:simplePos x="0" y="0"/>
                <wp:positionH relativeFrom="page">
                  <wp:posOffset>2387600</wp:posOffset>
                </wp:positionH>
                <wp:positionV relativeFrom="paragraph">
                  <wp:posOffset>1220470</wp:posOffset>
                </wp:positionV>
                <wp:extent cx="4203700" cy="38100"/>
                <wp:effectExtent l="0" t="0" r="0" b="0"/>
                <wp:wrapNone/>
                <wp:docPr id="525986888" name="Rectangle 8"/>
                <wp:cNvGraphicFramePr/>
                <a:graphic xmlns:a="http://schemas.openxmlformats.org/drawingml/2006/main">
                  <a:graphicData uri="http://schemas.microsoft.com/office/word/2010/wordprocessingShape">
                    <wps:wsp>
                      <wps:cNvSpPr>
                        <a:spLocks noChangeArrowheads="1"/>
                      </wps:cNvSpPr>
                      <wps:spPr bwMode="auto">
                        <a:xfrm>
                          <a:off x="0" y="0"/>
                          <a:ext cx="4203700" cy="38100"/>
                        </a:xfrm>
                        <a:prstGeom prst="rect">
                          <a:avLst/>
                        </a:prstGeom>
                        <a:noFill/>
                        <a:ln>
                          <a:noFill/>
                        </a:ln>
                      </wps:spPr>
                      <wps:txbx>
                        <w:txbxContent>
                          <w:p w14:paraId="3B23B383">
                            <w:pPr>
                              <w:widowControl/>
                              <w:autoSpaceDE/>
                              <w:autoSpaceDN/>
                              <w:adjustRightInd/>
                              <w:spacing w:line="60" w:lineRule="atLeast"/>
                              <w:rPr>
                                <w:rFonts w:ascii="Times New Roman" w:cs="Times New Roman" w:eastAsiaTheme="minorEastAsia"/>
                                <w:sz w:val="24"/>
                                <w:szCs w:val="24"/>
                              </w:rPr>
                            </w:pPr>
                          </w:p>
                          <w:p w14:paraId="409F0296">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8" o:spid="_x0000_s1026" o:spt="1" style="position:absolute;left:0pt;margin-left:188pt;margin-top:96.1pt;height:3pt;width:331pt;mso-position-horizontal-relative:page;z-index:-251657216;mso-width-relative:page;mso-height-relative:page;" filled="f" stroked="f" coordsize="21600,21600" o:allowincell="f" o:gfxdata="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r9b1R2gAAAAwBAAAPAAAAAAAAAAEAIAAAACIAAABkcnMvZG93&#10;bnJldi54bWxQSwECFAAUAAAACACHTuJANttepf4BAAACBAAADgAAAAAAAAABACAAAAApAQAAZHJz&#10;L2Uyb0RvYy54bWxQSwUGAAAAAAYABgBZAQAAmQUAAAAA&#10;">
                <v:fill on="f" focussize="0,0"/>
                <v:stroke on="f"/>
                <v:imagedata o:title=""/>
                <o:lock v:ext="edit" aspectratio="f"/>
                <v:textbox inset="0mm,0mm,0mm,0mm">
                  <w:txbxContent>
                    <w:p w14:paraId="3B23B383">
                      <w:pPr>
                        <w:widowControl/>
                        <w:autoSpaceDE/>
                        <w:autoSpaceDN/>
                        <w:adjustRightInd/>
                        <w:spacing w:line="60" w:lineRule="atLeast"/>
                        <w:rPr>
                          <w:rFonts w:ascii="Times New Roman" w:cs="Times New Roman" w:eastAsiaTheme="minorEastAsia"/>
                          <w:sz w:val="24"/>
                          <w:szCs w:val="24"/>
                        </w:rPr>
                      </w:pPr>
                    </w:p>
                    <w:p w14:paraId="409F0296">
                      <w:pPr>
                        <w:rPr>
                          <w:rFonts w:ascii="Times New Roman" w:cs="Times New Roman" w:eastAsiaTheme="minorEastAsia"/>
                          <w:sz w:val="24"/>
                          <w:szCs w:val="24"/>
                        </w:rPr>
                      </w:pPr>
                    </w:p>
                  </w:txbxContent>
                </v:textbox>
              </v:rect>
            </w:pict>
          </mc:Fallback>
        </mc:AlternateContent>
      </w:r>
      <w:r>
        <w:rPr>
          <w:rFonts w:hAnsi="宋体"/>
          <w:color w:val="auto"/>
        </w:rPr>
        <mc:AlternateContent>
          <mc:Choice Requires="wps">
            <w:drawing>
              <wp:anchor distT="0" distB="0" distL="114300" distR="114300" simplePos="0" relativeHeight="251660288" behindDoc="1" locked="0" layoutInCell="0" allowOverlap="1">
                <wp:simplePos x="0" y="0"/>
                <wp:positionH relativeFrom="page">
                  <wp:posOffset>2541270</wp:posOffset>
                </wp:positionH>
                <wp:positionV relativeFrom="paragraph">
                  <wp:posOffset>1516380</wp:posOffset>
                </wp:positionV>
                <wp:extent cx="4051300" cy="38100"/>
                <wp:effectExtent l="0" t="0" r="0" b="0"/>
                <wp:wrapNone/>
                <wp:docPr id="194010456" name="Rectangle 9"/>
                <wp:cNvGraphicFramePr/>
                <a:graphic xmlns:a="http://schemas.openxmlformats.org/drawingml/2006/main">
                  <a:graphicData uri="http://schemas.microsoft.com/office/word/2010/wordprocessingShape">
                    <wps:wsp>
                      <wps:cNvSpPr>
                        <a:spLocks noChangeArrowheads="1"/>
                      </wps:cNvSpPr>
                      <wps:spPr bwMode="auto">
                        <a:xfrm>
                          <a:off x="0" y="0"/>
                          <a:ext cx="4051300" cy="38100"/>
                        </a:xfrm>
                        <a:prstGeom prst="rect">
                          <a:avLst/>
                        </a:prstGeom>
                        <a:noFill/>
                        <a:ln>
                          <a:noFill/>
                        </a:ln>
                      </wps:spPr>
                      <wps:txbx>
                        <w:txbxContent>
                          <w:p w14:paraId="4714B071">
                            <w:pPr>
                              <w:widowControl/>
                              <w:autoSpaceDE/>
                              <w:autoSpaceDN/>
                              <w:adjustRightInd/>
                              <w:spacing w:line="60" w:lineRule="atLeast"/>
                              <w:rPr>
                                <w:rFonts w:ascii="Times New Roman" w:cs="Times New Roman" w:eastAsiaTheme="minorEastAsia"/>
                                <w:sz w:val="24"/>
                                <w:szCs w:val="24"/>
                              </w:rPr>
                            </w:pPr>
                          </w:p>
                          <w:p w14:paraId="4D06E4B9">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9" o:spid="_x0000_s1026" o:spt="1" style="position:absolute;left:0pt;margin-left:200.1pt;margin-top:119.4pt;height:3pt;width:319pt;mso-position-horizontal-relative:page;z-index:-251656192;mso-width-relative:page;mso-height-relative:page;" filled="f" stroked="f" coordsize="21600,21600" o:allowincell="f" o:gfxdata="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mlH+3aAAAADAEAAA8AAAAAAAAAAQAgAAAAIgAAAGRycy9kb3du&#10;cmV2LnhtbFBLAQIUABQAAAAIAIdO4kBEQpCc/QEAAAIEAAAOAAAAAAAAAAEAIAAAACkBAABkcnMv&#10;ZTJvRG9jLnhtbFBLBQYAAAAABgAGAFkBAACYBQAAAAA=&#10;">
                <v:fill on="f" focussize="0,0"/>
                <v:stroke on="f"/>
                <v:imagedata o:title=""/>
                <o:lock v:ext="edit" aspectratio="f"/>
                <v:textbox inset="0mm,0mm,0mm,0mm">
                  <w:txbxContent>
                    <w:p w14:paraId="4714B071">
                      <w:pPr>
                        <w:widowControl/>
                        <w:autoSpaceDE/>
                        <w:autoSpaceDN/>
                        <w:adjustRightInd/>
                        <w:spacing w:line="60" w:lineRule="atLeast"/>
                        <w:rPr>
                          <w:rFonts w:ascii="Times New Roman" w:cs="Times New Roman" w:eastAsiaTheme="minorEastAsia"/>
                          <w:sz w:val="24"/>
                          <w:szCs w:val="24"/>
                        </w:rPr>
                      </w:pPr>
                    </w:p>
                    <w:p w14:paraId="4D06E4B9">
                      <w:pPr>
                        <w:rPr>
                          <w:rFonts w:ascii="Times New Roman" w:cs="Times New Roman" w:eastAsiaTheme="minorEastAsia"/>
                          <w:sz w:val="24"/>
                          <w:szCs w:val="24"/>
                        </w:rPr>
                      </w:pPr>
                    </w:p>
                  </w:txbxContent>
                </v:textbox>
              </v:rect>
            </w:pict>
          </mc:Fallback>
        </mc:AlternateContent>
      </w:r>
      <w:bookmarkStart w:id="0" w:name="_bookmark0"/>
      <w:bookmarkEnd w:id="0"/>
    </w:p>
    <w:p w14:paraId="15D15057">
      <w:pPr>
        <w:pStyle w:val="17"/>
        <w:kinsoku w:val="0"/>
        <w:overflowPunct w:val="0"/>
        <w:rPr>
          <w:rFonts w:hAnsi="宋体"/>
          <w:color w:val="auto"/>
          <w:sz w:val="20"/>
          <w:szCs w:val="20"/>
        </w:rPr>
      </w:pPr>
    </w:p>
    <w:sdt>
      <w:sdtPr>
        <w:rPr>
          <w:rFonts w:ascii="宋体" w:hAnsi="宋体" w:eastAsia="宋体" w:cs="宋体"/>
          <w:color w:val="auto"/>
          <w:sz w:val="22"/>
          <w:szCs w:val="22"/>
          <w:lang w:val="zh-CN"/>
        </w:rPr>
        <w:id w:val="1413507597"/>
        <w:docPartObj>
          <w:docPartGallery w:val="Table of Contents"/>
          <w:docPartUnique/>
        </w:docPartObj>
      </w:sdtPr>
      <w:sdtEndPr>
        <w:rPr>
          <w:rFonts w:ascii="宋体" w:hAnsi="宋体" w:eastAsia="宋体" w:cs="宋体"/>
          <w:b/>
          <w:bCs/>
          <w:color w:val="auto"/>
          <w:sz w:val="22"/>
          <w:szCs w:val="22"/>
          <w:lang w:val="zh-CN"/>
        </w:rPr>
      </w:sdtEndPr>
      <w:sdtContent>
        <w:p w14:paraId="3D740CFC">
          <w:pPr>
            <w:pStyle w:val="268"/>
            <w:jc w:val="center"/>
            <w:rPr>
              <w:rFonts w:ascii="宋体" w:hAnsi="宋体" w:eastAsia="宋体"/>
              <w:b/>
              <w:bCs/>
              <w:color w:val="auto"/>
              <w:sz w:val="44"/>
              <w:szCs w:val="44"/>
              <w:lang w:val="zh-CN"/>
            </w:rPr>
          </w:pPr>
          <w:r>
            <w:rPr>
              <w:rFonts w:ascii="宋体" w:hAnsi="宋体" w:eastAsia="宋体"/>
              <w:b/>
              <w:bCs/>
              <w:color w:val="auto"/>
              <w:sz w:val="44"/>
              <w:szCs w:val="44"/>
              <w:lang w:val="zh-CN"/>
            </w:rPr>
            <w:t>目</w:t>
          </w:r>
          <w:r>
            <w:rPr>
              <w:rFonts w:hint="eastAsia" w:ascii="宋体" w:hAnsi="宋体" w:eastAsia="宋体"/>
              <w:b/>
              <w:bCs/>
              <w:color w:val="auto"/>
              <w:sz w:val="44"/>
              <w:szCs w:val="44"/>
              <w:lang w:val="zh-CN"/>
            </w:rPr>
            <w:t xml:space="preserve"> </w:t>
          </w:r>
          <w:r>
            <w:rPr>
              <w:rFonts w:ascii="宋体" w:hAnsi="宋体" w:eastAsia="宋体"/>
              <w:b/>
              <w:bCs/>
              <w:color w:val="auto"/>
              <w:sz w:val="44"/>
              <w:szCs w:val="44"/>
              <w:lang w:val="zh-CN"/>
            </w:rPr>
            <w:t>录</w:t>
          </w:r>
        </w:p>
        <w:p w14:paraId="51EC36DA">
          <w:pPr>
            <w:rPr>
              <w:rFonts w:hAnsi="宋体"/>
              <w:color w:val="auto"/>
              <w:lang w:val="zh-CN"/>
            </w:rPr>
          </w:pPr>
        </w:p>
        <w:p w14:paraId="1A3A6F06">
          <w:pPr>
            <w:pStyle w:val="31"/>
            <w:spacing w:line="480" w:lineRule="auto"/>
            <w:rPr>
              <w:rFonts w:cstheme="minorBidi"/>
              <w:b w:val="0"/>
              <w:bCs/>
              <w:color w:val="auto"/>
              <w:sz w:val="28"/>
              <w:szCs w:val="28"/>
              <w14:ligatures w14:val="standardContextual"/>
            </w:rPr>
          </w:pPr>
          <w:r>
            <w:rPr>
              <w:color w:val="auto"/>
            </w:rPr>
            <w:fldChar w:fldCharType="begin"/>
          </w:r>
          <w:r>
            <w:rPr>
              <w:color w:val="auto"/>
            </w:rPr>
            <w:instrText xml:space="preserve"> TOC \o "1-3" \h \z \u </w:instrText>
          </w:r>
          <w:r>
            <w:rPr>
              <w:color w:val="auto"/>
            </w:rPr>
            <w:fldChar w:fldCharType="separate"/>
          </w:r>
          <w:r>
            <w:rPr>
              <w:color w:val="auto"/>
            </w:rPr>
            <w:fldChar w:fldCharType="begin"/>
          </w:r>
          <w:r>
            <w:rPr>
              <w:color w:val="auto"/>
            </w:rPr>
            <w:instrText xml:space="preserve"> HYPERLINK \l "_Toc149147695" </w:instrText>
          </w:r>
          <w:r>
            <w:rPr>
              <w:color w:val="auto"/>
            </w:rPr>
            <w:fldChar w:fldCharType="separate"/>
          </w:r>
          <w:r>
            <w:rPr>
              <w:rStyle w:val="54"/>
              <w:b w:val="0"/>
              <w:bCs/>
              <w:color w:val="auto"/>
              <w:sz w:val="28"/>
              <w:szCs w:val="28"/>
            </w:rPr>
            <w:t>第一章</w:t>
          </w:r>
          <w:r>
            <w:rPr>
              <w:rFonts w:cstheme="minorBidi"/>
              <w:b w:val="0"/>
              <w:bCs/>
              <w:color w:val="auto"/>
              <w:sz w:val="28"/>
              <w:szCs w:val="28"/>
              <w14:ligatures w14:val="standardContextual"/>
            </w:rPr>
            <w:tab/>
          </w:r>
          <w:r>
            <w:rPr>
              <w:rStyle w:val="54"/>
              <w:b w:val="0"/>
              <w:bCs/>
              <w:color w:val="auto"/>
              <w:sz w:val="28"/>
              <w:szCs w:val="28"/>
            </w:rPr>
            <w:t>采购邀请</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_Toc149147695 \h </w:instrText>
          </w:r>
          <w:r>
            <w:rPr>
              <w:b w:val="0"/>
              <w:bCs/>
              <w:color w:val="auto"/>
              <w:sz w:val="28"/>
              <w:szCs w:val="28"/>
            </w:rPr>
            <w:fldChar w:fldCharType="separate"/>
          </w:r>
          <w:r>
            <w:rPr>
              <w:b w:val="0"/>
              <w:bCs/>
              <w:color w:val="auto"/>
              <w:sz w:val="28"/>
              <w:szCs w:val="28"/>
            </w:rPr>
            <w:t>2</w:t>
          </w:r>
          <w:r>
            <w:rPr>
              <w:b w:val="0"/>
              <w:bCs/>
              <w:color w:val="auto"/>
              <w:sz w:val="28"/>
              <w:szCs w:val="28"/>
            </w:rPr>
            <w:fldChar w:fldCharType="end"/>
          </w:r>
          <w:r>
            <w:rPr>
              <w:b w:val="0"/>
              <w:bCs/>
              <w:color w:val="auto"/>
              <w:sz w:val="28"/>
              <w:szCs w:val="28"/>
            </w:rPr>
            <w:fldChar w:fldCharType="end"/>
          </w:r>
        </w:p>
        <w:p w14:paraId="0E3A87F6">
          <w:pPr>
            <w:pStyle w:val="31"/>
            <w:spacing w:line="480" w:lineRule="auto"/>
            <w:rPr>
              <w:rFonts w:cstheme="minorBidi"/>
              <w:b w:val="0"/>
              <w:bCs/>
              <w:color w:val="auto"/>
              <w:sz w:val="28"/>
              <w:szCs w:val="28"/>
              <w14:ligatures w14:val="standardContextual"/>
            </w:rPr>
          </w:pPr>
          <w:r>
            <w:rPr>
              <w:color w:val="auto"/>
            </w:rPr>
            <w:fldChar w:fldCharType="begin"/>
          </w:r>
          <w:r>
            <w:rPr>
              <w:color w:val="auto"/>
            </w:rPr>
            <w:instrText xml:space="preserve"> HYPERLINK \l "_Toc149147696" </w:instrText>
          </w:r>
          <w:r>
            <w:rPr>
              <w:color w:val="auto"/>
            </w:rPr>
            <w:fldChar w:fldCharType="separate"/>
          </w:r>
          <w:r>
            <w:rPr>
              <w:rStyle w:val="54"/>
              <w:b w:val="0"/>
              <w:bCs/>
              <w:color w:val="auto"/>
              <w:sz w:val="28"/>
              <w:szCs w:val="28"/>
            </w:rPr>
            <w:t>第二章</w:t>
          </w:r>
          <w:r>
            <w:rPr>
              <w:rFonts w:cstheme="minorBidi"/>
              <w:b w:val="0"/>
              <w:bCs/>
              <w:color w:val="auto"/>
              <w:sz w:val="28"/>
              <w:szCs w:val="28"/>
              <w14:ligatures w14:val="standardContextual"/>
            </w:rPr>
            <w:tab/>
          </w:r>
          <w:r>
            <w:rPr>
              <w:rStyle w:val="54"/>
              <w:b w:val="0"/>
              <w:bCs/>
              <w:color w:val="auto"/>
              <w:sz w:val="28"/>
              <w:szCs w:val="28"/>
            </w:rPr>
            <w:t>供应商须知</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_Toc149147696 \h </w:instrText>
          </w:r>
          <w:r>
            <w:rPr>
              <w:b w:val="0"/>
              <w:bCs/>
              <w:color w:val="auto"/>
              <w:sz w:val="28"/>
              <w:szCs w:val="28"/>
            </w:rPr>
            <w:fldChar w:fldCharType="separate"/>
          </w:r>
          <w:r>
            <w:rPr>
              <w:b w:val="0"/>
              <w:bCs/>
              <w:color w:val="auto"/>
              <w:sz w:val="28"/>
              <w:szCs w:val="28"/>
            </w:rPr>
            <w:t>7</w:t>
          </w:r>
          <w:r>
            <w:rPr>
              <w:b w:val="0"/>
              <w:bCs/>
              <w:color w:val="auto"/>
              <w:sz w:val="28"/>
              <w:szCs w:val="28"/>
            </w:rPr>
            <w:fldChar w:fldCharType="end"/>
          </w:r>
          <w:r>
            <w:rPr>
              <w:b w:val="0"/>
              <w:bCs/>
              <w:color w:val="auto"/>
              <w:sz w:val="28"/>
              <w:szCs w:val="28"/>
            </w:rPr>
            <w:fldChar w:fldCharType="end"/>
          </w:r>
        </w:p>
        <w:p w14:paraId="7068FA27">
          <w:pPr>
            <w:pStyle w:val="31"/>
            <w:spacing w:line="480" w:lineRule="auto"/>
            <w:rPr>
              <w:rFonts w:cstheme="minorBidi"/>
              <w:b w:val="0"/>
              <w:bCs/>
              <w:color w:val="auto"/>
              <w:sz w:val="28"/>
              <w:szCs w:val="28"/>
              <w14:ligatures w14:val="standardContextual"/>
            </w:rPr>
          </w:pPr>
          <w:r>
            <w:rPr>
              <w:color w:val="auto"/>
            </w:rPr>
            <w:fldChar w:fldCharType="begin"/>
          </w:r>
          <w:r>
            <w:rPr>
              <w:color w:val="auto"/>
            </w:rPr>
            <w:instrText xml:space="preserve"> HYPERLINK \l "_Toc149147704" </w:instrText>
          </w:r>
          <w:r>
            <w:rPr>
              <w:color w:val="auto"/>
            </w:rPr>
            <w:fldChar w:fldCharType="separate"/>
          </w:r>
          <w:r>
            <w:rPr>
              <w:rStyle w:val="54"/>
              <w:b w:val="0"/>
              <w:bCs/>
              <w:color w:val="auto"/>
              <w:sz w:val="28"/>
              <w:szCs w:val="28"/>
            </w:rPr>
            <w:t>第三章</w:t>
          </w:r>
          <w:r>
            <w:rPr>
              <w:rFonts w:cstheme="minorBidi"/>
              <w:b w:val="0"/>
              <w:bCs/>
              <w:color w:val="auto"/>
              <w:sz w:val="28"/>
              <w:szCs w:val="28"/>
              <w14:ligatures w14:val="standardContextual"/>
            </w:rPr>
            <w:tab/>
          </w:r>
          <w:r>
            <w:rPr>
              <w:rStyle w:val="54"/>
              <w:b w:val="0"/>
              <w:bCs/>
              <w:color w:val="auto"/>
              <w:sz w:val="28"/>
              <w:szCs w:val="28"/>
            </w:rPr>
            <w:t>评审方法和评审标准</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_Toc149147704 \h </w:instrText>
          </w:r>
          <w:r>
            <w:rPr>
              <w:b w:val="0"/>
              <w:bCs/>
              <w:color w:val="auto"/>
              <w:sz w:val="28"/>
              <w:szCs w:val="28"/>
            </w:rPr>
            <w:fldChar w:fldCharType="separate"/>
          </w:r>
          <w:r>
            <w:rPr>
              <w:b w:val="0"/>
              <w:bCs/>
              <w:color w:val="auto"/>
              <w:sz w:val="28"/>
              <w:szCs w:val="28"/>
            </w:rPr>
            <w:t>22</w:t>
          </w:r>
          <w:r>
            <w:rPr>
              <w:b w:val="0"/>
              <w:bCs/>
              <w:color w:val="auto"/>
              <w:sz w:val="28"/>
              <w:szCs w:val="28"/>
            </w:rPr>
            <w:fldChar w:fldCharType="end"/>
          </w:r>
          <w:r>
            <w:rPr>
              <w:b w:val="0"/>
              <w:bCs/>
              <w:color w:val="auto"/>
              <w:sz w:val="28"/>
              <w:szCs w:val="28"/>
            </w:rPr>
            <w:fldChar w:fldCharType="end"/>
          </w:r>
        </w:p>
        <w:p w14:paraId="3651E268">
          <w:pPr>
            <w:pStyle w:val="31"/>
            <w:spacing w:line="480" w:lineRule="auto"/>
            <w:rPr>
              <w:rFonts w:cstheme="minorBidi"/>
              <w:b w:val="0"/>
              <w:bCs/>
              <w:color w:val="auto"/>
              <w:sz w:val="28"/>
              <w:szCs w:val="28"/>
              <w14:ligatures w14:val="standardContextual"/>
            </w:rPr>
          </w:pPr>
          <w:r>
            <w:rPr>
              <w:color w:val="auto"/>
            </w:rPr>
            <w:fldChar w:fldCharType="begin"/>
          </w:r>
          <w:r>
            <w:rPr>
              <w:color w:val="auto"/>
            </w:rPr>
            <w:instrText xml:space="preserve"> HYPERLINK \l "_Toc149147705" </w:instrText>
          </w:r>
          <w:r>
            <w:rPr>
              <w:color w:val="auto"/>
            </w:rPr>
            <w:fldChar w:fldCharType="separate"/>
          </w:r>
          <w:r>
            <w:rPr>
              <w:rStyle w:val="54"/>
              <w:b w:val="0"/>
              <w:bCs/>
              <w:color w:val="auto"/>
              <w:sz w:val="28"/>
              <w:szCs w:val="28"/>
            </w:rPr>
            <w:t>第四章</w:t>
          </w:r>
          <w:r>
            <w:rPr>
              <w:rFonts w:cstheme="minorBidi"/>
              <w:b w:val="0"/>
              <w:bCs/>
              <w:color w:val="auto"/>
              <w:sz w:val="28"/>
              <w:szCs w:val="28"/>
              <w14:ligatures w14:val="standardContextual"/>
            </w:rPr>
            <w:tab/>
          </w:r>
          <w:r>
            <w:rPr>
              <w:rStyle w:val="54"/>
              <w:b w:val="0"/>
              <w:bCs/>
              <w:color w:val="auto"/>
              <w:sz w:val="28"/>
              <w:szCs w:val="28"/>
            </w:rPr>
            <w:t>采购需求</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_Toc149147705 \h </w:instrText>
          </w:r>
          <w:r>
            <w:rPr>
              <w:b w:val="0"/>
              <w:bCs/>
              <w:color w:val="auto"/>
              <w:sz w:val="28"/>
              <w:szCs w:val="28"/>
            </w:rPr>
            <w:fldChar w:fldCharType="separate"/>
          </w:r>
          <w:r>
            <w:rPr>
              <w:b w:val="0"/>
              <w:bCs/>
              <w:color w:val="auto"/>
              <w:sz w:val="28"/>
              <w:szCs w:val="28"/>
            </w:rPr>
            <w:t>33</w:t>
          </w:r>
          <w:r>
            <w:rPr>
              <w:b w:val="0"/>
              <w:bCs/>
              <w:color w:val="auto"/>
              <w:sz w:val="28"/>
              <w:szCs w:val="28"/>
            </w:rPr>
            <w:fldChar w:fldCharType="end"/>
          </w:r>
          <w:r>
            <w:rPr>
              <w:b w:val="0"/>
              <w:bCs/>
              <w:color w:val="auto"/>
              <w:sz w:val="28"/>
              <w:szCs w:val="28"/>
            </w:rPr>
            <w:fldChar w:fldCharType="end"/>
          </w:r>
        </w:p>
        <w:p w14:paraId="7E082A0E">
          <w:pPr>
            <w:pStyle w:val="31"/>
            <w:spacing w:line="480" w:lineRule="auto"/>
            <w:rPr>
              <w:rFonts w:cstheme="minorBidi"/>
              <w:b w:val="0"/>
              <w:bCs/>
              <w:color w:val="auto"/>
              <w:sz w:val="28"/>
              <w:szCs w:val="28"/>
              <w14:ligatures w14:val="standardContextual"/>
            </w:rPr>
          </w:pPr>
          <w:r>
            <w:rPr>
              <w:color w:val="auto"/>
            </w:rPr>
            <w:fldChar w:fldCharType="begin"/>
          </w:r>
          <w:r>
            <w:rPr>
              <w:color w:val="auto"/>
            </w:rPr>
            <w:instrText xml:space="preserve"> HYPERLINK \l "_Toc149147706" </w:instrText>
          </w:r>
          <w:r>
            <w:rPr>
              <w:color w:val="auto"/>
            </w:rPr>
            <w:fldChar w:fldCharType="separate"/>
          </w:r>
          <w:r>
            <w:rPr>
              <w:rStyle w:val="54"/>
              <w:b w:val="0"/>
              <w:bCs/>
              <w:color w:val="auto"/>
              <w:sz w:val="28"/>
              <w:szCs w:val="28"/>
            </w:rPr>
            <w:t>第五章</w:t>
          </w:r>
          <w:r>
            <w:rPr>
              <w:rFonts w:cstheme="minorBidi"/>
              <w:b w:val="0"/>
              <w:bCs/>
              <w:color w:val="auto"/>
              <w:sz w:val="28"/>
              <w:szCs w:val="28"/>
              <w14:ligatures w14:val="standardContextual"/>
            </w:rPr>
            <w:tab/>
          </w:r>
          <w:r>
            <w:rPr>
              <w:rStyle w:val="54"/>
              <w:b w:val="0"/>
              <w:bCs/>
              <w:color w:val="auto"/>
              <w:sz w:val="28"/>
              <w:szCs w:val="28"/>
            </w:rPr>
            <w:t>合同草案条款</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_Toc149147706 \h </w:instrText>
          </w:r>
          <w:r>
            <w:rPr>
              <w:b w:val="0"/>
              <w:bCs/>
              <w:color w:val="auto"/>
              <w:sz w:val="28"/>
              <w:szCs w:val="28"/>
            </w:rPr>
            <w:fldChar w:fldCharType="separate"/>
          </w:r>
          <w:r>
            <w:rPr>
              <w:b w:val="0"/>
              <w:bCs/>
              <w:color w:val="auto"/>
              <w:sz w:val="28"/>
              <w:szCs w:val="28"/>
            </w:rPr>
            <w:t>42</w:t>
          </w:r>
          <w:r>
            <w:rPr>
              <w:b w:val="0"/>
              <w:bCs/>
              <w:color w:val="auto"/>
              <w:sz w:val="28"/>
              <w:szCs w:val="28"/>
            </w:rPr>
            <w:fldChar w:fldCharType="end"/>
          </w:r>
          <w:r>
            <w:rPr>
              <w:b w:val="0"/>
              <w:bCs/>
              <w:color w:val="auto"/>
              <w:sz w:val="28"/>
              <w:szCs w:val="28"/>
            </w:rPr>
            <w:fldChar w:fldCharType="end"/>
          </w:r>
        </w:p>
        <w:p w14:paraId="1030DACA">
          <w:pPr>
            <w:pStyle w:val="31"/>
            <w:spacing w:line="480" w:lineRule="auto"/>
            <w:rPr>
              <w:rFonts w:cstheme="minorBidi"/>
              <w:b w:val="0"/>
              <w:bCs/>
              <w:color w:val="auto"/>
              <w:sz w:val="28"/>
              <w:szCs w:val="28"/>
              <w14:ligatures w14:val="standardContextual"/>
            </w:rPr>
          </w:pPr>
          <w:r>
            <w:rPr>
              <w:color w:val="auto"/>
            </w:rPr>
            <w:fldChar w:fldCharType="begin"/>
          </w:r>
          <w:r>
            <w:rPr>
              <w:color w:val="auto"/>
            </w:rPr>
            <w:instrText xml:space="preserve"> HYPERLINK \l "_Toc149147716" </w:instrText>
          </w:r>
          <w:r>
            <w:rPr>
              <w:color w:val="auto"/>
            </w:rPr>
            <w:fldChar w:fldCharType="separate"/>
          </w:r>
          <w:r>
            <w:rPr>
              <w:rStyle w:val="54"/>
              <w:b w:val="0"/>
              <w:bCs/>
              <w:color w:val="auto"/>
              <w:sz w:val="28"/>
              <w:szCs w:val="28"/>
            </w:rPr>
            <w:t>第六章</w:t>
          </w:r>
          <w:r>
            <w:rPr>
              <w:rFonts w:cstheme="minorBidi"/>
              <w:b w:val="0"/>
              <w:bCs/>
              <w:color w:val="auto"/>
              <w:sz w:val="28"/>
              <w:szCs w:val="28"/>
              <w14:ligatures w14:val="standardContextual"/>
            </w:rPr>
            <w:tab/>
          </w:r>
          <w:r>
            <w:rPr>
              <w:rStyle w:val="54"/>
              <w:b w:val="0"/>
              <w:bCs/>
              <w:color w:val="auto"/>
              <w:sz w:val="28"/>
              <w:szCs w:val="28"/>
            </w:rPr>
            <w:t>响应文件格式</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_Toc149147716 \h </w:instrText>
          </w:r>
          <w:r>
            <w:rPr>
              <w:b w:val="0"/>
              <w:bCs/>
              <w:color w:val="auto"/>
              <w:sz w:val="28"/>
              <w:szCs w:val="28"/>
            </w:rPr>
            <w:fldChar w:fldCharType="separate"/>
          </w:r>
          <w:r>
            <w:rPr>
              <w:b w:val="0"/>
              <w:bCs/>
              <w:color w:val="auto"/>
              <w:sz w:val="28"/>
              <w:szCs w:val="28"/>
            </w:rPr>
            <w:t>43</w:t>
          </w:r>
          <w:r>
            <w:rPr>
              <w:b w:val="0"/>
              <w:bCs/>
              <w:color w:val="auto"/>
              <w:sz w:val="28"/>
              <w:szCs w:val="28"/>
            </w:rPr>
            <w:fldChar w:fldCharType="end"/>
          </w:r>
          <w:r>
            <w:rPr>
              <w:b w:val="0"/>
              <w:bCs/>
              <w:color w:val="auto"/>
              <w:sz w:val="28"/>
              <w:szCs w:val="28"/>
            </w:rPr>
            <w:fldChar w:fldCharType="end"/>
          </w:r>
        </w:p>
        <w:p w14:paraId="08BB6D14">
          <w:pPr>
            <w:rPr>
              <w:rFonts w:hAnsi="宋体"/>
              <w:color w:val="auto"/>
            </w:rPr>
          </w:pPr>
          <w:r>
            <w:rPr>
              <w:rFonts w:hAnsi="宋体"/>
              <w:b/>
              <w:bCs/>
              <w:color w:val="auto"/>
              <w:lang w:val="zh-CN"/>
            </w:rPr>
            <w:fldChar w:fldCharType="end"/>
          </w:r>
        </w:p>
      </w:sdtContent>
    </w:sdt>
    <w:p w14:paraId="48C84631">
      <w:pPr>
        <w:pStyle w:val="17"/>
        <w:kinsoku w:val="0"/>
        <w:overflowPunct w:val="0"/>
        <w:rPr>
          <w:rFonts w:hAnsi="宋体"/>
          <w:color w:val="auto"/>
          <w:sz w:val="20"/>
          <w:szCs w:val="20"/>
        </w:rPr>
      </w:pPr>
    </w:p>
    <w:p w14:paraId="69464211">
      <w:pPr>
        <w:widowControl/>
        <w:autoSpaceDE/>
        <w:autoSpaceDN/>
        <w:adjustRightInd/>
        <w:rPr>
          <w:rFonts w:hAnsi="宋体"/>
          <w:color w:val="auto"/>
          <w:sz w:val="36"/>
          <w:szCs w:val="36"/>
        </w:rPr>
      </w:pPr>
      <w:bookmarkStart w:id="1" w:name="_Toc149147540"/>
      <w:r>
        <w:rPr>
          <w:rFonts w:hAnsi="宋体"/>
          <w:color w:val="auto"/>
        </w:rPr>
        <w:br w:type="page"/>
      </w:r>
    </w:p>
    <w:p w14:paraId="0D9CC165">
      <w:pPr>
        <w:pStyle w:val="2"/>
        <w:tabs>
          <w:tab w:val="left" w:pos="1622"/>
        </w:tabs>
        <w:kinsoku w:val="0"/>
        <w:overflowPunct w:val="0"/>
        <w:ind w:right="29"/>
        <w:rPr>
          <w:rFonts w:hAnsi="宋体"/>
          <w:color w:val="auto"/>
        </w:rPr>
      </w:pPr>
      <w:bookmarkStart w:id="2" w:name="_Toc149147695"/>
      <w:r>
        <w:rPr>
          <w:rFonts w:hint="eastAsia" w:hAnsi="宋体"/>
          <w:color w:val="auto"/>
        </w:rPr>
        <w:t>第一章</w:t>
      </w:r>
      <w:r>
        <w:rPr>
          <w:rFonts w:hAnsi="宋体"/>
          <w:color w:val="auto"/>
        </w:rPr>
        <w:tab/>
      </w:r>
      <w:r>
        <w:rPr>
          <w:rFonts w:hint="eastAsia" w:hAnsi="宋体"/>
          <w:color w:val="auto"/>
        </w:rPr>
        <w:t>采购邀请</w:t>
      </w:r>
      <w:bookmarkEnd w:id="1"/>
      <w:bookmarkEnd w:id="2"/>
    </w:p>
    <w:p w14:paraId="7C161914">
      <w:pPr>
        <w:pStyle w:val="17"/>
        <w:kinsoku w:val="0"/>
        <w:overflowPunct w:val="0"/>
        <w:spacing w:line="360" w:lineRule="auto"/>
        <w:ind w:left="541"/>
        <w:rPr>
          <w:rFonts w:hAnsi="宋体"/>
          <w:b/>
          <w:bCs/>
          <w:color w:val="auto"/>
        </w:rPr>
      </w:pPr>
      <w:r>
        <w:rPr>
          <w:rFonts w:hint="eastAsia" w:hAnsi="宋体"/>
          <w:b/>
          <w:bCs/>
          <w:color w:val="auto"/>
        </w:rPr>
        <w:t>一、项目基本情况</w:t>
      </w:r>
    </w:p>
    <w:p w14:paraId="10AC5DDC">
      <w:pPr>
        <w:pStyle w:val="69"/>
        <w:tabs>
          <w:tab w:val="left" w:pos="1251"/>
          <w:tab w:val="left" w:pos="4062"/>
        </w:tabs>
        <w:kinsoku w:val="0"/>
        <w:overflowPunct w:val="0"/>
        <w:spacing w:before="161" w:line="360" w:lineRule="auto"/>
        <w:ind w:left="0" w:firstLine="952" w:firstLineChars="400"/>
        <w:rPr>
          <w:rFonts w:hint="eastAsia" w:hAnsi="宋体" w:eastAsia="宋体" w:cs="Times New Roman"/>
          <w:color w:val="auto"/>
          <w:lang w:eastAsia="zh-CN"/>
        </w:rPr>
      </w:pPr>
      <w:r>
        <w:rPr>
          <w:rFonts w:hint="eastAsia" w:hAnsi="宋体"/>
          <w:color w:val="auto"/>
          <w:spacing w:val="-1"/>
        </w:rPr>
        <w:t>1. 项</w:t>
      </w:r>
      <w:r>
        <w:rPr>
          <w:rFonts w:hint="eastAsia" w:hAnsi="宋体"/>
          <w:color w:val="auto"/>
        </w:rPr>
        <w:t>目编号：11011324210200018053-XM001</w:t>
      </w:r>
    </w:p>
    <w:p w14:paraId="25650CA2">
      <w:pPr>
        <w:pStyle w:val="69"/>
        <w:tabs>
          <w:tab w:val="left" w:pos="1251"/>
        </w:tabs>
        <w:kinsoku w:val="0"/>
        <w:overflowPunct w:val="0"/>
        <w:spacing w:before="158" w:line="360" w:lineRule="auto"/>
        <w:ind w:left="0" w:firstLine="960" w:firstLineChars="400"/>
        <w:rPr>
          <w:rFonts w:hint="eastAsia" w:hAnsi="宋体"/>
          <w:color w:val="auto"/>
          <w:u w:val="single"/>
          <w:lang w:eastAsia="zh-CN"/>
        </w:rPr>
      </w:pPr>
      <w:r>
        <w:rPr>
          <w:rFonts w:hint="eastAsia" w:hAnsi="宋体"/>
          <w:color w:val="auto"/>
        </w:rPr>
        <w:t>2.项目名称：</w:t>
      </w:r>
      <w:r>
        <w:rPr>
          <w:rFonts w:hint="eastAsia" w:hAnsi="宋体"/>
          <w:color w:val="auto"/>
          <w:u w:val="single"/>
          <w:lang w:eastAsia="zh-CN"/>
        </w:rPr>
        <w:t>2025年农村公路日常养护项目</w:t>
      </w:r>
    </w:p>
    <w:p w14:paraId="417C96D6">
      <w:pPr>
        <w:pStyle w:val="69"/>
        <w:tabs>
          <w:tab w:val="left" w:pos="1251"/>
        </w:tabs>
        <w:kinsoku w:val="0"/>
        <w:overflowPunct w:val="0"/>
        <w:spacing w:before="158" w:line="360" w:lineRule="auto"/>
        <w:ind w:left="0" w:firstLine="960" w:firstLineChars="400"/>
        <w:rPr>
          <w:rFonts w:hAnsi="宋体"/>
          <w:color w:val="auto"/>
          <w:highlight w:val="none"/>
          <w:u w:val="single"/>
        </w:rPr>
      </w:pPr>
      <w:r>
        <w:rPr>
          <w:rFonts w:hint="eastAsia" w:hAnsi="宋体"/>
          <w:color w:val="auto"/>
          <w:highlight w:val="none"/>
        </w:rPr>
        <w:t>3.采购方式：</w:t>
      </w:r>
      <w:r>
        <w:rPr>
          <w:rFonts w:hint="eastAsia" w:hAnsi="宋体"/>
          <w:color w:val="auto"/>
          <w:highlight w:val="none"/>
          <w:u w:val="single"/>
        </w:rPr>
        <w:t>竞争性磋商</w:t>
      </w:r>
    </w:p>
    <w:p w14:paraId="7463343D">
      <w:pPr>
        <w:pStyle w:val="69"/>
        <w:tabs>
          <w:tab w:val="left" w:pos="1251"/>
        </w:tabs>
        <w:kinsoku w:val="0"/>
        <w:overflowPunct w:val="0"/>
        <w:spacing w:before="158" w:line="360" w:lineRule="auto"/>
        <w:ind w:left="0" w:firstLine="960" w:firstLineChars="400"/>
        <w:rPr>
          <w:rFonts w:hAnsi="宋体"/>
          <w:color w:val="auto"/>
          <w:highlight w:val="none"/>
        </w:rPr>
      </w:pPr>
      <w:r>
        <w:rPr>
          <w:rFonts w:hint="eastAsia" w:hAnsi="宋体"/>
          <w:color w:val="auto"/>
          <w:highlight w:val="none"/>
        </w:rPr>
        <w:t>4.项目预算金额：</w:t>
      </w:r>
      <w:r>
        <w:rPr>
          <w:rFonts w:hint="eastAsia" w:hAnsi="宋体"/>
          <w:color w:val="auto"/>
          <w:highlight w:val="none"/>
          <w:lang w:eastAsia="zh-CN"/>
        </w:rPr>
        <w:t>109.941352</w:t>
      </w:r>
      <w:r>
        <w:rPr>
          <w:rFonts w:hint="eastAsia" w:hAnsi="宋体"/>
          <w:color w:val="auto"/>
          <w:highlight w:val="none"/>
        </w:rPr>
        <w:t>万元、项目最高限价（如有）：</w:t>
      </w:r>
      <w:r>
        <w:rPr>
          <w:rFonts w:hint="eastAsia" w:hAnsi="宋体"/>
          <w:color w:val="auto"/>
          <w:highlight w:val="none"/>
          <w:lang w:eastAsia="zh-CN"/>
        </w:rPr>
        <w:t>109.941352</w:t>
      </w:r>
      <w:r>
        <w:rPr>
          <w:rFonts w:hint="eastAsia" w:hAnsi="宋体"/>
          <w:color w:val="auto"/>
          <w:highlight w:val="none"/>
        </w:rPr>
        <w:t>万元</w:t>
      </w:r>
    </w:p>
    <w:p w14:paraId="5A855813">
      <w:pPr>
        <w:pStyle w:val="69"/>
        <w:tabs>
          <w:tab w:val="left" w:pos="1251"/>
        </w:tabs>
        <w:kinsoku w:val="0"/>
        <w:overflowPunct w:val="0"/>
        <w:spacing w:before="161" w:line="360" w:lineRule="auto"/>
        <w:ind w:left="0" w:firstLine="960" w:firstLineChars="400"/>
        <w:rPr>
          <w:rFonts w:hAnsi="宋体"/>
          <w:color w:val="auto"/>
          <w:highlight w:val="none"/>
        </w:rPr>
      </w:pPr>
      <w:r>
        <w:rPr>
          <w:rFonts w:hint="eastAsia" w:hAnsi="宋体"/>
          <w:color w:val="auto"/>
          <w:highlight w:val="none"/>
        </w:rPr>
        <w:t>5.采购需求：</w:t>
      </w:r>
    </w:p>
    <w:tbl>
      <w:tblPr>
        <w:tblStyle w:val="43"/>
        <w:tblW w:w="9685" w:type="dxa"/>
        <w:tblInd w:w="438" w:type="dxa"/>
        <w:tblLayout w:type="fixed"/>
        <w:tblCellMar>
          <w:top w:w="0" w:type="dxa"/>
          <w:left w:w="0" w:type="dxa"/>
          <w:bottom w:w="0" w:type="dxa"/>
          <w:right w:w="0" w:type="dxa"/>
        </w:tblCellMar>
      </w:tblPr>
      <w:tblGrid>
        <w:gridCol w:w="796"/>
        <w:gridCol w:w="1808"/>
        <w:gridCol w:w="1514"/>
        <w:gridCol w:w="1067"/>
        <w:gridCol w:w="4500"/>
      </w:tblGrid>
      <w:tr w14:paraId="70E00DB4">
        <w:tblPrEx>
          <w:tblCellMar>
            <w:top w:w="0" w:type="dxa"/>
            <w:left w:w="0" w:type="dxa"/>
            <w:bottom w:w="0" w:type="dxa"/>
            <w:right w:w="0" w:type="dxa"/>
          </w:tblCellMar>
        </w:tblPrEx>
        <w:trPr>
          <w:trHeight w:val="543" w:hRule="atLeast"/>
        </w:trPr>
        <w:tc>
          <w:tcPr>
            <w:tcW w:w="796" w:type="dxa"/>
            <w:tcBorders>
              <w:top w:val="single" w:color="000000" w:sz="4" w:space="0"/>
              <w:left w:val="single" w:color="000000" w:sz="4" w:space="0"/>
              <w:bottom w:val="single" w:color="000000" w:sz="4" w:space="0"/>
              <w:right w:val="single" w:color="000000" w:sz="4" w:space="0"/>
            </w:tcBorders>
          </w:tcPr>
          <w:p w14:paraId="326CB586">
            <w:pPr>
              <w:pStyle w:val="70"/>
              <w:kinsoku w:val="0"/>
              <w:overflowPunct w:val="0"/>
              <w:spacing w:before="136" w:line="360" w:lineRule="auto"/>
              <w:ind w:left="118" w:right="114"/>
              <w:jc w:val="center"/>
              <w:rPr>
                <w:rFonts w:hAnsi="宋体"/>
                <w:color w:val="auto"/>
                <w:highlight w:val="none"/>
              </w:rPr>
            </w:pPr>
            <w:r>
              <w:rPr>
                <w:rFonts w:hint="eastAsia" w:hAnsi="宋体"/>
                <w:color w:val="auto"/>
                <w:highlight w:val="none"/>
              </w:rPr>
              <w:t>包号</w:t>
            </w:r>
          </w:p>
        </w:tc>
        <w:tc>
          <w:tcPr>
            <w:tcW w:w="1808" w:type="dxa"/>
            <w:tcBorders>
              <w:top w:val="single" w:color="000000" w:sz="4" w:space="0"/>
              <w:left w:val="single" w:color="000000" w:sz="4" w:space="0"/>
              <w:bottom w:val="single" w:color="000000" w:sz="4" w:space="0"/>
              <w:right w:val="single" w:color="000000" w:sz="4" w:space="0"/>
            </w:tcBorders>
          </w:tcPr>
          <w:p w14:paraId="3FF7C932">
            <w:pPr>
              <w:pStyle w:val="70"/>
              <w:kinsoku w:val="0"/>
              <w:overflowPunct w:val="0"/>
              <w:spacing w:before="136" w:line="360" w:lineRule="auto"/>
              <w:jc w:val="center"/>
              <w:rPr>
                <w:rFonts w:hAnsi="宋体"/>
                <w:color w:val="auto"/>
                <w:highlight w:val="none"/>
              </w:rPr>
            </w:pPr>
            <w:r>
              <w:rPr>
                <w:rFonts w:hint="eastAsia" w:hAnsi="宋体"/>
                <w:color w:val="auto"/>
                <w:highlight w:val="none"/>
              </w:rPr>
              <w:t>标的名称</w:t>
            </w:r>
          </w:p>
        </w:tc>
        <w:tc>
          <w:tcPr>
            <w:tcW w:w="1514" w:type="dxa"/>
            <w:tcBorders>
              <w:top w:val="single" w:color="000000" w:sz="4" w:space="0"/>
              <w:left w:val="single" w:color="000000" w:sz="4" w:space="0"/>
              <w:bottom w:val="single" w:color="000000" w:sz="4" w:space="0"/>
              <w:right w:val="single" w:color="000000" w:sz="4" w:space="0"/>
            </w:tcBorders>
          </w:tcPr>
          <w:p w14:paraId="3E4F64C4">
            <w:pPr>
              <w:pStyle w:val="70"/>
              <w:kinsoku w:val="0"/>
              <w:overflowPunct w:val="0"/>
              <w:spacing w:before="1" w:line="360" w:lineRule="auto"/>
              <w:ind w:left="95" w:right="87"/>
              <w:jc w:val="center"/>
              <w:rPr>
                <w:rFonts w:hAnsi="宋体"/>
                <w:color w:val="auto"/>
                <w:highlight w:val="none"/>
              </w:rPr>
            </w:pPr>
            <w:r>
              <w:rPr>
                <w:rFonts w:hint="eastAsia" w:hAnsi="宋体"/>
                <w:color w:val="auto"/>
                <w:highlight w:val="none"/>
              </w:rPr>
              <w:t>采购包预算金额</w:t>
            </w:r>
          </w:p>
          <w:p w14:paraId="1DFFFA93">
            <w:pPr>
              <w:pStyle w:val="70"/>
              <w:kinsoku w:val="0"/>
              <w:overflowPunct w:val="0"/>
              <w:spacing w:before="3" w:line="360" w:lineRule="auto"/>
              <w:ind w:left="92" w:right="87"/>
              <w:jc w:val="center"/>
              <w:rPr>
                <w:rFonts w:hAnsi="宋体"/>
                <w:color w:val="auto"/>
                <w:highlight w:val="none"/>
              </w:rPr>
            </w:pPr>
            <w:r>
              <w:rPr>
                <w:rFonts w:hint="eastAsia" w:hAnsi="宋体"/>
                <w:color w:val="auto"/>
                <w:highlight w:val="none"/>
              </w:rPr>
              <w:t>（万元）</w:t>
            </w:r>
          </w:p>
        </w:tc>
        <w:tc>
          <w:tcPr>
            <w:tcW w:w="1067" w:type="dxa"/>
            <w:tcBorders>
              <w:top w:val="single" w:color="000000" w:sz="4" w:space="0"/>
              <w:left w:val="single" w:color="000000" w:sz="4" w:space="0"/>
              <w:bottom w:val="single" w:color="000000" w:sz="4" w:space="0"/>
              <w:right w:val="single" w:color="000000" w:sz="4" w:space="0"/>
            </w:tcBorders>
          </w:tcPr>
          <w:p w14:paraId="24F35D11">
            <w:pPr>
              <w:pStyle w:val="70"/>
              <w:kinsoku w:val="0"/>
              <w:overflowPunct w:val="0"/>
              <w:spacing w:before="136" w:line="360" w:lineRule="auto"/>
              <w:ind w:left="287"/>
              <w:rPr>
                <w:rFonts w:hAnsi="宋体"/>
                <w:color w:val="auto"/>
                <w:highlight w:val="none"/>
              </w:rPr>
            </w:pPr>
            <w:r>
              <w:rPr>
                <w:rFonts w:hint="eastAsia" w:hAnsi="宋体"/>
                <w:color w:val="auto"/>
                <w:highlight w:val="none"/>
              </w:rPr>
              <w:t>数量</w:t>
            </w:r>
          </w:p>
        </w:tc>
        <w:tc>
          <w:tcPr>
            <w:tcW w:w="4500" w:type="dxa"/>
            <w:tcBorders>
              <w:top w:val="single" w:color="000000" w:sz="4" w:space="0"/>
              <w:left w:val="single" w:color="000000" w:sz="4" w:space="0"/>
              <w:bottom w:val="single" w:color="000000" w:sz="4" w:space="0"/>
              <w:right w:val="single" w:color="000000" w:sz="4" w:space="0"/>
            </w:tcBorders>
          </w:tcPr>
          <w:p w14:paraId="25985D01">
            <w:pPr>
              <w:pStyle w:val="70"/>
              <w:kinsoku w:val="0"/>
              <w:overflowPunct w:val="0"/>
              <w:spacing w:before="136" w:line="360" w:lineRule="auto"/>
              <w:jc w:val="center"/>
              <w:rPr>
                <w:rFonts w:hAnsi="宋体"/>
                <w:color w:val="auto"/>
                <w:highlight w:val="none"/>
              </w:rPr>
            </w:pPr>
            <w:r>
              <w:rPr>
                <w:rFonts w:hint="eastAsia" w:hAnsi="宋体"/>
                <w:color w:val="auto"/>
                <w:highlight w:val="none"/>
              </w:rPr>
              <w:t>简要技术需求或服务要求</w:t>
            </w:r>
          </w:p>
        </w:tc>
      </w:tr>
      <w:tr w14:paraId="49D37654">
        <w:tblPrEx>
          <w:tblCellMar>
            <w:top w:w="0" w:type="dxa"/>
            <w:left w:w="0" w:type="dxa"/>
            <w:bottom w:w="0" w:type="dxa"/>
            <w:right w:w="0" w:type="dxa"/>
          </w:tblCellMar>
        </w:tblPrEx>
        <w:trPr>
          <w:trHeight w:val="454" w:hRule="atLeast"/>
        </w:trPr>
        <w:tc>
          <w:tcPr>
            <w:tcW w:w="796" w:type="dxa"/>
            <w:tcBorders>
              <w:top w:val="single" w:color="000000" w:sz="4" w:space="0"/>
              <w:left w:val="single" w:color="000000" w:sz="4" w:space="0"/>
              <w:bottom w:val="single" w:color="000000" w:sz="4" w:space="0"/>
              <w:right w:val="single" w:color="000000" w:sz="4" w:space="0"/>
            </w:tcBorders>
            <w:vAlign w:val="center"/>
          </w:tcPr>
          <w:p w14:paraId="18A323A7">
            <w:pPr>
              <w:pStyle w:val="70"/>
              <w:kinsoku w:val="0"/>
              <w:overflowPunct w:val="0"/>
              <w:spacing w:before="136" w:line="240" w:lineRule="auto"/>
              <w:ind w:left="118" w:right="114"/>
              <w:jc w:val="center"/>
              <w:rPr>
                <w:rFonts w:hAnsi="宋体"/>
                <w:color w:val="auto"/>
                <w:highlight w:val="none"/>
              </w:rPr>
            </w:pPr>
            <w:r>
              <w:rPr>
                <w:rFonts w:hAnsi="宋体"/>
                <w:color w:val="auto"/>
                <w:highlight w:val="none"/>
              </w:rPr>
              <w:t>01</w:t>
            </w:r>
          </w:p>
        </w:tc>
        <w:tc>
          <w:tcPr>
            <w:tcW w:w="1808" w:type="dxa"/>
            <w:tcBorders>
              <w:top w:val="single" w:color="000000" w:sz="4" w:space="0"/>
              <w:left w:val="single" w:color="000000" w:sz="4" w:space="0"/>
              <w:bottom w:val="single" w:color="000000" w:sz="4" w:space="0"/>
              <w:right w:val="single" w:color="000000" w:sz="4" w:space="0"/>
            </w:tcBorders>
            <w:vAlign w:val="center"/>
          </w:tcPr>
          <w:p w14:paraId="7A294069">
            <w:pPr>
              <w:pStyle w:val="70"/>
              <w:kinsoku w:val="0"/>
              <w:overflowPunct w:val="0"/>
              <w:spacing w:before="136" w:line="240" w:lineRule="auto"/>
              <w:ind w:right="114"/>
              <w:jc w:val="center"/>
              <w:rPr>
                <w:rFonts w:hint="eastAsia" w:hAnsi="宋体" w:eastAsia="宋体"/>
                <w:color w:val="auto"/>
                <w:highlight w:val="none"/>
                <w:lang w:eastAsia="zh-CN"/>
              </w:rPr>
            </w:pPr>
            <w:r>
              <w:rPr>
                <w:rFonts w:hint="eastAsia" w:hAnsi="宋体"/>
                <w:color w:val="auto"/>
                <w:highlight w:val="none"/>
                <w:lang w:eastAsia="zh-CN"/>
              </w:rPr>
              <w:t>2025年农村公路日常养护项目</w:t>
            </w:r>
          </w:p>
        </w:tc>
        <w:tc>
          <w:tcPr>
            <w:tcW w:w="1514" w:type="dxa"/>
            <w:tcBorders>
              <w:top w:val="single" w:color="000000" w:sz="4" w:space="0"/>
              <w:left w:val="single" w:color="000000" w:sz="4" w:space="0"/>
              <w:bottom w:val="single" w:color="000000" w:sz="4" w:space="0"/>
              <w:right w:val="single" w:color="000000" w:sz="4" w:space="0"/>
            </w:tcBorders>
            <w:vAlign w:val="center"/>
          </w:tcPr>
          <w:p w14:paraId="35128CF0">
            <w:pPr>
              <w:pStyle w:val="70"/>
              <w:kinsoku w:val="0"/>
              <w:overflowPunct w:val="0"/>
              <w:spacing w:before="136" w:line="240" w:lineRule="auto"/>
              <w:ind w:right="114"/>
              <w:jc w:val="center"/>
              <w:rPr>
                <w:rFonts w:hint="eastAsia" w:hAnsi="宋体" w:eastAsia="宋体"/>
                <w:color w:val="auto"/>
                <w:highlight w:val="none"/>
                <w:lang w:val="en-US" w:eastAsia="zh-CN"/>
              </w:rPr>
            </w:pPr>
            <w:r>
              <w:rPr>
                <w:rFonts w:hint="eastAsia" w:hAnsi="宋体"/>
                <w:color w:val="auto"/>
                <w:highlight w:val="none"/>
                <w:lang w:eastAsia="zh-CN"/>
              </w:rPr>
              <w:t>109.941352</w:t>
            </w:r>
          </w:p>
        </w:tc>
        <w:tc>
          <w:tcPr>
            <w:tcW w:w="1067" w:type="dxa"/>
            <w:tcBorders>
              <w:top w:val="single" w:color="000000" w:sz="4" w:space="0"/>
              <w:left w:val="single" w:color="000000" w:sz="4" w:space="0"/>
              <w:bottom w:val="single" w:color="000000" w:sz="4" w:space="0"/>
              <w:right w:val="single" w:color="000000" w:sz="4" w:space="0"/>
            </w:tcBorders>
            <w:vAlign w:val="center"/>
          </w:tcPr>
          <w:p w14:paraId="55D7CCDF">
            <w:pPr>
              <w:pStyle w:val="70"/>
              <w:kinsoku w:val="0"/>
              <w:overflowPunct w:val="0"/>
              <w:spacing w:before="136" w:line="240" w:lineRule="auto"/>
              <w:ind w:right="114"/>
              <w:jc w:val="center"/>
              <w:rPr>
                <w:rFonts w:hint="default" w:hAnsi="宋体" w:eastAsia="宋体"/>
                <w:color w:val="auto"/>
                <w:highlight w:val="none"/>
                <w:lang w:val="en-US" w:eastAsia="zh-CN"/>
              </w:rPr>
            </w:pPr>
            <w:r>
              <w:rPr>
                <w:rFonts w:hAnsi="宋体"/>
                <w:color w:val="auto"/>
                <w:highlight w:val="none"/>
              </w:rPr>
              <w:t>1</w:t>
            </w:r>
            <w:r>
              <w:rPr>
                <w:rFonts w:hint="eastAsia" w:hAnsi="宋体"/>
                <w:color w:val="auto"/>
                <w:highlight w:val="none"/>
                <w:lang w:val="en-US" w:eastAsia="zh-CN"/>
              </w:rPr>
              <w:t>批服务</w:t>
            </w:r>
          </w:p>
        </w:tc>
        <w:tc>
          <w:tcPr>
            <w:tcW w:w="4500" w:type="dxa"/>
            <w:tcBorders>
              <w:top w:val="single" w:color="000000" w:sz="4" w:space="0"/>
              <w:left w:val="single" w:color="000000" w:sz="4" w:space="0"/>
              <w:bottom w:val="single" w:color="000000" w:sz="4" w:space="0"/>
              <w:right w:val="single" w:color="000000" w:sz="4" w:space="0"/>
            </w:tcBorders>
            <w:vAlign w:val="center"/>
          </w:tcPr>
          <w:p w14:paraId="47FDED80">
            <w:pPr>
              <w:pStyle w:val="70"/>
              <w:kinsoku w:val="0"/>
              <w:overflowPunct w:val="0"/>
              <w:spacing w:before="136" w:line="240" w:lineRule="auto"/>
              <w:ind w:right="114"/>
              <w:jc w:val="center"/>
              <w:rPr>
                <w:rFonts w:hint="eastAsia" w:hAnsi="宋体" w:eastAsia="宋体"/>
                <w:color w:val="auto"/>
                <w:highlight w:val="none"/>
                <w:lang w:val="en-US" w:eastAsia="zh-CN"/>
              </w:rPr>
            </w:pPr>
            <w:r>
              <w:rPr>
                <w:rFonts w:hint="eastAsia" w:hAnsi="宋体"/>
                <w:color w:val="auto"/>
                <w:highlight w:val="none"/>
                <w:lang w:val="en-US" w:eastAsia="zh-CN"/>
              </w:rPr>
              <w:t>负责</w:t>
            </w:r>
            <w:r>
              <w:rPr>
                <w:rFonts w:hint="eastAsia" w:hAnsi="宋体"/>
                <w:color w:val="auto"/>
                <w:highlight w:val="none"/>
              </w:rPr>
              <w:t>路基、路面、边沟、桥涵整治维护</w:t>
            </w:r>
            <w:r>
              <w:rPr>
                <w:rFonts w:hint="eastAsia" w:hAnsi="宋体"/>
                <w:color w:val="auto"/>
                <w:highlight w:val="none"/>
                <w:lang w:eastAsia="zh-CN"/>
              </w:rPr>
              <w:t>；</w:t>
            </w:r>
            <w:r>
              <w:rPr>
                <w:rFonts w:hint="eastAsia" w:hAnsi="宋体"/>
                <w:color w:val="auto"/>
                <w:highlight w:val="none"/>
              </w:rPr>
              <w:t>道路巡查保洁</w:t>
            </w:r>
            <w:r>
              <w:rPr>
                <w:rFonts w:hint="eastAsia" w:hAnsi="宋体"/>
                <w:color w:val="auto"/>
                <w:highlight w:val="none"/>
                <w:lang w:eastAsia="zh-CN"/>
              </w:rPr>
              <w:t>；</w:t>
            </w:r>
            <w:r>
              <w:rPr>
                <w:rFonts w:hint="eastAsia" w:hAnsi="宋体"/>
                <w:color w:val="auto"/>
                <w:highlight w:val="none"/>
              </w:rPr>
              <w:t>打草</w:t>
            </w:r>
            <w:r>
              <w:rPr>
                <w:rFonts w:hint="eastAsia" w:hAnsi="宋体"/>
                <w:color w:val="auto"/>
                <w:highlight w:val="none"/>
                <w:lang w:eastAsia="zh-CN"/>
              </w:rPr>
              <w:t>；</w:t>
            </w:r>
            <w:r>
              <w:rPr>
                <w:rFonts w:hint="eastAsia" w:hAnsi="宋体"/>
                <w:color w:val="auto"/>
                <w:highlight w:val="none"/>
              </w:rPr>
              <w:t>沙尘、杨毛、柳絮湿化</w:t>
            </w:r>
            <w:r>
              <w:rPr>
                <w:rFonts w:hint="eastAsia" w:hAnsi="宋体"/>
                <w:color w:val="auto"/>
                <w:highlight w:val="none"/>
                <w:lang w:val="en-US" w:eastAsia="zh-CN"/>
              </w:rPr>
              <w:t>等</w:t>
            </w:r>
            <w:r>
              <w:rPr>
                <w:rFonts w:hint="eastAsia" w:hAnsi="宋体"/>
                <w:color w:val="auto"/>
                <w:highlight w:val="none"/>
                <w:lang w:eastAsia="zh-CN"/>
              </w:rPr>
              <w:t>农村公路日常养护。</w:t>
            </w:r>
          </w:p>
        </w:tc>
      </w:tr>
    </w:tbl>
    <w:p w14:paraId="63255835">
      <w:pPr>
        <w:pStyle w:val="69"/>
        <w:numPr>
          <w:ilvl w:val="0"/>
          <w:numId w:val="8"/>
        </w:numPr>
        <w:tabs>
          <w:tab w:val="left" w:pos="1251"/>
          <w:tab w:val="clear" w:pos="312"/>
        </w:tabs>
        <w:kinsoku w:val="0"/>
        <w:overflowPunct w:val="0"/>
        <w:spacing w:before="158" w:line="360" w:lineRule="auto"/>
        <w:ind w:left="1020" w:firstLine="0"/>
        <w:rPr>
          <w:rFonts w:hint="eastAsia" w:hAnsi="宋体"/>
          <w:color w:val="auto"/>
          <w:highlight w:val="none"/>
        </w:rPr>
      </w:pPr>
      <w:r>
        <w:rPr>
          <w:rFonts w:hint="eastAsia" w:hAnsi="宋体"/>
          <w:color w:val="auto"/>
          <w:highlight w:val="none"/>
        </w:rPr>
        <w:t>合同履行期限</w:t>
      </w:r>
      <w:r>
        <w:rPr>
          <w:rFonts w:hint="eastAsia" w:hAnsi="宋体"/>
          <w:color w:val="auto"/>
          <w:highlight w:val="none"/>
          <w:lang w:eastAsia="zh-CN"/>
        </w:rPr>
        <w:t>：自签订合同之日起</w:t>
      </w:r>
      <w:r>
        <w:rPr>
          <w:rFonts w:hint="eastAsia" w:hAnsi="宋体"/>
          <w:color w:val="auto"/>
          <w:highlight w:val="none"/>
          <w:lang w:val="en-US" w:eastAsia="zh-CN"/>
        </w:rPr>
        <w:t>壹年</w:t>
      </w:r>
      <w:r>
        <w:rPr>
          <w:rFonts w:hint="eastAsia" w:hAnsi="宋体"/>
          <w:color w:val="auto"/>
          <w:highlight w:val="none"/>
          <w:lang w:eastAsia="zh-CN"/>
        </w:rPr>
        <w:t>。</w:t>
      </w:r>
    </w:p>
    <w:p w14:paraId="3A1AF926">
      <w:pPr>
        <w:pStyle w:val="69"/>
        <w:numPr>
          <w:ilvl w:val="0"/>
          <w:numId w:val="8"/>
        </w:numPr>
        <w:tabs>
          <w:tab w:val="left" w:pos="1251"/>
          <w:tab w:val="clear" w:pos="312"/>
        </w:tabs>
        <w:kinsoku w:val="0"/>
        <w:overflowPunct w:val="0"/>
        <w:spacing w:before="158" w:line="360" w:lineRule="auto"/>
        <w:ind w:left="1020" w:firstLine="0"/>
        <w:rPr>
          <w:rFonts w:hint="eastAsia" w:hAnsi="宋体"/>
          <w:color w:val="auto"/>
          <w:highlight w:val="none"/>
        </w:rPr>
      </w:pPr>
      <w:r>
        <w:rPr>
          <w:rFonts w:hint="eastAsia" w:hAnsi="宋体"/>
          <w:color w:val="auto"/>
          <w:highlight w:val="none"/>
          <w:lang w:val="en-US" w:eastAsia="zh-CN"/>
        </w:rPr>
        <w:t>服务地点：北京市顺义区牛栏山镇辖区内北孙各庄环村路、北孙各庄南环路、孙赵路、闸桥路、龙梭路、富密路支线、龙红路、北军营北路、牤牛河路、史军路、一中路、兵营路、牛相路、相各庄北路、兰白路、兰营路、苜草路。</w:t>
      </w:r>
    </w:p>
    <w:p w14:paraId="3840F0D2">
      <w:pPr>
        <w:pStyle w:val="69"/>
        <w:numPr>
          <w:ilvl w:val="0"/>
          <w:numId w:val="8"/>
        </w:numPr>
        <w:tabs>
          <w:tab w:val="left" w:pos="1251"/>
          <w:tab w:val="clear" w:pos="312"/>
        </w:tabs>
        <w:kinsoku w:val="0"/>
        <w:overflowPunct w:val="0"/>
        <w:spacing w:before="158" w:line="360" w:lineRule="auto"/>
        <w:ind w:left="1020" w:leftChars="0" w:firstLine="0" w:firstLineChars="0"/>
        <w:rPr>
          <w:rFonts w:hAnsi="宋体"/>
          <w:color w:val="auto"/>
          <w:highlight w:val="none"/>
        </w:rPr>
      </w:pPr>
      <w:r>
        <w:rPr>
          <w:rFonts w:hint="eastAsia" w:ascii="宋体" w:hAnsi="宋体" w:eastAsia="宋体" w:cs="宋体"/>
          <w:color w:val="auto"/>
          <w:highlight w:val="none"/>
          <w:lang w:val="en-US" w:eastAsia="zh-CN"/>
        </w:rPr>
        <w:t>本项目是否接受联合体</w:t>
      </w:r>
      <w:r>
        <w:rPr>
          <w:rFonts w:hint="eastAsia" w:hAnsi="宋体"/>
          <w:color w:val="auto"/>
          <w:highlight w:val="none"/>
        </w:rPr>
        <w:t>：□是■否。</w:t>
      </w:r>
    </w:p>
    <w:p w14:paraId="4A70E958">
      <w:pPr>
        <w:pStyle w:val="17"/>
        <w:kinsoku w:val="0"/>
        <w:overflowPunct w:val="0"/>
        <w:spacing w:before="220" w:line="360" w:lineRule="auto"/>
        <w:ind w:left="541"/>
        <w:rPr>
          <w:rFonts w:hAnsi="宋体"/>
          <w:b/>
          <w:bCs/>
          <w:color w:val="auto"/>
        </w:rPr>
      </w:pPr>
      <w:r>
        <w:rPr>
          <w:rFonts w:hint="eastAsia" w:hAnsi="宋体"/>
          <w:b/>
          <w:bCs/>
          <w:color w:val="auto"/>
        </w:rPr>
        <w:t>二、申请人的资格要求（须同时满足）</w:t>
      </w:r>
    </w:p>
    <w:p w14:paraId="7DB59CB7">
      <w:pPr>
        <w:pStyle w:val="69"/>
        <w:numPr>
          <w:ilvl w:val="0"/>
          <w:numId w:val="9"/>
        </w:numPr>
        <w:tabs>
          <w:tab w:val="left" w:pos="1251"/>
        </w:tabs>
        <w:kinsoku w:val="0"/>
        <w:overflowPunct w:val="0"/>
        <w:spacing w:before="160" w:line="360" w:lineRule="auto"/>
        <w:ind w:hanging="230"/>
        <w:rPr>
          <w:rFonts w:hAnsi="宋体"/>
          <w:color w:val="auto"/>
        </w:rPr>
      </w:pPr>
      <w:r>
        <w:rPr>
          <w:rFonts w:hint="eastAsia" w:hAnsi="宋体"/>
          <w:color w:val="auto"/>
        </w:rPr>
        <w:t>满足《中华人民共和国政府采购法》第二十二条规定；</w:t>
      </w:r>
    </w:p>
    <w:p w14:paraId="2361CEF7">
      <w:pPr>
        <w:pStyle w:val="69"/>
        <w:numPr>
          <w:ilvl w:val="0"/>
          <w:numId w:val="9"/>
        </w:numPr>
        <w:tabs>
          <w:tab w:val="left" w:pos="1251"/>
        </w:tabs>
        <w:kinsoku w:val="0"/>
        <w:overflowPunct w:val="0"/>
        <w:spacing w:before="158" w:line="360" w:lineRule="auto"/>
        <w:ind w:hanging="230"/>
        <w:rPr>
          <w:rFonts w:hAnsi="宋体"/>
          <w:color w:val="auto"/>
        </w:rPr>
      </w:pPr>
      <w:r>
        <w:rPr>
          <w:rFonts w:hint="eastAsia" w:hAnsi="宋体"/>
          <w:color w:val="auto"/>
        </w:rPr>
        <w:t>落实政府采购政策需满足的资格要求：</w:t>
      </w:r>
    </w:p>
    <w:p w14:paraId="49E0EFEE">
      <w:pPr>
        <w:pStyle w:val="69"/>
        <w:numPr>
          <w:ilvl w:val="1"/>
          <w:numId w:val="9"/>
        </w:numPr>
        <w:tabs>
          <w:tab w:val="left" w:pos="1521"/>
        </w:tabs>
        <w:kinsoku w:val="0"/>
        <w:overflowPunct w:val="0"/>
        <w:spacing w:before="161" w:line="360" w:lineRule="auto"/>
        <w:jc w:val="both"/>
        <w:rPr>
          <w:rFonts w:hAnsi="宋体"/>
          <w:color w:val="auto"/>
          <w:highlight w:val="none"/>
        </w:rPr>
      </w:pPr>
      <w:r>
        <w:rPr>
          <w:rFonts w:hint="eastAsia" w:hAnsi="宋体"/>
          <w:color w:val="auto"/>
          <w:highlight w:val="none"/>
        </w:rPr>
        <w:t>中小企业政策</w:t>
      </w:r>
    </w:p>
    <w:p w14:paraId="0F2DF7EF">
      <w:pPr>
        <w:pStyle w:val="17"/>
        <w:kinsoku w:val="0"/>
        <w:overflowPunct w:val="0"/>
        <w:spacing w:before="158" w:line="360" w:lineRule="auto"/>
        <w:ind w:left="96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□本项目不专门面向中小企业预留采购份额。</w:t>
      </w:r>
    </w:p>
    <w:p w14:paraId="030C6911">
      <w:pPr>
        <w:pStyle w:val="17"/>
        <w:kinsoku w:val="0"/>
        <w:overflowPunct w:val="0"/>
        <w:spacing w:before="160" w:line="360" w:lineRule="auto"/>
        <w:ind w:left="541" w:right="570" w:firstLine="420"/>
        <w:jc w:val="both"/>
        <w:rPr>
          <w:rFonts w:hint="eastAsia" w:ascii="宋体" w:hAnsi="宋体" w:eastAsia="宋体" w:cs="宋体"/>
          <w:color w:val="auto"/>
          <w:sz w:val="24"/>
          <w:szCs w:val="24"/>
          <w:highlight w:val="none"/>
          <w:shd w:val="clear" w:color="auto" w:fill="auto"/>
          <w:lang w:val="en-US" w:eastAsia="zh-CN" w:bidi="ar-SA"/>
        </w:rPr>
      </w:pPr>
      <w:r>
        <w:rPr>
          <w:rFonts w:hAnsi="宋体"/>
          <w:b/>
          <w:color w:val="auto"/>
          <w:highlight w:val="none"/>
          <w:shd w:val="clear" w:color="auto" w:fill="auto"/>
        </w:rPr>
        <w:t>■</w:t>
      </w:r>
      <w:r>
        <w:rPr>
          <w:rFonts w:hint="eastAsia" w:hAnsi="宋体"/>
          <w:color w:val="auto"/>
          <w:highlight w:val="none"/>
          <w:shd w:val="clear" w:color="auto" w:fill="auto"/>
        </w:rPr>
        <w:t>本项目专门面向</w:t>
      </w:r>
      <w:r>
        <w:rPr>
          <w:rFonts w:hAnsi="宋体"/>
          <w:color w:val="auto"/>
          <w:highlight w:val="none"/>
          <w:shd w:val="clear" w:color="auto" w:fill="auto"/>
        </w:rPr>
        <w:t xml:space="preserve">  </w:t>
      </w:r>
      <w:r>
        <w:rPr>
          <w:rFonts w:hAnsi="宋体"/>
          <w:b/>
          <w:color w:val="auto"/>
          <w:highlight w:val="none"/>
          <w:shd w:val="clear" w:color="auto" w:fill="auto"/>
        </w:rPr>
        <w:t>■</w:t>
      </w:r>
      <w:r>
        <w:rPr>
          <w:rFonts w:hint="eastAsia" w:hAnsi="宋体"/>
          <w:color w:val="auto"/>
          <w:highlight w:val="none"/>
          <w:shd w:val="clear" w:color="auto" w:fill="auto"/>
        </w:rPr>
        <w:t>中小</w:t>
      </w:r>
      <w:r>
        <w:rPr>
          <w:rFonts w:hAnsi="宋体"/>
          <w:color w:val="auto"/>
          <w:highlight w:val="none"/>
          <w:shd w:val="clear" w:color="auto" w:fill="auto"/>
        </w:rPr>
        <w:t xml:space="preserve"> </w:t>
      </w:r>
      <w:r>
        <w:rPr>
          <w:rFonts w:hint="eastAsia" w:ascii="宋体" w:hAnsi="宋体" w:eastAsia="宋体" w:cs="宋体"/>
          <w:color w:val="auto"/>
          <w:sz w:val="24"/>
          <w:szCs w:val="24"/>
          <w:highlight w:val="none"/>
          <w:lang w:val="en-US" w:eastAsia="zh-CN" w:bidi="ar-SA"/>
        </w:rPr>
        <w:t>□</w:t>
      </w:r>
      <w:r>
        <w:rPr>
          <w:rFonts w:hint="eastAsia" w:hAnsi="宋体"/>
          <w:color w:val="auto"/>
          <w:highlight w:val="none"/>
          <w:shd w:val="clear" w:color="auto" w:fill="auto"/>
        </w:rPr>
        <w:t>小微企</w:t>
      </w:r>
      <w:r>
        <w:rPr>
          <w:rFonts w:hint="eastAsia" w:ascii="宋体" w:hAnsi="宋体" w:eastAsia="宋体" w:cs="宋体"/>
          <w:color w:val="auto"/>
          <w:sz w:val="24"/>
          <w:szCs w:val="24"/>
          <w:highlight w:val="none"/>
          <w:shd w:val="clear" w:color="auto" w:fill="auto"/>
          <w:lang w:val="en-US" w:eastAsia="zh-CN" w:bidi="ar-SA"/>
        </w:rPr>
        <w:t>业采购。即：提供的货物全部由符合政策要求的</w:t>
      </w:r>
      <w:r>
        <w:rPr>
          <w:rFonts w:hint="eastAsia" w:hAnsi="宋体" w:cs="宋体"/>
          <w:color w:val="auto"/>
          <w:sz w:val="24"/>
          <w:szCs w:val="24"/>
          <w:highlight w:val="none"/>
          <w:shd w:val="clear" w:color="auto" w:fill="auto"/>
          <w:lang w:val="en-US" w:eastAsia="zh-CN" w:bidi="ar-SA"/>
        </w:rPr>
        <w:t>中小</w:t>
      </w:r>
      <w:r>
        <w:rPr>
          <w:rFonts w:hint="eastAsia" w:ascii="宋体" w:hAnsi="宋体" w:eastAsia="宋体" w:cs="宋体"/>
          <w:color w:val="auto"/>
          <w:sz w:val="24"/>
          <w:szCs w:val="24"/>
          <w:highlight w:val="none"/>
          <w:shd w:val="clear" w:color="auto" w:fill="auto"/>
          <w:lang w:val="en-US" w:eastAsia="zh-CN" w:bidi="ar-SA"/>
        </w:rPr>
        <w:t>企业制造、服务全部由符合政策要求的</w:t>
      </w:r>
      <w:r>
        <w:rPr>
          <w:rFonts w:hint="eastAsia" w:hAnsi="宋体" w:cs="宋体"/>
          <w:color w:val="auto"/>
          <w:sz w:val="24"/>
          <w:szCs w:val="24"/>
          <w:highlight w:val="none"/>
          <w:shd w:val="clear" w:color="auto" w:fill="auto"/>
          <w:lang w:val="en-US" w:eastAsia="zh-CN" w:bidi="ar-SA"/>
        </w:rPr>
        <w:t>中小</w:t>
      </w:r>
      <w:r>
        <w:rPr>
          <w:rFonts w:hint="eastAsia" w:ascii="宋体" w:hAnsi="宋体" w:eastAsia="宋体" w:cs="宋体"/>
          <w:color w:val="auto"/>
          <w:sz w:val="24"/>
          <w:szCs w:val="24"/>
          <w:highlight w:val="none"/>
          <w:shd w:val="clear" w:color="auto" w:fill="auto"/>
          <w:lang w:val="en-US" w:eastAsia="zh-CN" w:bidi="ar-SA"/>
        </w:rPr>
        <w:t>企业承接。</w:t>
      </w:r>
    </w:p>
    <w:p w14:paraId="7B1622B1">
      <w:pPr>
        <w:pStyle w:val="17"/>
        <w:tabs>
          <w:tab w:val="left" w:pos="3497"/>
        </w:tabs>
        <w:kinsoku w:val="0"/>
        <w:overflowPunct w:val="0"/>
        <w:spacing w:before="5" w:line="360" w:lineRule="auto"/>
        <w:ind w:left="541" w:right="570" w:firstLine="420"/>
        <w:jc w:val="both"/>
        <w:rPr>
          <w:rFonts w:hAnsi="宋体"/>
          <w:color w:val="auto"/>
        </w:rPr>
      </w:pPr>
      <w:r>
        <w:rPr>
          <w:rFonts w:hAnsi="宋体" w:cs="Arial"/>
          <w:color w:val="auto"/>
          <w:w w:val="135"/>
          <w:highlight w:val="none"/>
          <w:shd w:val="clear" w:color="auto" w:fill="auto"/>
        </w:rPr>
        <w:t>□</w:t>
      </w:r>
      <w:r>
        <w:rPr>
          <w:rFonts w:hint="eastAsia" w:hAnsi="宋体"/>
          <w:color w:val="auto"/>
          <w:highlight w:val="none"/>
          <w:shd w:val="clear" w:color="auto" w:fill="auto"/>
        </w:rPr>
        <w:t>本项目预留部分采购项目预算专门面向中小企业采购。对于预留份额，</w:t>
      </w:r>
      <w:r>
        <w:rPr>
          <w:rFonts w:hint="eastAsia" w:hAnsi="宋体"/>
          <w:color w:val="auto"/>
          <w:highlight w:val="none"/>
        </w:rPr>
        <w:t>提供的货物由符合政策要求的中小企业</w:t>
      </w:r>
      <w:r>
        <w:rPr>
          <w:rFonts w:hint="eastAsia" w:hAnsi="宋体"/>
          <w:color w:val="auto"/>
        </w:rPr>
        <w:t>制造</w:t>
      </w:r>
      <w:r>
        <w:rPr>
          <w:rFonts w:hint="eastAsia" w:hAnsi="宋体"/>
          <w:color w:val="auto"/>
          <w:spacing w:val="-24"/>
        </w:rPr>
        <w:t>、</w:t>
      </w:r>
      <w:r>
        <w:rPr>
          <w:rFonts w:hint="eastAsia" w:hAnsi="宋体"/>
          <w:color w:val="auto"/>
        </w:rPr>
        <w:t>服务由符合政策要求的中小企业承接</w:t>
      </w:r>
      <w:r>
        <w:rPr>
          <w:rFonts w:hint="eastAsia" w:hAnsi="宋体"/>
          <w:color w:val="auto"/>
          <w:spacing w:val="-25"/>
        </w:rPr>
        <w:t>。</w:t>
      </w:r>
      <w:r>
        <w:rPr>
          <w:rFonts w:hint="eastAsia" w:hAnsi="宋体"/>
          <w:color w:val="auto"/>
        </w:rPr>
        <w:t>预留份额</w:t>
      </w:r>
      <w:r>
        <w:rPr>
          <w:rFonts w:hint="eastAsia" w:hAnsi="宋体"/>
          <w:color w:val="auto"/>
          <w:spacing w:val="-15"/>
        </w:rPr>
        <w:t>通</w:t>
      </w:r>
      <w:r>
        <w:rPr>
          <w:rFonts w:hint="eastAsia" w:hAnsi="宋体"/>
          <w:color w:val="auto"/>
        </w:rPr>
        <w:t>过以下措施进行：</w:t>
      </w:r>
      <w:r>
        <w:rPr>
          <w:rFonts w:hAnsi="宋体"/>
          <w:color w:val="auto"/>
          <w:u w:val="single"/>
        </w:rPr>
        <w:t xml:space="preserve">    /</w:t>
      </w:r>
      <w:r>
        <w:rPr>
          <w:rFonts w:hAnsi="宋体"/>
          <w:color w:val="auto"/>
          <w:u w:val="single"/>
        </w:rPr>
        <w:tab/>
      </w:r>
      <w:r>
        <w:rPr>
          <w:rFonts w:hint="eastAsia" w:hAnsi="宋体"/>
          <w:color w:val="auto"/>
        </w:rPr>
        <w:t>。</w:t>
      </w:r>
    </w:p>
    <w:p w14:paraId="0C6D2C19">
      <w:pPr>
        <w:pStyle w:val="69"/>
        <w:numPr>
          <w:ilvl w:val="1"/>
          <w:numId w:val="9"/>
        </w:numPr>
        <w:tabs>
          <w:tab w:val="left" w:pos="1521"/>
          <w:tab w:val="left" w:pos="7520"/>
        </w:tabs>
        <w:kinsoku w:val="0"/>
        <w:overflowPunct w:val="0"/>
        <w:spacing w:line="360" w:lineRule="auto"/>
        <w:jc w:val="both"/>
        <w:rPr>
          <w:rFonts w:hAnsi="宋体"/>
          <w:color w:val="auto"/>
        </w:rPr>
      </w:pPr>
      <w:r>
        <w:rPr>
          <w:rFonts w:hint="eastAsia" w:hAnsi="宋体"/>
          <w:color w:val="auto"/>
        </w:rPr>
        <w:t>其它落实政府采购政策的资格要求（如有</w:t>
      </w:r>
      <w:r>
        <w:rPr>
          <w:rFonts w:hint="eastAsia" w:hAnsi="宋体"/>
          <w:color w:val="auto"/>
          <w:spacing w:val="-120"/>
        </w:rPr>
        <w:t>）</w:t>
      </w:r>
      <w:r>
        <w:rPr>
          <w:rFonts w:hint="eastAsia" w:hAnsi="宋体"/>
          <w:color w:val="auto"/>
          <w:spacing w:val="-1"/>
        </w:rPr>
        <w:t>：</w:t>
      </w:r>
      <w:r>
        <w:rPr>
          <w:rFonts w:hint="eastAsia" w:hAnsi="宋体" w:cs="Times New Roman"/>
          <w:color w:val="auto"/>
          <w:u w:val="single"/>
          <w:lang w:val="en-US" w:eastAsia="zh-CN"/>
        </w:rPr>
        <w:t>/</w:t>
      </w:r>
      <w:r>
        <w:rPr>
          <w:rFonts w:hint="eastAsia" w:hAnsi="宋体" w:cs="Times New Roman"/>
          <w:color w:val="auto"/>
          <w:u w:val="single"/>
        </w:rPr>
        <w:t>。</w:t>
      </w:r>
    </w:p>
    <w:p w14:paraId="19F2AFD5">
      <w:pPr>
        <w:pStyle w:val="69"/>
        <w:numPr>
          <w:ilvl w:val="0"/>
          <w:numId w:val="9"/>
        </w:numPr>
        <w:tabs>
          <w:tab w:val="left" w:pos="1251"/>
        </w:tabs>
        <w:kinsoku w:val="0"/>
        <w:overflowPunct w:val="0"/>
        <w:spacing w:before="161" w:line="360" w:lineRule="auto"/>
        <w:ind w:hanging="230"/>
        <w:rPr>
          <w:rFonts w:hAnsi="宋体"/>
          <w:color w:val="auto"/>
        </w:rPr>
      </w:pPr>
      <w:r>
        <w:rPr>
          <w:rFonts w:hint="eastAsia" w:hAnsi="宋体"/>
          <w:color w:val="auto"/>
        </w:rPr>
        <w:t>本项目的特定资格要求：</w:t>
      </w:r>
    </w:p>
    <w:p w14:paraId="62AE7CCD">
      <w:pPr>
        <w:pStyle w:val="69"/>
        <w:numPr>
          <w:ilvl w:val="1"/>
          <w:numId w:val="9"/>
        </w:numPr>
        <w:tabs>
          <w:tab w:val="left" w:pos="1461"/>
        </w:tabs>
        <w:kinsoku w:val="0"/>
        <w:overflowPunct w:val="0"/>
        <w:spacing w:before="72" w:line="360" w:lineRule="auto"/>
        <w:ind w:left="1460" w:hanging="440"/>
        <w:rPr>
          <w:rFonts w:hAnsi="宋体"/>
          <w:color w:val="auto"/>
          <w:highlight w:val="none"/>
        </w:rPr>
      </w:pPr>
      <w:r>
        <w:rPr>
          <w:rFonts w:hint="eastAsia" w:hAnsi="宋体"/>
          <w:color w:val="auto"/>
          <w:highlight w:val="none"/>
        </w:rPr>
        <w:t>本项目是否属于政府购买服务：</w:t>
      </w:r>
    </w:p>
    <w:p w14:paraId="351BA475">
      <w:pPr>
        <w:pStyle w:val="17"/>
        <w:kinsoku w:val="0"/>
        <w:overflowPunct w:val="0"/>
        <w:spacing w:before="159" w:line="360" w:lineRule="auto"/>
        <w:ind w:left="1532"/>
        <w:rPr>
          <w:rFonts w:hAnsi="宋体"/>
          <w:color w:val="auto"/>
          <w:w w:val="120"/>
          <w:highlight w:val="none"/>
        </w:rPr>
      </w:pPr>
      <w:r>
        <w:rPr>
          <w:rFonts w:hAnsi="宋体" w:cs="Arial"/>
          <w:color w:val="auto"/>
          <w:w w:val="135"/>
          <w:highlight w:val="none"/>
        </w:rPr>
        <w:t>□</w:t>
      </w:r>
      <w:r>
        <w:rPr>
          <w:rFonts w:hint="eastAsia" w:hAnsi="宋体"/>
          <w:color w:val="auto"/>
          <w:w w:val="120"/>
          <w:highlight w:val="none"/>
        </w:rPr>
        <w:t>否</w:t>
      </w:r>
    </w:p>
    <w:p w14:paraId="7849A54C">
      <w:pPr>
        <w:pStyle w:val="17"/>
        <w:kinsoku w:val="0"/>
        <w:overflowPunct w:val="0"/>
        <w:spacing w:before="160" w:line="360" w:lineRule="auto"/>
        <w:ind w:left="1532" w:right="545"/>
        <w:rPr>
          <w:rFonts w:hAnsi="宋体"/>
          <w:color w:val="auto"/>
          <w:highlight w:val="none"/>
        </w:rPr>
      </w:pPr>
      <w:r>
        <w:rPr>
          <w:rFonts w:hAnsi="宋体"/>
          <w:b/>
          <w:color w:val="auto"/>
          <w:highlight w:val="none"/>
        </w:rPr>
        <w:t>■</w:t>
      </w:r>
      <w:r>
        <w:rPr>
          <w:rFonts w:hint="eastAsia" w:hAnsi="宋体"/>
          <w:color w:val="auto"/>
          <w:highlight w:val="none"/>
        </w:rPr>
        <w:t>是，公益一类事业单位、使用事业编制且由财政拨款保障的群团组织，不得作为承接主体；</w:t>
      </w:r>
    </w:p>
    <w:p w14:paraId="6784E058">
      <w:pPr>
        <w:pStyle w:val="69"/>
        <w:numPr>
          <w:ilvl w:val="1"/>
          <w:numId w:val="9"/>
        </w:numPr>
        <w:tabs>
          <w:tab w:val="left" w:pos="1461"/>
          <w:tab w:val="left" w:pos="4940"/>
        </w:tabs>
        <w:kinsoku w:val="0"/>
        <w:overflowPunct w:val="0"/>
        <w:spacing w:line="360" w:lineRule="auto"/>
        <w:ind w:left="1460" w:hanging="440"/>
        <w:rPr>
          <w:rFonts w:hAnsi="宋体"/>
          <w:color w:val="auto"/>
          <w:highlight w:val="none"/>
        </w:rPr>
      </w:pPr>
      <w:r>
        <w:rPr>
          <w:rFonts w:hint="eastAsia" w:hAnsi="宋体"/>
          <w:color w:val="auto"/>
        </w:rPr>
        <w:t>其他特定资格要求：</w:t>
      </w:r>
      <w:bookmarkStart w:id="3" w:name="_Toc35393623"/>
      <w:bookmarkStart w:id="4" w:name="_Toc35393792"/>
      <w:r>
        <w:rPr>
          <w:rFonts w:hint="eastAsia" w:hAnsi="宋体"/>
          <w:color w:val="auto"/>
          <w:u w:val="single"/>
        </w:rPr>
        <w:t>根据财政部财库〔2016〕125 号《财政部要求加强政采信用记录查询及使用信用记录有关问题的通知》文件相关规定，</w:t>
      </w:r>
      <w:r>
        <w:rPr>
          <w:rFonts w:hint="eastAsia" w:hAnsi="宋体"/>
          <w:color w:val="auto"/>
          <w:u w:val="single"/>
          <w:lang w:eastAsia="zh-CN"/>
        </w:rPr>
        <w:t>供应商</w:t>
      </w:r>
      <w:r>
        <w:rPr>
          <w:rFonts w:hint="eastAsia" w:hAnsi="宋体"/>
          <w:color w:val="auto"/>
          <w:u w:val="single"/>
        </w:rPr>
        <w:t>不得为“信用中国”网站</w:t>
      </w:r>
      <w:r>
        <w:rPr>
          <w:rFonts w:hint="eastAsia" w:hAnsi="宋体"/>
          <w:color w:val="auto"/>
          <w:u w:val="single"/>
        </w:rPr>
        <w:fldChar w:fldCharType="begin"/>
      </w:r>
      <w:r>
        <w:rPr>
          <w:rFonts w:hint="eastAsia" w:hAnsi="宋体"/>
          <w:color w:val="auto"/>
          <w:u w:val="single"/>
        </w:rPr>
        <w:instrText xml:space="preserve"> HYPERLINK "http://www.creditchina.gov.cn/" \h </w:instrText>
      </w:r>
      <w:r>
        <w:rPr>
          <w:rFonts w:hint="eastAsia" w:hAnsi="宋体"/>
          <w:color w:val="auto"/>
          <w:u w:val="single"/>
        </w:rPr>
        <w:fldChar w:fldCharType="separate"/>
      </w:r>
      <w:r>
        <w:rPr>
          <w:rFonts w:hint="eastAsia" w:hAnsi="宋体"/>
          <w:color w:val="auto"/>
          <w:u w:val="single"/>
        </w:rPr>
        <w:t>（www.creditchina.gov.cn</w:t>
      </w:r>
      <w:r>
        <w:rPr>
          <w:rFonts w:hint="eastAsia" w:hAnsi="宋体"/>
          <w:color w:val="auto"/>
          <w:u w:val="single"/>
        </w:rPr>
        <w:fldChar w:fldCharType="end"/>
      </w:r>
      <w:r>
        <w:rPr>
          <w:rFonts w:hint="eastAsia" w:hAnsi="宋体"/>
          <w:color w:val="auto"/>
          <w:u w:val="single"/>
        </w:rPr>
        <w:t>）中列入失信被执行人和重大税收违法案</w:t>
      </w:r>
      <w:r>
        <w:rPr>
          <w:rFonts w:hint="eastAsia" w:hAnsi="宋体"/>
          <w:color w:val="auto"/>
          <w:highlight w:val="none"/>
          <w:u w:val="single"/>
        </w:rPr>
        <w:t>件当事人名单的</w:t>
      </w:r>
      <w:r>
        <w:rPr>
          <w:rFonts w:hint="eastAsia" w:hAnsi="宋体"/>
          <w:color w:val="auto"/>
          <w:highlight w:val="none"/>
          <w:u w:val="single"/>
          <w:lang w:eastAsia="zh-CN"/>
        </w:rPr>
        <w:t>供应商</w:t>
      </w:r>
      <w:r>
        <w:rPr>
          <w:rFonts w:hint="eastAsia" w:hAnsi="宋体"/>
          <w:color w:val="auto"/>
          <w:highlight w:val="none"/>
          <w:u w:val="single"/>
        </w:rPr>
        <w:t>，不得为中国政府采购网</w:t>
      </w:r>
      <w:bookmarkStart w:id="106" w:name="_GoBack"/>
      <w:bookmarkEnd w:id="106"/>
      <w:r>
        <w:rPr>
          <w:rFonts w:hint="eastAsia" w:hAnsi="宋体"/>
          <w:color w:val="auto"/>
          <w:highlight w:val="none"/>
          <w:u w:val="single"/>
        </w:rPr>
        <w:t>（</w:t>
      </w:r>
      <w:r>
        <w:rPr>
          <w:rFonts w:hint="eastAsia" w:hAnsi="宋体"/>
          <w:color w:val="auto"/>
          <w:highlight w:val="none"/>
          <w:u w:val="single"/>
        </w:rPr>
        <w:fldChar w:fldCharType="begin"/>
      </w:r>
      <w:r>
        <w:rPr>
          <w:rFonts w:hint="eastAsia" w:hAnsi="宋体"/>
          <w:color w:val="auto"/>
          <w:highlight w:val="none"/>
          <w:u w:val="single"/>
        </w:rPr>
        <w:instrText xml:space="preserve"> HYPERLINK "http://www.ccgp.gov.cn/" \h </w:instrText>
      </w:r>
      <w:r>
        <w:rPr>
          <w:rFonts w:hint="eastAsia" w:hAnsi="宋体"/>
          <w:color w:val="auto"/>
          <w:highlight w:val="none"/>
          <w:u w:val="single"/>
        </w:rPr>
        <w:fldChar w:fldCharType="separate"/>
      </w:r>
      <w:r>
        <w:rPr>
          <w:rFonts w:hint="eastAsia" w:hAnsi="宋体"/>
          <w:color w:val="auto"/>
          <w:highlight w:val="none"/>
          <w:u w:val="single"/>
        </w:rPr>
        <w:t>www.ccgp.gov.cn</w:t>
      </w:r>
      <w:r>
        <w:rPr>
          <w:rFonts w:hint="eastAsia" w:hAnsi="宋体"/>
          <w:color w:val="auto"/>
          <w:highlight w:val="none"/>
          <w:u w:val="single"/>
        </w:rPr>
        <w:fldChar w:fldCharType="end"/>
      </w:r>
      <w:r>
        <w:rPr>
          <w:rFonts w:hint="eastAsia" w:hAnsi="宋体"/>
          <w:color w:val="auto"/>
          <w:highlight w:val="none"/>
          <w:u w:val="single"/>
        </w:rPr>
        <w:t>）政府采购严重违法失信行为记录名单中被财政部门禁止参加政府采购活动的</w:t>
      </w:r>
      <w:r>
        <w:rPr>
          <w:rFonts w:hint="eastAsia" w:hAnsi="宋体"/>
          <w:color w:val="auto"/>
          <w:highlight w:val="none"/>
          <w:u w:val="single"/>
          <w:lang w:eastAsia="zh-CN"/>
        </w:rPr>
        <w:t>供应商</w:t>
      </w:r>
      <w:r>
        <w:rPr>
          <w:rFonts w:hint="eastAsia" w:hAnsi="宋体"/>
          <w:color w:val="auto"/>
          <w:highlight w:val="none"/>
          <w:u w:val="single"/>
        </w:rPr>
        <w:t>。</w:t>
      </w:r>
    </w:p>
    <w:p w14:paraId="52BF159F">
      <w:pPr>
        <w:pStyle w:val="17"/>
        <w:kinsoku w:val="0"/>
        <w:overflowPunct w:val="0"/>
        <w:spacing w:before="220" w:line="360" w:lineRule="auto"/>
        <w:ind w:left="541"/>
        <w:rPr>
          <w:rFonts w:hAnsi="宋体"/>
          <w:b/>
          <w:bCs/>
          <w:color w:val="auto"/>
          <w:highlight w:val="none"/>
        </w:rPr>
      </w:pPr>
      <w:r>
        <w:rPr>
          <w:rFonts w:hint="eastAsia" w:hAnsi="宋体"/>
          <w:b/>
          <w:bCs/>
          <w:color w:val="auto"/>
          <w:highlight w:val="none"/>
        </w:rPr>
        <w:t>三、获取采购文件</w:t>
      </w:r>
      <w:bookmarkEnd w:id="3"/>
      <w:bookmarkEnd w:id="4"/>
    </w:p>
    <w:p w14:paraId="4A142A13">
      <w:pPr>
        <w:pStyle w:val="69"/>
        <w:tabs>
          <w:tab w:val="left" w:pos="1251"/>
          <w:tab w:val="left" w:pos="4062"/>
        </w:tabs>
        <w:kinsoku w:val="0"/>
        <w:overflowPunct w:val="0"/>
        <w:spacing w:before="161" w:line="360" w:lineRule="auto"/>
        <w:ind w:left="1100" w:leftChars="500" w:firstLine="0"/>
        <w:rPr>
          <w:rFonts w:hAnsi="宋体"/>
          <w:color w:val="auto"/>
          <w:spacing w:val="-1"/>
          <w:highlight w:val="none"/>
        </w:rPr>
      </w:pPr>
      <w:r>
        <w:rPr>
          <w:rFonts w:hAnsi="宋体"/>
          <w:color w:val="auto"/>
          <w:spacing w:val="-1"/>
          <w:highlight w:val="none"/>
        </w:rPr>
        <w:t>1.</w:t>
      </w:r>
      <w:r>
        <w:rPr>
          <w:rFonts w:hint="eastAsia" w:hAnsi="宋体"/>
          <w:color w:val="auto"/>
          <w:spacing w:val="-1"/>
          <w:highlight w:val="none"/>
        </w:rPr>
        <w:t>时间：</w:t>
      </w:r>
      <w:r>
        <w:rPr>
          <w:rFonts w:hAnsi="宋体"/>
          <w:color w:val="auto"/>
          <w:spacing w:val="-1"/>
          <w:highlight w:val="none"/>
          <w:u w:val="single"/>
        </w:rPr>
        <w:t>202</w:t>
      </w:r>
      <w:r>
        <w:rPr>
          <w:rFonts w:hint="eastAsia" w:hAnsi="宋体"/>
          <w:color w:val="auto"/>
          <w:spacing w:val="-1"/>
          <w:highlight w:val="none"/>
          <w:u w:val="single"/>
          <w:lang w:val="en-US" w:eastAsia="zh-CN"/>
        </w:rPr>
        <w:t>4</w:t>
      </w:r>
      <w:r>
        <w:rPr>
          <w:rFonts w:hint="eastAsia" w:hAnsi="宋体"/>
          <w:color w:val="auto"/>
          <w:spacing w:val="-1"/>
          <w:highlight w:val="none"/>
          <w:u w:val="single"/>
        </w:rPr>
        <w:t>年</w:t>
      </w:r>
      <w:r>
        <w:rPr>
          <w:rFonts w:hint="eastAsia" w:hAnsi="宋体"/>
          <w:color w:val="auto"/>
          <w:spacing w:val="-1"/>
          <w:highlight w:val="none"/>
          <w:u w:val="single"/>
          <w:lang w:val="en-US" w:eastAsia="zh-CN"/>
        </w:rPr>
        <w:t>12</w:t>
      </w:r>
      <w:r>
        <w:rPr>
          <w:rFonts w:hint="eastAsia" w:hAnsi="宋体"/>
          <w:color w:val="auto"/>
          <w:spacing w:val="-1"/>
          <w:highlight w:val="none"/>
          <w:u w:val="single"/>
        </w:rPr>
        <w:t>月</w:t>
      </w:r>
      <w:r>
        <w:rPr>
          <w:rFonts w:hint="eastAsia" w:hAnsi="宋体"/>
          <w:color w:val="auto"/>
          <w:spacing w:val="-1"/>
          <w:highlight w:val="none"/>
          <w:u w:val="single"/>
          <w:lang w:val="en-US" w:eastAsia="zh-CN"/>
        </w:rPr>
        <w:t>20</w:t>
      </w:r>
      <w:r>
        <w:rPr>
          <w:rFonts w:hint="eastAsia" w:hAnsi="宋体"/>
          <w:color w:val="auto"/>
          <w:spacing w:val="-1"/>
          <w:highlight w:val="none"/>
          <w:u w:val="single"/>
        </w:rPr>
        <w:t>日至</w:t>
      </w:r>
      <w:r>
        <w:rPr>
          <w:rFonts w:hAnsi="宋体"/>
          <w:color w:val="auto"/>
          <w:spacing w:val="-1"/>
          <w:highlight w:val="none"/>
          <w:u w:val="single"/>
        </w:rPr>
        <w:t>202</w:t>
      </w:r>
      <w:r>
        <w:rPr>
          <w:rFonts w:hint="eastAsia" w:hAnsi="宋体"/>
          <w:color w:val="auto"/>
          <w:spacing w:val="-1"/>
          <w:highlight w:val="none"/>
          <w:u w:val="single"/>
          <w:lang w:val="en-US" w:eastAsia="zh-CN"/>
        </w:rPr>
        <w:t>4</w:t>
      </w:r>
      <w:r>
        <w:rPr>
          <w:rFonts w:hint="eastAsia" w:hAnsi="宋体"/>
          <w:color w:val="auto"/>
          <w:spacing w:val="-1"/>
          <w:highlight w:val="none"/>
          <w:u w:val="single"/>
        </w:rPr>
        <w:t>年</w:t>
      </w:r>
      <w:r>
        <w:rPr>
          <w:rFonts w:hint="eastAsia" w:hAnsi="宋体"/>
          <w:color w:val="auto"/>
          <w:spacing w:val="-1"/>
          <w:highlight w:val="none"/>
          <w:u w:val="single"/>
          <w:lang w:val="en-US" w:eastAsia="zh-CN"/>
        </w:rPr>
        <w:t>12</w:t>
      </w:r>
      <w:r>
        <w:rPr>
          <w:rFonts w:hint="eastAsia" w:hAnsi="宋体"/>
          <w:color w:val="auto"/>
          <w:spacing w:val="-1"/>
          <w:highlight w:val="none"/>
          <w:u w:val="single"/>
        </w:rPr>
        <w:t>月</w:t>
      </w:r>
      <w:r>
        <w:rPr>
          <w:rFonts w:hint="eastAsia" w:hAnsi="宋体"/>
          <w:color w:val="auto"/>
          <w:spacing w:val="-1"/>
          <w:highlight w:val="none"/>
          <w:u w:val="single"/>
          <w:lang w:val="en-US" w:eastAsia="zh-CN"/>
        </w:rPr>
        <w:t>26</w:t>
      </w:r>
      <w:r>
        <w:rPr>
          <w:rFonts w:hint="eastAsia" w:hAnsi="宋体"/>
          <w:color w:val="auto"/>
          <w:spacing w:val="-1"/>
          <w:highlight w:val="none"/>
          <w:u w:val="single"/>
        </w:rPr>
        <w:t>日</w:t>
      </w:r>
      <w:r>
        <w:rPr>
          <w:rFonts w:hint="eastAsia" w:hAnsi="宋体"/>
          <w:color w:val="auto"/>
          <w:spacing w:val="-1"/>
          <w:highlight w:val="none"/>
        </w:rPr>
        <w:t>，每天上午</w:t>
      </w:r>
      <w:r>
        <w:rPr>
          <w:rFonts w:hAnsi="宋体"/>
          <w:color w:val="auto"/>
          <w:spacing w:val="-1"/>
          <w:highlight w:val="none"/>
          <w:u w:val="single"/>
        </w:rPr>
        <w:t>9:00</w:t>
      </w:r>
      <w:r>
        <w:rPr>
          <w:rFonts w:hint="eastAsia" w:hAnsi="宋体"/>
          <w:color w:val="auto"/>
          <w:spacing w:val="-1"/>
          <w:highlight w:val="none"/>
          <w:u w:val="single"/>
        </w:rPr>
        <w:t>至</w:t>
      </w:r>
      <w:r>
        <w:rPr>
          <w:rFonts w:hint="eastAsia" w:hAnsi="宋体"/>
          <w:color w:val="auto"/>
          <w:spacing w:val="-1"/>
          <w:highlight w:val="none"/>
          <w:u w:val="single"/>
          <w:lang w:val="en-US" w:eastAsia="zh-CN"/>
        </w:rPr>
        <w:t>12</w:t>
      </w:r>
      <w:r>
        <w:rPr>
          <w:rFonts w:hAnsi="宋体"/>
          <w:color w:val="auto"/>
          <w:spacing w:val="-1"/>
          <w:highlight w:val="none"/>
          <w:u w:val="single"/>
        </w:rPr>
        <w:t>:</w:t>
      </w:r>
      <w:r>
        <w:rPr>
          <w:rFonts w:hint="eastAsia" w:hAnsi="宋体"/>
          <w:color w:val="auto"/>
          <w:spacing w:val="-1"/>
          <w:highlight w:val="none"/>
          <w:u w:val="single"/>
          <w:lang w:val="en-US" w:eastAsia="zh-CN"/>
        </w:rPr>
        <w:t>0</w:t>
      </w:r>
      <w:r>
        <w:rPr>
          <w:rFonts w:hAnsi="宋体"/>
          <w:color w:val="auto"/>
          <w:spacing w:val="-1"/>
          <w:highlight w:val="none"/>
          <w:u w:val="single"/>
        </w:rPr>
        <w:t>0</w:t>
      </w:r>
      <w:r>
        <w:rPr>
          <w:rFonts w:hint="eastAsia" w:hAnsi="宋体"/>
          <w:color w:val="auto"/>
          <w:spacing w:val="-1"/>
          <w:highlight w:val="none"/>
        </w:rPr>
        <w:t>，下午</w:t>
      </w:r>
      <w:r>
        <w:rPr>
          <w:rFonts w:hAnsi="宋体"/>
          <w:color w:val="auto"/>
          <w:spacing w:val="-1"/>
          <w:highlight w:val="none"/>
          <w:u w:val="single"/>
        </w:rPr>
        <w:t>1</w:t>
      </w:r>
      <w:r>
        <w:rPr>
          <w:rFonts w:hint="eastAsia" w:hAnsi="宋体"/>
          <w:color w:val="auto"/>
          <w:spacing w:val="-1"/>
          <w:highlight w:val="none"/>
          <w:u w:val="single"/>
          <w:lang w:val="en-US" w:eastAsia="zh-CN"/>
        </w:rPr>
        <w:t>2</w:t>
      </w:r>
      <w:r>
        <w:rPr>
          <w:rFonts w:hAnsi="宋体"/>
          <w:color w:val="auto"/>
          <w:spacing w:val="-1"/>
          <w:highlight w:val="none"/>
          <w:u w:val="single"/>
        </w:rPr>
        <w:t>:00</w:t>
      </w:r>
      <w:r>
        <w:rPr>
          <w:rFonts w:hint="eastAsia" w:hAnsi="宋体"/>
          <w:color w:val="auto"/>
          <w:spacing w:val="-1"/>
          <w:highlight w:val="none"/>
          <w:u w:val="single"/>
        </w:rPr>
        <w:t>至</w:t>
      </w:r>
      <w:r>
        <w:rPr>
          <w:rFonts w:hAnsi="宋体"/>
          <w:color w:val="auto"/>
          <w:spacing w:val="-1"/>
          <w:highlight w:val="none"/>
          <w:u w:val="single"/>
        </w:rPr>
        <w:t>16:00</w:t>
      </w:r>
      <w:r>
        <w:rPr>
          <w:rFonts w:hint="eastAsia" w:hAnsi="宋体"/>
          <w:color w:val="auto"/>
          <w:spacing w:val="-1"/>
          <w:highlight w:val="none"/>
        </w:rPr>
        <w:t>（北京时间，法定节假日除外）。</w:t>
      </w:r>
    </w:p>
    <w:p w14:paraId="0FCEB309">
      <w:pPr>
        <w:pStyle w:val="69"/>
        <w:tabs>
          <w:tab w:val="left" w:pos="1251"/>
          <w:tab w:val="left" w:pos="4062"/>
        </w:tabs>
        <w:kinsoku w:val="0"/>
        <w:overflowPunct w:val="0"/>
        <w:spacing w:before="161" w:line="360" w:lineRule="auto"/>
        <w:ind w:left="1100" w:leftChars="500" w:firstLine="0"/>
        <w:rPr>
          <w:rFonts w:hint="eastAsia" w:ascii="宋体" w:hAnsi="宋体" w:eastAsia="宋体" w:cs="宋体"/>
          <w:color w:val="auto"/>
          <w:spacing w:val="-1"/>
          <w:highlight w:val="none"/>
          <w:lang w:eastAsia="zh-CN"/>
        </w:rPr>
      </w:pPr>
      <w:bookmarkStart w:id="5" w:name="_Toc28359005"/>
      <w:bookmarkStart w:id="6" w:name="_Toc28359082"/>
      <w:bookmarkStart w:id="7" w:name="_Toc35393793"/>
      <w:bookmarkStart w:id="8" w:name="_Toc35393624"/>
      <w:r>
        <w:rPr>
          <w:rFonts w:hint="eastAsia" w:ascii="宋体" w:hAnsi="宋体" w:eastAsia="宋体" w:cs="宋体"/>
          <w:color w:val="auto"/>
          <w:spacing w:val="-1"/>
          <w:highlight w:val="none"/>
          <w:lang w:eastAsia="zh-CN"/>
        </w:rPr>
        <w:t>2.地点：北京市政府采购电子交易平台。</w:t>
      </w:r>
    </w:p>
    <w:p w14:paraId="4FCB5997">
      <w:pPr>
        <w:pStyle w:val="69"/>
        <w:tabs>
          <w:tab w:val="left" w:pos="1251"/>
          <w:tab w:val="left" w:pos="4062"/>
        </w:tabs>
        <w:kinsoku w:val="0"/>
        <w:overflowPunct w:val="0"/>
        <w:spacing w:before="161" w:line="360" w:lineRule="auto"/>
        <w:ind w:left="1100" w:leftChars="500" w:firstLine="0"/>
        <w:rPr>
          <w:rFonts w:hint="eastAsia" w:ascii="宋体" w:hAnsi="宋体" w:eastAsia="宋体" w:cs="宋体"/>
          <w:color w:val="auto"/>
          <w:spacing w:val="-1"/>
          <w:lang w:val="en-US" w:eastAsia="zh-CN"/>
        </w:rPr>
      </w:pPr>
      <w:r>
        <w:rPr>
          <w:rFonts w:hint="eastAsia" w:ascii="宋体" w:hAnsi="宋体" w:eastAsia="宋体" w:cs="宋体"/>
          <w:color w:val="auto"/>
          <w:spacing w:val="-1"/>
          <w:highlight w:val="none"/>
          <w:lang w:eastAsia="zh-CN"/>
        </w:rPr>
        <w:t>3.方式：</w:t>
      </w:r>
      <w:r>
        <w:rPr>
          <w:rFonts w:hint="eastAsia" w:ascii="宋体" w:hAnsi="宋体" w:eastAsia="宋体" w:cs="宋体"/>
          <w:color w:val="auto"/>
          <w:spacing w:val="-1"/>
          <w:highlight w:val="none"/>
          <w:lang w:val="en-US" w:eastAsia="zh-CN"/>
        </w:rPr>
        <w:t>线上</w:t>
      </w:r>
      <w:r>
        <w:rPr>
          <w:rFonts w:hint="eastAsia" w:ascii="宋体" w:hAnsi="宋体" w:eastAsia="宋体" w:cs="宋体"/>
          <w:color w:val="auto"/>
          <w:spacing w:val="-1"/>
          <w:highlight w:val="none"/>
          <w:lang w:eastAsia="zh-CN"/>
        </w:rPr>
        <w:t>获取，</w:t>
      </w:r>
      <w:r>
        <w:rPr>
          <w:rFonts w:hint="eastAsia" w:ascii="宋体" w:hAnsi="宋体" w:eastAsia="宋体" w:cs="宋体"/>
          <w:color w:val="auto"/>
          <w:spacing w:val="-1"/>
          <w:highlight w:val="none"/>
        </w:rPr>
        <w:t>供应商持CA</w:t>
      </w:r>
      <w:r>
        <w:rPr>
          <w:rFonts w:hint="eastAsia" w:ascii="宋体" w:hAnsi="宋体" w:eastAsia="宋体" w:cs="宋体"/>
          <w:color w:val="auto"/>
          <w:spacing w:val="-1"/>
        </w:rPr>
        <w:t>数字认证证书登录北京市政府采购电子交易平台（http://zbcg-bjzc.zhongcy.com/bjczj-portal-site/index.html#/home）获取电子版竞争性磋商文件</w:t>
      </w:r>
      <w:r>
        <w:rPr>
          <w:rFonts w:hint="eastAsia" w:ascii="宋体" w:hAnsi="宋体" w:eastAsia="宋体" w:cs="宋体"/>
          <w:color w:val="auto"/>
          <w:spacing w:val="-1"/>
          <w:lang w:val="en-US" w:eastAsia="zh-CN"/>
        </w:rPr>
        <w:t xml:space="preserve">。        </w:t>
      </w:r>
    </w:p>
    <w:p w14:paraId="1A784CEC">
      <w:pPr>
        <w:pStyle w:val="69"/>
        <w:tabs>
          <w:tab w:val="left" w:pos="1251"/>
          <w:tab w:val="left" w:pos="4062"/>
        </w:tabs>
        <w:kinsoku w:val="0"/>
        <w:overflowPunct w:val="0"/>
        <w:spacing w:before="161" w:line="360" w:lineRule="auto"/>
        <w:ind w:left="1100" w:leftChars="500" w:firstLine="0"/>
        <w:rPr>
          <w:rFonts w:hint="eastAsia" w:ascii="宋体" w:hAnsi="宋体" w:eastAsia="宋体" w:cs="宋体"/>
          <w:color w:val="auto"/>
          <w:spacing w:val="-1"/>
        </w:rPr>
      </w:pPr>
      <w:r>
        <w:rPr>
          <w:rFonts w:hint="eastAsia" w:ascii="宋体" w:hAnsi="宋体" w:eastAsia="宋体" w:cs="宋体"/>
          <w:color w:val="auto"/>
          <w:spacing w:val="-1"/>
        </w:rPr>
        <w:t>4.售价：</w:t>
      </w:r>
      <w:r>
        <w:rPr>
          <w:rFonts w:hint="eastAsia" w:ascii="宋体" w:hAnsi="宋体" w:eastAsia="宋体" w:cs="宋体"/>
          <w:color w:val="auto"/>
          <w:spacing w:val="-1"/>
          <w:lang w:val="en-US" w:eastAsia="zh-CN"/>
        </w:rPr>
        <w:t>0</w:t>
      </w:r>
      <w:r>
        <w:rPr>
          <w:rFonts w:hint="eastAsia" w:ascii="宋体" w:hAnsi="宋体" w:eastAsia="宋体" w:cs="宋体"/>
          <w:color w:val="auto"/>
          <w:spacing w:val="-1"/>
        </w:rPr>
        <w:t>元。</w:t>
      </w:r>
    </w:p>
    <w:p w14:paraId="48A5044E">
      <w:pPr>
        <w:pStyle w:val="17"/>
        <w:kinsoku w:val="0"/>
        <w:overflowPunct w:val="0"/>
        <w:spacing w:before="220" w:line="360" w:lineRule="auto"/>
        <w:ind w:left="541"/>
        <w:rPr>
          <w:rFonts w:hAnsi="宋体"/>
          <w:b/>
          <w:bCs/>
          <w:color w:val="auto"/>
          <w:highlight w:val="none"/>
        </w:rPr>
      </w:pPr>
      <w:r>
        <w:rPr>
          <w:rFonts w:hint="eastAsia" w:hAnsi="宋体"/>
          <w:b/>
          <w:bCs/>
          <w:color w:val="auto"/>
          <w:highlight w:val="none"/>
        </w:rPr>
        <w:t>四、</w:t>
      </w:r>
      <w:bookmarkEnd w:id="5"/>
      <w:bookmarkEnd w:id="6"/>
      <w:bookmarkEnd w:id="7"/>
      <w:bookmarkEnd w:id="8"/>
      <w:r>
        <w:rPr>
          <w:rFonts w:hint="eastAsia" w:hAnsi="宋体"/>
          <w:b/>
          <w:bCs/>
          <w:color w:val="auto"/>
          <w:highlight w:val="none"/>
        </w:rPr>
        <w:t>响应文件提交</w:t>
      </w:r>
    </w:p>
    <w:p w14:paraId="212BF4CD">
      <w:pPr>
        <w:spacing w:line="360" w:lineRule="auto"/>
        <w:ind w:firstLine="1200" w:firstLineChars="500"/>
        <w:rPr>
          <w:rFonts w:hAnsi="宋体"/>
          <w:bCs/>
          <w:color w:val="auto"/>
          <w:sz w:val="24"/>
          <w:highlight w:val="none"/>
          <w:u w:val="single"/>
        </w:rPr>
      </w:pPr>
      <w:r>
        <w:rPr>
          <w:rFonts w:hint="eastAsia" w:hAnsi="宋体"/>
          <w:color w:val="auto"/>
          <w:sz w:val="24"/>
          <w:highlight w:val="none"/>
          <w:lang w:bidi="ar"/>
        </w:rPr>
        <w:t>截止时间：</w:t>
      </w:r>
      <w:r>
        <w:rPr>
          <w:rFonts w:hAnsi="宋体"/>
          <w:color w:val="auto"/>
          <w:sz w:val="24"/>
          <w:highlight w:val="none"/>
        </w:rPr>
        <w:t>202</w:t>
      </w:r>
      <w:r>
        <w:rPr>
          <w:rFonts w:hint="eastAsia" w:hAnsi="宋体"/>
          <w:color w:val="auto"/>
          <w:sz w:val="24"/>
          <w:highlight w:val="none"/>
          <w:lang w:val="en-US" w:eastAsia="zh-CN"/>
        </w:rPr>
        <w:t>5</w:t>
      </w:r>
      <w:r>
        <w:rPr>
          <w:rFonts w:hint="eastAsia" w:hAnsi="宋体"/>
          <w:color w:val="auto"/>
          <w:sz w:val="24"/>
          <w:highlight w:val="none"/>
          <w:lang w:bidi="ar"/>
        </w:rPr>
        <w:t>年</w:t>
      </w:r>
      <w:r>
        <w:rPr>
          <w:rFonts w:hint="eastAsia" w:hAnsi="宋体"/>
          <w:color w:val="auto"/>
          <w:sz w:val="24"/>
          <w:highlight w:val="none"/>
          <w:lang w:val="en-US" w:eastAsia="zh-CN"/>
        </w:rPr>
        <w:t>1</w:t>
      </w:r>
      <w:r>
        <w:rPr>
          <w:rFonts w:hint="eastAsia" w:hAnsi="宋体"/>
          <w:color w:val="auto"/>
          <w:sz w:val="24"/>
          <w:highlight w:val="none"/>
          <w:lang w:bidi="ar"/>
        </w:rPr>
        <w:t>月</w:t>
      </w:r>
      <w:r>
        <w:rPr>
          <w:rFonts w:hint="eastAsia" w:hAnsi="宋体"/>
          <w:color w:val="auto"/>
          <w:sz w:val="24"/>
          <w:highlight w:val="none"/>
          <w:lang w:val="en-US" w:eastAsia="zh-CN" w:bidi="ar"/>
        </w:rPr>
        <w:t>3</w:t>
      </w:r>
      <w:r>
        <w:rPr>
          <w:rFonts w:hint="eastAsia" w:hAnsi="宋体"/>
          <w:color w:val="auto"/>
          <w:sz w:val="24"/>
          <w:highlight w:val="none"/>
          <w:lang w:bidi="ar"/>
        </w:rPr>
        <w:t>日</w:t>
      </w:r>
      <w:r>
        <w:rPr>
          <w:rFonts w:hint="eastAsia" w:hAnsi="宋体"/>
          <w:color w:val="auto"/>
          <w:sz w:val="24"/>
          <w:highlight w:val="none"/>
          <w:lang w:val="en-US" w:eastAsia="zh-CN"/>
        </w:rPr>
        <w:t>10</w:t>
      </w:r>
      <w:r>
        <w:rPr>
          <w:rFonts w:hint="eastAsia" w:hAnsi="宋体"/>
          <w:color w:val="auto"/>
          <w:sz w:val="24"/>
          <w:highlight w:val="none"/>
          <w:lang w:bidi="ar"/>
        </w:rPr>
        <w:t>点</w:t>
      </w:r>
      <w:r>
        <w:rPr>
          <w:rFonts w:hint="eastAsia" w:hAnsi="宋体"/>
          <w:color w:val="auto"/>
          <w:sz w:val="24"/>
          <w:highlight w:val="none"/>
          <w:lang w:val="en-US" w:eastAsia="zh-CN"/>
        </w:rPr>
        <w:t>0</w:t>
      </w:r>
      <w:r>
        <w:rPr>
          <w:rFonts w:hAnsi="宋体"/>
          <w:color w:val="auto"/>
          <w:sz w:val="24"/>
          <w:highlight w:val="none"/>
        </w:rPr>
        <w:t>0</w:t>
      </w:r>
      <w:r>
        <w:rPr>
          <w:rFonts w:hint="eastAsia" w:hAnsi="宋体"/>
          <w:color w:val="auto"/>
          <w:sz w:val="24"/>
          <w:highlight w:val="none"/>
          <w:lang w:bidi="ar"/>
        </w:rPr>
        <w:t>分</w:t>
      </w:r>
      <w:r>
        <w:rPr>
          <w:rFonts w:hint="eastAsia" w:hAnsi="宋体"/>
          <w:bCs/>
          <w:color w:val="auto"/>
          <w:sz w:val="24"/>
          <w:highlight w:val="none"/>
          <w:lang w:bidi="ar"/>
        </w:rPr>
        <w:t>（北京时间）</w:t>
      </w:r>
      <w:r>
        <w:rPr>
          <w:rFonts w:hint="eastAsia" w:hAnsi="宋体"/>
          <w:iCs/>
          <w:color w:val="auto"/>
          <w:sz w:val="24"/>
          <w:highlight w:val="none"/>
          <w:lang w:bidi="ar"/>
        </w:rPr>
        <w:t>。</w:t>
      </w:r>
    </w:p>
    <w:p w14:paraId="1DB18DBC">
      <w:pPr>
        <w:spacing w:line="360" w:lineRule="auto"/>
        <w:ind w:left="1919" w:leftChars="545" w:hanging="720" w:hangingChars="300"/>
        <w:rPr>
          <w:rFonts w:hAnsi="宋体"/>
          <w:color w:val="auto"/>
          <w:sz w:val="24"/>
          <w:highlight w:val="none"/>
          <w:lang w:val="zh-TW" w:bidi="ar"/>
        </w:rPr>
      </w:pPr>
      <w:r>
        <w:rPr>
          <w:rFonts w:hint="eastAsia" w:hAnsi="宋体"/>
          <w:color w:val="auto"/>
          <w:sz w:val="24"/>
          <w:highlight w:val="none"/>
          <w:lang w:bidi="ar"/>
        </w:rPr>
        <w:t>地点：</w:t>
      </w:r>
      <w:r>
        <w:rPr>
          <w:rFonts w:hint="eastAsia" w:hAnsi="宋体"/>
          <w:color w:val="auto"/>
          <w:sz w:val="24"/>
          <w:highlight w:val="none"/>
          <w:lang w:eastAsia="zh-CN" w:bidi="ar"/>
        </w:rPr>
        <w:t>北京市政府采购电子交易平台。</w:t>
      </w:r>
    </w:p>
    <w:p w14:paraId="49419750">
      <w:pPr>
        <w:pStyle w:val="17"/>
        <w:kinsoku w:val="0"/>
        <w:overflowPunct w:val="0"/>
        <w:spacing w:before="220" w:line="360" w:lineRule="auto"/>
        <w:ind w:left="541"/>
        <w:rPr>
          <w:rFonts w:hint="eastAsia" w:hAnsi="宋体"/>
          <w:b/>
          <w:bCs/>
          <w:color w:val="auto"/>
          <w:highlight w:val="none"/>
        </w:rPr>
      </w:pPr>
      <w:r>
        <w:rPr>
          <w:rFonts w:hint="eastAsia" w:hAnsi="宋体"/>
          <w:b/>
          <w:bCs/>
          <w:color w:val="auto"/>
          <w:highlight w:val="none"/>
          <w:lang w:val="zh-TW"/>
        </w:rPr>
        <w:t xml:space="preserve"> </w:t>
      </w:r>
      <w:r>
        <w:rPr>
          <w:rFonts w:hint="eastAsia" w:hAnsi="宋体"/>
          <w:b/>
          <w:bCs/>
          <w:color w:val="auto"/>
          <w:highlight w:val="none"/>
        </w:rPr>
        <w:t>五、开启</w:t>
      </w:r>
    </w:p>
    <w:p w14:paraId="79954889">
      <w:pPr>
        <w:spacing w:line="360" w:lineRule="auto"/>
        <w:ind w:firstLine="1200" w:firstLineChars="500"/>
        <w:rPr>
          <w:rFonts w:hAnsi="宋体"/>
          <w:bCs/>
          <w:color w:val="auto"/>
          <w:sz w:val="24"/>
          <w:highlight w:val="none"/>
          <w:u w:val="single"/>
        </w:rPr>
      </w:pPr>
      <w:r>
        <w:rPr>
          <w:rFonts w:hint="eastAsia" w:hAnsi="宋体"/>
          <w:color w:val="auto"/>
          <w:sz w:val="24"/>
          <w:highlight w:val="none"/>
          <w:lang w:bidi="ar"/>
        </w:rPr>
        <w:t>时间：</w:t>
      </w:r>
      <w:r>
        <w:rPr>
          <w:rFonts w:hAnsi="宋体"/>
          <w:color w:val="auto"/>
          <w:sz w:val="24"/>
          <w:highlight w:val="none"/>
        </w:rPr>
        <w:t>202</w:t>
      </w:r>
      <w:r>
        <w:rPr>
          <w:rFonts w:hint="eastAsia" w:hAnsi="宋体"/>
          <w:color w:val="auto"/>
          <w:sz w:val="24"/>
          <w:highlight w:val="none"/>
          <w:lang w:val="en-US" w:eastAsia="zh-CN"/>
        </w:rPr>
        <w:t>5</w:t>
      </w:r>
      <w:r>
        <w:rPr>
          <w:rFonts w:hint="eastAsia" w:hAnsi="宋体"/>
          <w:color w:val="auto"/>
          <w:sz w:val="24"/>
          <w:highlight w:val="none"/>
          <w:lang w:bidi="ar"/>
        </w:rPr>
        <w:t>年</w:t>
      </w:r>
      <w:r>
        <w:rPr>
          <w:rFonts w:hint="eastAsia" w:hAnsi="宋体"/>
          <w:color w:val="auto"/>
          <w:sz w:val="24"/>
          <w:highlight w:val="none"/>
          <w:lang w:val="en-US" w:eastAsia="zh-CN"/>
        </w:rPr>
        <w:t>1</w:t>
      </w:r>
      <w:r>
        <w:rPr>
          <w:rFonts w:hint="eastAsia" w:hAnsi="宋体"/>
          <w:color w:val="auto"/>
          <w:sz w:val="24"/>
          <w:highlight w:val="none"/>
          <w:lang w:bidi="ar"/>
        </w:rPr>
        <w:t>月</w:t>
      </w:r>
      <w:r>
        <w:rPr>
          <w:rFonts w:hint="eastAsia" w:hAnsi="宋体"/>
          <w:color w:val="auto"/>
          <w:sz w:val="24"/>
          <w:highlight w:val="none"/>
          <w:lang w:val="en-US" w:eastAsia="zh-CN" w:bidi="ar"/>
        </w:rPr>
        <w:t>3</w:t>
      </w:r>
      <w:r>
        <w:rPr>
          <w:rFonts w:hint="eastAsia" w:hAnsi="宋体"/>
          <w:color w:val="auto"/>
          <w:sz w:val="24"/>
          <w:highlight w:val="none"/>
          <w:lang w:bidi="ar"/>
        </w:rPr>
        <w:t>日</w:t>
      </w:r>
      <w:r>
        <w:rPr>
          <w:rFonts w:hint="eastAsia" w:hAnsi="宋体"/>
          <w:color w:val="auto"/>
          <w:sz w:val="24"/>
          <w:highlight w:val="none"/>
          <w:lang w:val="en-US" w:eastAsia="zh-CN"/>
        </w:rPr>
        <w:t>10</w:t>
      </w:r>
      <w:r>
        <w:rPr>
          <w:rFonts w:hint="eastAsia" w:hAnsi="宋体"/>
          <w:color w:val="auto"/>
          <w:sz w:val="24"/>
          <w:highlight w:val="none"/>
          <w:lang w:bidi="ar"/>
        </w:rPr>
        <w:t>点</w:t>
      </w:r>
      <w:r>
        <w:rPr>
          <w:rFonts w:hint="eastAsia" w:hAnsi="宋体"/>
          <w:color w:val="auto"/>
          <w:sz w:val="24"/>
          <w:highlight w:val="none"/>
          <w:lang w:val="en-US" w:eastAsia="zh-CN"/>
        </w:rPr>
        <w:t>0</w:t>
      </w:r>
      <w:r>
        <w:rPr>
          <w:rFonts w:hAnsi="宋体"/>
          <w:color w:val="auto"/>
          <w:sz w:val="24"/>
          <w:highlight w:val="none"/>
        </w:rPr>
        <w:t>0</w:t>
      </w:r>
      <w:r>
        <w:rPr>
          <w:rFonts w:hint="eastAsia" w:hAnsi="宋体"/>
          <w:color w:val="auto"/>
          <w:sz w:val="24"/>
          <w:highlight w:val="none"/>
          <w:lang w:bidi="ar"/>
        </w:rPr>
        <w:t>分</w:t>
      </w:r>
      <w:r>
        <w:rPr>
          <w:rFonts w:hint="eastAsia" w:hAnsi="宋体"/>
          <w:bCs/>
          <w:color w:val="auto"/>
          <w:sz w:val="24"/>
          <w:highlight w:val="none"/>
          <w:lang w:bidi="ar"/>
        </w:rPr>
        <w:t>（北京时间）</w:t>
      </w:r>
      <w:r>
        <w:rPr>
          <w:rFonts w:hint="eastAsia" w:hAnsi="宋体"/>
          <w:iCs/>
          <w:color w:val="auto"/>
          <w:sz w:val="24"/>
          <w:highlight w:val="none"/>
          <w:lang w:bidi="ar"/>
        </w:rPr>
        <w:t>。</w:t>
      </w:r>
    </w:p>
    <w:p w14:paraId="5211DF27">
      <w:pPr>
        <w:spacing w:line="360" w:lineRule="auto"/>
        <w:ind w:left="1919" w:leftChars="545" w:hanging="720" w:hangingChars="300"/>
        <w:rPr>
          <w:rFonts w:hAnsi="宋体"/>
          <w:color w:val="auto"/>
          <w:sz w:val="24"/>
          <w:highlight w:val="none"/>
          <w:lang w:val="zh-TW" w:bidi="ar"/>
        </w:rPr>
      </w:pPr>
      <w:r>
        <w:rPr>
          <w:rFonts w:hint="eastAsia" w:hAnsi="宋体"/>
          <w:color w:val="auto"/>
          <w:sz w:val="24"/>
          <w:highlight w:val="none"/>
          <w:lang w:bidi="ar"/>
        </w:rPr>
        <w:t>地点：</w:t>
      </w:r>
      <w:r>
        <w:rPr>
          <w:rFonts w:hint="eastAsia" w:hAnsi="宋体"/>
          <w:color w:val="auto"/>
          <w:sz w:val="24"/>
          <w:highlight w:val="none"/>
          <w:lang w:eastAsia="zh-CN" w:bidi="ar"/>
        </w:rPr>
        <w:t>顺义区复兴东街3号院顺义政务服务中心B区6号电梯厅2层竞标室（具体标室以当天大屏幕为准）。</w:t>
      </w:r>
    </w:p>
    <w:p w14:paraId="133B9583">
      <w:pPr>
        <w:pStyle w:val="17"/>
        <w:kinsoku w:val="0"/>
        <w:overflowPunct w:val="0"/>
        <w:spacing w:before="220" w:line="360" w:lineRule="auto"/>
        <w:ind w:left="541"/>
        <w:rPr>
          <w:rFonts w:hint="eastAsia" w:hAnsi="宋体"/>
          <w:b/>
          <w:bCs/>
          <w:color w:val="auto"/>
          <w:highlight w:val="none"/>
        </w:rPr>
      </w:pPr>
      <w:bookmarkStart w:id="9" w:name="_Toc35393794"/>
      <w:bookmarkStart w:id="10" w:name="_Toc35393625"/>
      <w:bookmarkStart w:id="11" w:name="_Toc28359084"/>
      <w:bookmarkStart w:id="12" w:name="_Toc28359007"/>
      <w:r>
        <w:rPr>
          <w:rFonts w:hint="eastAsia" w:hAnsi="宋体"/>
          <w:b/>
          <w:bCs/>
          <w:color w:val="auto"/>
          <w:highlight w:val="none"/>
        </w:rPr>
        <w:t>六、公告期限</w:t>
      </w:r>
      <w:bookmarkEnd w:id="9"/>
      <w:bookmarkEnd w:id="10"/>
      <w:bookmarkEnd w:id="11"/>
      <w:bookmarkEnd w:id="12"/>
    </w:p>
    <w:p w14:paraId="5A38BD48">
      <w:pPr>
        <w:spacing w:line="360" w:lineRule="auto"/>
        <w:ind w:firstLine="480" w:firstLineChars="200"/>
        <w:rPr>
          <w:rFonts w:hAnsi="宋体"/>
          <w:color w:val="auto"/>
          <w:sz w:val="24"/>
        </w:rPr>
      </w:pPr>
      <w:r>
        <w:rPr>
          <w:rFonts w:hint="eastAsia" w:hAnsi="宋体"/>
          <w:color w:val="auto"/>
          <w:sz w:val="24"/>
        </w:rPr>
        <w:t>自本公告发布之日起</w:t>
      </w:r>
      <w:r>
        <w:rPr>
          <w:rFonts w:hAnsi="宋体"/>
          <w:color w:val="auto"/>
          <w:sz w:val="24"/>
        </w:rPr>
        <w:t>3</w:t>
      </w:r>
      <w:r>
        <w:rPr>
          <w:rFonts w:hint="eastAsia" w:hAnsi="宋体"/>
          <w:color w:val="auto"/>
          <w:sz w:val="24"/>
        </w:rPr>
        <w:t>个工作日。</w:t>
      </w:r>
    </w:p>
    <w:p w14:paraId="5CE05F7B">
      <w:pPr>
        <w:pStyle w:val="17"/>
        <w:kinsoku w:val="0"/>
        <w:overflowPunct w:val="0"/>
        <w:spacing w:before="220" w:line="360" w:lineRule="auto"/>
        <w:ind w:left="541"/>
        <w:rPr>
          <w:rFonts w:hint="eastAsia" w:hAnsi="宋体"/>
          <w:b/>
          <w:bCs/>
          <w:color w:val="auto"/>
          <w:highlight w:val="none"/>
        </w:rPr>
      </w:pPr>
      <w:bookmarkStart w:id="13" w:name="_Toc35393626"/>
      <w:bookmarkStart w:id="14" w:name="_Toc35393795"/>
      <w:r>
        <w:rPr>
          <w:rFonts w:hint="eastAsia" w:hAnsi="宋体"/>
          <w:b/>
          <w:bCs/>
          <w:color w:val="auto"/>
          <w:highlight w:val="none"/>
        </w:rPr>
        <w:t>七、其他补充事宜</w:t>
      </w:r>
      <w:bookmarkEnd w:id="13"/>
      <w:bookmarkEnd w:id="14"/>
    </w:p>
    <w:p w14:paraId="64DBCB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本项目需要落实的政府采购政策：《中华人民共和国政府采购法》、《中华人民共和国政府采购法实施条例》、财政部关于印发《政府采购竞争性磋商采购方式管理暂行办法》的通知（财库〔2014〕214号）、《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 民政部 中国残疾人联合会关于促进残疾人就业政府采购政策的通知》（财库〔2017〕 141 号）、《关于印发环境标志产品政府采购品目清单的通知》（财库〔2019〕18号）、《关于印发节能产品政府采购品目清单的通知》（财库〔2019〕19号）、《政府采购促进中小企业发展管理办法》（财库[2020]46号）及其它相关法律法规。</w:t>
      </w:r>
    </w:p>
    <w:p w14:paraId="3BC960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.本项目采用</w:t>
      </w:r>
      <w:r>
        <w:rPr>
          <w:rFonts w:hint="eastAsia" w:ascii="宋体" w:hAnsi="宋体" w:eastAsia="宋体" w:cs="宋体"/>
          <w:color w:val="auto"/>
          <w:sz w:val="24"/>
          <w:szCs w:val="24"/>
          <w:highlight w:val="none"/>
          <w:lang w:eastAsia="zh-CN" w:bidi="ar"/>
        </w:rPr>
        <w:t>“</w:t>
      </w:r>
      <w:r>
        <w:rPr>
          <w:rFonts w:hint="eastAsia" w:hAnsi="宋体" w:cs="宋体"/>
          <w:b/>
          <w:bCs/>
          <w:color w:val="auto"/>
          <w:sz w:val="24"/>
          <w:szCs w:val="24"/>
          <w:highlight w:val="none"/>
          <w:lang w:val="en-US" w:eastAsia="zh-CN" w:bidi="ar"/>
        </w:rPr>
        <w:t>全流程电子化</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的</w:t>
      </w:r>
      <w:r>
        <w:rPr>
          <w:rFonts w:hint="eastAsia" w:ascii="宋体" w:hAnsi="宋体" w:eastAsia="宋体" w:cs="宋体"/>
          <w:color w:val="auto"/>
          <w:sz w:val="24"/>
          <w:szCs w:val="24"/>
          <w:highlight w:val="none"/>
          <w:lang w:bidi="ar"/>
        </w:rPr>
        <w:t>电子化采购方式，</w:t>
      </w:r>
      <w:r>
        <w:rPr>
          <w:rFonts w:hint="eastAsia" w:ascii="宋体" w:hAnsi="宋体" w:eastAsia="宋体" w:cs="宋体"/>
          <w:color w:val="auto"/>
          <w:sz w:val="24"/>
          <w:szCs w:val="24"/>
          <w:highlight w:val="none"/>
          <w:lang w:val="en-US" w:eastAsia="zh-CN" w:bidi="ar"/>
        </w:rPr>
        <w:t>请供应商认真学习北京市政府采购电子交易平台发布的相关操作手册（供应商可在交易平台下载相关手册），办理CA 数字证书或电子营业执照、进行北京市政府采购电子交易平台注册绑定，并认真核实CA 数字证书或电子营业执照情况确认是否符合本项目电子化采购流程要求。</w:t>
      </w:r>
    </w:p>
    <w:p w14:paraId="4A25BEE2">
      <w:pPr>
        <w:keepNext w:val="0"/>
        <w:keepLines w:val="0"/>
        <w:pageBreakBefore w:val="0"/>
        <w:kinsoku/>
        <w:wordWrap/>
        <w:overflowPunct/>
        <w:topLinePunct w:val="0"/>
        <w:autoSpaceDE w:val="0"/>
        <w:autoSpaceDN w:val="0"/>
        <w:bidi w:val="0"/>
        <w:adjustRightInd w:val="0"/>
        <w:snapToGrid w:val="0"/>
        <w:spacing w:line="360" w:lineRule="auto"/>
        <w:ind w:firstLine="482" w:firstLineChars="200"/>
        <w:textAlignment w:val="auto"/>
        <w:rPr>
          <w:rFonts w:eastAsia="宋体"/>
          <w:b/>
          <w:bCs/>
          <w:color w:val="auto"/>
          <w:sz w:val="24"/>
          <w:highlight w:val="none"/>
          <w:lang w:bidi="ar"/>
        </w:rPr>
      </w:pPr>
      <w:r>
        <w:rPr>
          <w:rFonts w:eastAsia="宋体"/>
          <w:b/>
          <w:bCs/>
          <w:color w:val="auto"/>
          <w:sz w:val="24"/>
          <w:highlight w:val="none"/>
          <w:lang w:bidi="ar"/>
        </w:rPr>
        <w:t>CA认证证书服务热线 010-58511086</w:t>
      </w:r>
    </w:p>
    <w:p w14:paraId="1F44BAEA">
      <w:pPr>
        <w:keepNext w:val="0"/>
        <w:keepLines w:val="0"/>
        <w:pageBreakBefore w:val="0"/>
        <w:kinsoku/>
        <w:wordWrap/>
        <w:overflowPunct/>
        <w:topLinePunct w:val="0"/>
        <w:autoSpaceDE w:val="0"/>
        <w:autoSpaceDN w:val="0"/>
        <w:bidi w:val="0"/>
        <w:adjustRightInd w:val="0"/>
        <w:snapToGrid w:val="0"/>
        <w:spacing w:line="360" w:lineRule="auto"/>
        <w:ind w:firstLine="482" w:firstLineChars="200"/>
        <w:textAlignment w:val="auto"/>
        <w:rPr>
          <w:rFonts w:ascii="宋体" w:hAnsi="Times New Roman" w:eastAsia="宋体" w:cs="宋体"/>
          <w:b/>
          <w:bCs/>
          <w:color w:val="auto"/>
          <w:sz w:val="24"/>
          <w:highlight w:val="none"/>
          <w:lang w:bidi="ar"/>
        </w:rPr>
      </w:pPr>
      <w:r>
        <w:rPr>
          <w:rFonts w:hint="eastAsia" w:ascii="宋体" w:hAnsi="Times New Roman" w:eastAsia="宋体" w:cs="宋体"/>
          <w:b/>
          <w:bCs/>
          <w:color w:val="auto"/>
          <w:sz w:val="24"/>
          <w:highlight w:val="none"/>
          <w:lang w:bidi="ar"/>
        </w:rPr>
        <w:t>电子营业执照服务热线400-699-7000</w:t>
      </w:r>
    </w:p>
    <w:p w14:paraId="0287F115">
      <w:pPr>
        <w:keepNext w:val="0"/>
        <w:keepLines w:val="0"/>
        <w:pageBreakBefore w:val="0"/>
        <w:kinsoku/>
        <w:wordWrap/>
        <w:overflowPunct/>
        <w:topLinePunct w:val="0"/>
        <w:autoSpaceDE w:val="0"/>
        <w:autoSpaceDN w:val="0"/>
        <w:bidi w:val="0"/>
        <w:adjustRightInd w:val="0"/>
        <w:snapToGrid w:val="0"/>
        <w:spacing w:line="360" w:lineRule="auto"/>
        <w:ind w:firstLine="482" w:firstLineChars="200"/>
        <w:textAlignment w:val="auto"/>
        <w:rPr>
          <w:rFonts w:eastAsia="宋体"/>
          <w:b/>
          <w:bCs/>
          <w:color w:val="auto"/>
          <w:sz w:val="24"/>
          <w:highlight w:val="none"/>
        </w:rPr>
      </w:pPr>
      <w:r>
        <w:rPr>
          <w:rFonts w:eastAsia="宋体"/>
          <w:b/>
          <w:bCs/>
          <w:color w:val="auto"/>
          <w:sz w:val="24"/>
          <w:highlight w:val="none"/>
          <w:lang w:bidi="ar"/>
        </w:rPr>
        <w:t>技术支持服务热线</w:t>
      </w:r>
      <w:r>
        <w:rPr>
          <w:rFonts w:hint="eastAsia" w:eastAsia="宋体"/>
          <w:b/>
          <w:bCs/>
          <w:color w:val="auto"/>
          <w:sz w:val="24"/>
          <w:highlight w:val="none"/>
          <w:lang w:val="en-US" w:eastAsia="zh-CN" w:bidi="ar"/>
        </w:rPr>
        <w:t xml:space="preserve"> </w:t>
      </w:r>
      <w:r>
        <w:rPr>
          <w:rFonts w:eastAsia="宋体"/>
          <w:b/>
          <w:bCs/>
          <w:color w:val="auto"/>
          <w:sz w:val="24"/>
          <w:highlight w:val="none"/>
          <w:lang w:bidi="ar"/>
        </w:rPr>
        <w:t xml:space="preserve">010-86483801    </w:t>
      </w:r>
    </w:p>
    <w:p w14:paraId="125CF22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eastAsia="宋体"/>
          <w:color w:val="auto"/>
          <w:sz w:val="24"/>
          <w:highlight w:val="none"/>
          <w:lang w:bidi="ar"/>
        </w:rPr>
      </w:pPr>
      <w:r>
        <w:rPr>
          <w:rFonts w:hint="eastAsia" w:eastAsia="宋体"/>
          <w:color w:val="auto"/>
          <w:sz w:val="24"/>
          <w:highlight w:val="none"/>
          <w:lang w:val="en-US" w:eastAsia="zh-CN" w:bidi="ar"/>
        </w:rPr>
        <w:t>2</w:t>
      </w:r>
      <w:r>
        <w:rPr>
          <w:rFonts w:eastAsia="宋体"/>
          <w:color w:val="auto"/>
          <w:sz w:val="24"/>
          <w:highlight w:val="none"/>
          <w:lang w:bidi="ar"/>
        </w:rPr>
        <w:t>.1</w:t>
      </w:r>
      <w:r>
        <w:rPr>
          <w:rFonts w:hint="eastAsia" w:ascii="宋体" w:hAnsi="宋体" w:eastAsia="宋体"/>
          <w:color w:val="auto"/>
          <w:sz w:val="24"/>
          <w:szCs w:val="24"/>
        </w:rPr>
        <w:t>办理CA 数字证书或电子营业执照</w:t>
      </w:r>
    </w:p>
    <w:p w14:paraId="778AFF4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eastAsia="宋体"/>
          <w:color w:val="auto"/>
          <w:sz w:val="24"/>
          <w:highlight w:val="none"/>
        </w:rPr>
      </w:pPr>
      <w:r>
        <w:rPr>
          <w:rFonts w:hint="eastAsia" w:eastAsia="宋体"/>
          <w:color w:val="auto"/>
          <w:sz w:val="24"/>
          <w:highlight w:val="none"/>
          <w:lang w:bidi="ar"/>
        </w:rPr>
        <w:t>供应商登录北京市政府采购电子交易平台查阅“用户指南”—“操作指南”—“市场主体CA办理操作流程指引”/“电子营业执照使用指南”，按照程序要求办理。</w:t>
      </w:r>
    </w:p>
    <w:p w14:paraId="4CAB8599">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eastAsia="宋体"/>
          <w:color w:val="auto"/>
          <w:sz w:val="24"/>
          <w:highlight w:val="none"/>
          <w:lang w:bidi="ar"/>
        </w:rPr>
      </w:pPr>
      <w:r>
        <w:rPr>
          <w:rFonts w:hint="eastAsia" w:eastAsia="宋体"/>
          <w:color w:val="auto"/>
          <w:sz w:val="24"/>
          <w:highlight w:val="none"/>
          <w:lang w:val="en-US" w:eastAsia="zh-CN" w:bidi="ar"/>
        </w:rPr>
        <w:t>2</w:t>
      </w:r>
      <w:r>
        <w:rPr>
          <w:rFonts w:eastAsia="宋体"/>
          <w:color w:val="auto"/>
          <w:sz w:val="24"/>
          <w:highlight w:val="none"/>
          <w:lang w:bidi="ar"/>
        </w:rPr>
        <w:t>.2注册</w:t>
      </w:r>
    </w:p>
    <w:p w14:paraId="305BCFB9">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eastAsia="宋体"/>
          <w:color w:val="auto"/>
          <w:sz w:val="24"/>
          <w:highlight w:val="none"/>
        </w:rPr>
      </w:pPr>
      <w:r>
        <w:rPr>
          <w:rFonts w:eastAsia="宋体"/>
          <w:color w:val="auto"/>
          <w:sz w:val="24"/>
          <w:highlight w:val="none"/>
          <w:lang w:bidi="ar"/>
        </w:rPr>
        <w:t>供应商登录北京市政府采购电子交易平台“用户指南”—“操作指南”—“市场主体注册入库操作流程指引”进行自助注册绑定。</w:t>
      </w:r>
    </w:p>
    <w:p w14:paraId="310FB6F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eastAsia="宋体"/>
          <w:color w:val="auto"/>
          <w:sz w:val="24"/>
          <w:highlight w:val="none"/>
          <w:lang w:bidi="ar"/>
        </w:rPr>
      </w:pPr>
      <w:r>
        <w:rPr>
          <w:rFonts w:hint="eastAsia" w:eastAsia="宋体"/>
          <w:color w:val="auto"/>
          <w:sz w:val="24"/>
          <w:highlight w:val="none"/>
          <w:lang w:val="en-US" w:eastAsia="zh-CN" w:bidi="ar"/>
        </w:rPr>
        <w:t>2</w:t>
      </w:r>
      <w:r>
        <w:rPr>
          <w:rFonts w:eastAsia="宋体"/>
          <w:color w:val="auto"/>
          <w:sz w:val="24"/>
          <w:highlight w:val="none"/>
          <w:lang w:bidi="ar"/>
        </w:rPr>
        <w:t>.3驱动、客户端下载</w:t>
      </w:r>
    </w:p>
    <w:p w14:paraId="57A0F6D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eastAsia="宋体"/>
          <w:color w:val="auto"/>
          <w:sz w:val="24"/>
          <w:highlight w:val="none"/>
          <w:lang w:bidi="ar"/>
        </w:rPr>
      </w:pPr>
      <w:r>
        <w:rPr>
          <w:rFonts w:eastAsia="宋体"/>
          <w:color w:val="auto"/>
          <w:sz w:val="24"/>
          <w:highlight w:val="none"/>
          <w:lang w:bidi="ar"/>
        </w:rPr>
        <w:t>供应商登录北京市政府采购电子交易平台“用户指南”—“工具下载”—“招标采购系统文件驱动安装包”下载相关驱动。</w:t>
      </w:r>
    </w:p>
    <w:p w14:paraId="40AB01F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ascii="宋体" w:hAnsi="Times New Roman" w:eastAsia="宋体" w:cs="宋体"/>
          <w:color w:val="auto"/>
          <w:sz w:val="24"/>
          <w:highlight w:val="none"/>
          <w:lang w:bidi="ar"/>
        </w:rPr>
      </w:pPr>
      <w:r>
        <w:rPr>
          <w:rFonts w:hint="eastAsia" w:ascii="宋体" w:hAnsi="Times New Roman" w:eastAsia="宋体" w:cs="宋体"/>
          <w:color w:val="auto"/>
          <w:sz w:val="24"/>
          <w:highlight w:val="none"/>
          <w:lang w:bidi="ar"/>
        </w:rPr>
        <w:t>供应商登录北京市政府采购电子交易平台“用户指南”—“工具下载”—“</w:t>
      </w:r>
      <w:r>
        <w:rPr>
          <w:rFonts w:hint="eastAsia" w:ascii="宋体" w:hAnsi="Times New Roman" w:eastAsia="宋体" w:cs="宋体"/>
          <w:color w:val="auto"/>
          <w:sz w:val="24"/>
          <w:highlight w:val="none"/>
          <w:lang w:eastAsia="zh-CN" w:bidi="ar"/>
        </w:rPr>
        <w:t>响应文件</w:t>
      </w:r>
      <w:r>
        <w:rPr>
          <w:rFonts w:hint="eastAsia" w:ascii="宋体" w:hAnsi="Times New Roman" w:eastAsia="宋体" w:cs="宋体"/>
          <w:color w:val="auto"/>
          <w:sz w:val="24"/>
          <w:highlight w:val="none"/>
          <w:lang w:bidi="ar"/>
        </w:rPr>
        <w:t>编制工具”下载相关客户端。</w:t>
      </w:r>
    </w:p>
    <w:p w14:paraId="7A91E010">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eastAsia="宋体"/>
          <w:color w:val="auto"/>
          <w:sz w:val="24"/>
          <w:highlight w:val="none"/>
          <w:lang w:bidi="ar"/>
        </w:rPr>
      </w:pPr>
      <w:r>
        <w:rPr>
          <w:rFonts w:hint="eastAsia" w:eastAsia="宋体"/>
          <w:color w:val="auto"/>
          <w:sz w:val="24"/>
          <w:highlight w:val="none"/>
          <w:lang w:val="en-US" w:eastAsia="zh-CN" w:bidi="ar"/>
        </w:rPr>
        <w:t>2</w:t>
      </w:r>
      <w:r>
        <w:rPr>
          <w:rFonts w:eastAsia="宋体"/>
          <w:color w:val="auto"/>
          <w:sz w:val="24"/>
          <w:highlight w:val="none"/>
          <w:lang w:bidi="ar"/>
        </w:rPr>
        <w:t>.4 获取电子竞争性磋商文件</w:t>
      </w:r>
    </w:p>
    <w:p w14:paraId="6B69E17E">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eastAsia="宋体"/>
          <w:color w:val="auto"/>
          <w:sz w:val="24"/>
          <w:highlight w:val="none"/>
          <w:lang w:bidi="ar"/>
        </w:rPr>
      </w:pPr>
      <w:r>
        <w:rPr>
          <w:rFonts w:eastAsia="宋体"/>
          <w:color w:val="auto"/>
          <w:sz w:val="24"/>
          <w:highlight w:val="none"/>
          <w:lang w:bidi="ar"/>
        </w:rPr>
        <w:t>供应商持CA数字认证证书登录北京市政府采购电子交易平台获取电子竞争性磋商文件。未在规定期限内通过电子交易平台获取竞争性磋商文件的</w:t>
      </w:r>
      <w:r>
        <w:rPr>
          <w:rFonts w:eastAsia="宋体"/>
          <w:b/>
          <w:color w:val="auto"/>
          <w:sz w:val="24"/>
          <w:highlight w:val="none"/>
          <w:lang w:bidi="ar"/>
        </w:rPr>
        <w:t>响应无效</w:t>
      </w:r>
      <w:r>
        <w:rPr>
          <w:rFonts w:eastAsia="宋体"/>
          <w:color w:val="auto"/>
          <w:sz w:val="24"/>
          <w:highlight w:val="none"/>
          <w:lang w:bidi="ar"/>
        </w:rPr>
        <w:t>。</w:t>
      </w:r>
    </w:p>
    <w:p w14:paraId="4C60419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Times New Roman" w:eastAsia="宋体" w:cs="宋体"/>
          <w:color w:val="auto"/>
          <w:sz w:val="24"/>
          <w:highlight w:val="none"/>
          <w:lang w:bidi="ar"/>
        </w:rPr>
      </w:pPr>
      <w:r>
        <w:rPr>
          <w:rFonts w:hint="eastAsia" w:ascii="宋体" w:hAnsi="Times New Roman" w:eastAsia="宋体" w:cs="宋体"/>
          <w:color w:val="auto"/>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332CF357">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Times New Roman" w:eastAsia="宋体" w:cs="宋体"/>
          <w:color w:val="auto"/>
          <w:sz w:val="24"/>
          <w:highlight w:val="none"/>
          <w:lang w:val="en-US" w:eastAsia="zh-CN" w:bidi="ar"/>
        </w:rPr>
      </w:pPr>
      <w:r>
        <w:rPr>
          <w:rFonts w:hint="eastAsia" w:ascii="宋体" w:hAnsi="Times New Roman" w:eastAsia="宋体" w:cs="宋体"/>
          <w:color w:val="auto"/>
          <w:sz w:val="24"/>
          <w:highlight w:val="none"/>
          <w:lang w:val="en-US" w:eastAsia="zh-CN" w:bidi="ar"/>
        </w:rPr>
        <w:t>2.5编制电子响应文件</w:t>
      </w:r>
    </w:p>
    <w:p w14:paraId="4C724D0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Times New Roman" w:eastAsia="宋体" w:cs="宋体"/>
          <w:color w:val="auto"/>
          <w:sz w:val="24"/>
          <w:highlight w:val="none"/>
          <w:lang w:bidi="ar"/>
        </w:rPr>
      </w:pPr>
      <w:r>
        <w:rPr>
          <w:rFonts w:hint="eastAsia" w:ascii="宋体" w:hAnsi="Times New Roman" w:eastAsia="宋体" w:cs="宋体"/>
          <w:color w:val="auto"/>
          <w:sz w:val="24"/>
          <w:highlight w:val="none"/>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73DBBFE6">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Times New Roman" w:eastAsia="宋体" w:cs="宋体"/>
          <w:color w:val="auto"/>
          <w:sz w:val="24"/>
          <w:highlight w:val="none"/>
          <w:lang w:val="en-US" w:eastAsia="zh-CN" w:bidi="ar"/>
        </w:rPr>
      </w:pPr>
      <w:r>
        <w:rPr>
          <w:rFonts w:hint="eastAsia" w:ascii="宋体" w:hAnsi="Times New Roman" w:eastAsia="宋体" w:cs="宋体"/>
          <w:color w:val="auto"/>
          <w:sz w:val="24"/>
          <w:highlight w:val="none"/>
          <w:lang w:val="en-US" w:eastAsia="zh-CN" w:bidi="ar"/>
        </w:rPr>
        <w:t>2.6提交电子响应文件</w:t>
      </w:r>
    </w:p>
    <w:p w14:paraId="408542B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Times New Roman" w:eastAsia="宋体" w:cs="宋体"/>
          <w:color w:val="auto"/>
          <w:sz w:val="24"/>
          <w:highlight w:val="none"/>
          <w:lang w:bidi="ar"/>
        </w:rPr>
      </w:pPr>
      <w:r>
        <w:rPr>
          <w:rFonts w:hint="eastAsia" w:ascii="宋体" w:hAnsi="Times New Roman" w:eastAsia="宋体" w:cs="宋体"/>
          <w:color w:val="auto"/>
          <w:sz w:val="24"/>
          <w:highlight w:val="none"/>
          <w:lang w:bidi="ar"/>
        </w:rPr>
        <w:t>供应商应于响应文件提交截止时间前在平台提交电子响应文件，上传电子响应文件过程中请保持与互联网的连接畅通。</w:t>
      </w:r>
    </w:p>
    <w:p w14:paraId="78F7978B">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Times New Roman" w:eastAsia="宋体" w:cs="宋体"/>
          <w:color w:val="auto"/>
          <w:sz w:val="24"/>
          <w:highlight w:val="none"/>
          <w:lang w:val="en-US" w:eastAsia="zh-CN" w:bidi="ar"/>
        </w:rPr>
      </w:pPr>
      <w:r>
        <w:rPr>
          <w:rFonts w:hint="eastAsia" w:ascii="宋体" w:hAnsi="Times New Roman" w:eastAsia="宋体" w:cs="宋体"/>
          <w:color w:val="auto"/>
          <w:sz w:val="24"/>
          <w:highlight w:val="none"/>
          <w:lang w:val="en-US" w:eastAsia="zh-CN" w:bidi="ar"/>
        </w:rPr>
        <w:t>2.7开启响应文件</w:t>
      </w:r>
    </w:p>
    <w:p w14:paraId="0B5F973B">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Times New Roman" w:eastAsia="宋体" w:cs="宋体"/>
          <w:color w:val="auto"/>
          <w:sz w:val="24"/>
          <w:highlight w:val="none"/>
          <w:lang w:bidi="ar"/>
        </w:rPr>
      </w:pPr>
      <w:r>
        <w:rPr>
          <w:rFonts w:hint="eastAsia" w:ascii="宋体" w:hAnsi="Times New Roman" w:eastAsia="宋体" w:cs="宋体"/>
          <w:color w:val="auto"/>
          <w:sz w:val="24"/>
          <w:highlight w:val="none"/>
          <w:lang w:val="en-US" w:eastAsia="zh-CN" w:bidi="ar"/>
        </w:rPr>
        <w:t>供应商于磋商文件规</w:t>
      </w:r>
      <w:r>
        <w:rPr>
          <w:rFonts w:hint="eastAsia" w:ascii="宋体" w:hAnsi="Times New Roman" w:eastAsia="宋体" w:cs="宋体"/>
          <w:color w:val="auto"/>
          <w:sz w:val="24"/>
          <w:highlight w:val="none"/>
          <w:lang w:bidi="ar"/>
        </w:rPr>
        <w:t>定的开启时间、在开启地点使用CA数字证书或电子营业执照登录北京市政府采购电子交易平台解密并开启响应文件。如因供应商问题，解密不成功，则响应无效。</w:t>
      </w:r>
    </w:p>
    <w:p w14:paraId="0D68421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Times New Roman" w:eastAsia="宋体" w:cs="宋体"/>
          <w:color w:val="auto"/>
          <w:sz w:val="24"/>
          <w:highlight w:val="none"/>
          <w:lang w:bidi="ar"/>
        </w:rPr>
      </w:pPr>
      <w:r>
        <w:rPr>
          <w:rFonts w:hint="eastAsia" w:ascii="宋体" w:hAnsi="Times New Roman" w:eastAsia="宋体" w:cs="宋体"/>
          <w:color w:val="auto"/>
          <w:sz w:val="24"/>
          <w:highlight w:val="none"/>
          <w:lang w:bidi="ar"/>
        </w:rPr>
        <w:t>3、供应商须委派一名授权代表人，参加竞争性磋商的代表人须出示本人身份证（非法定代表人时还须提供与《响应文件》中一致的《法定代表人授权书》）</w:t>
      </w:r>
    </w:p>
    <w:p w14:paraId="03046CA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Times New Roman" w:eastAsia="宋体" w:cs="宋体"/>
          <w:color w:val="auto"/>
          <w:sz w:val="24"/>
          <w:highlight w:val="none"/>
          <w:lang w:bidi="ar"/>
        </w:rPr>
      </w:pPr>
      <w:r>
        <w:rPr>
          <w:rFonts w:hint="eastAsia" w:ascii="宋体" w:hAnsi="Times New Roman" w:eastAsia="宋体" w:cs="宋体"/>
          <w:color w:val="auto"/>
          <w:sz w:val="24"/>
          <w:highlight w:val="none"/>
          <w:lang w:bidi="ar"/>
        </w:rPr>
        <w:t>4、公告媒体：本公告同时在中国政府采购网、北京市政府采购网发布。</w:t>
      </w:r>
    </w:p>
    <w:p w14:paraId="51018186">
      <w:pPr>
        <w:pStyle w:val="17"/>
        <w:kinsoku w:val="0"/>
        <w:overflowPunct w:val="0"/>
        <w:spacing w:before="220" w:line="360" w:lineRule="auto"/>
        <w:ind w:left="541"/>
        <w:rPr>
          <w:rFonts w:hint="eastAsia" w:hAnsi="宋体"/>
          <w:b/>
          <w:bCs/>
          <w:color w:val="auto"/>
          <w:highlight w:val="none"/>
        </w:rPr>
      </w:pPr>
      <w:r>
        <w:rPr>
          <w:rFonts w:hint="eastAsia" w:hAnsi="宋体"/>
          <w:b/>
          <w:bCs/>
          <w:color w:val="auto"/>
          <w:highlight w:val="none"/>
        </w:rPr>
        <w:t>八、对本项目提出询问，请按以下方式联系</w:t>
      </w:r>
    </w:p>
    <w:p w14:paraId="33A146FD">
      <w:pPr>
        <w:spacing w:line="480" w:lineRule="auto"/>
        <w:ind w:firstLine="482" w:firstLineChars="200"/>
        <w:rPr>
          <w:rFonts w:hAnsi="宋体"/>
          <w:b/>
          <w:color w:val="auto"/>
          <w:sz w:val="24"/>
        </w:rPr>
      </w:pPr>
      <w:r>
        <w:rPr>
          <w:rFonts w:hAnsi="宋体"/>
          <w:b/>
          <w:color w:val="auto"/>
          <w:sz w:val="24"/>
        </w:rPr>
        <w:t>1.</w:t>
      </w:r>
      <w:r>
        <w:rPr>
          <w:rFonts w:hint="eastAsia" w:hAnsi="宋体"/>
          <w:b/>
          <w:color w:val="auto"/>
          <w:sz w:val="24"/>
        </w:rPr>
        <w:t>采购人信息</w:t>
      </w:r>
    </w:p>
    <w:p w14:paraId="6ECF420F">
      <w:pPr>
        <w:spacing w:line="480" w:lineRule="auto"/>
        <w:ind w:firstLine="480" w:firstLineChars="200"/>
        <w:rPr>
          <w:rFonts w:hint="eastAsia" w:hAnsi="宋体" w:eastAsia="宋体"/>
          <w:color w:val="auto"/>
          <w:sz w:val="24"/>
          <w:lang w:eastAsia="zh-CN" w:bidi="ar"/>
        </w:rPr>
      </w:pPr>
      <w:r>
        <w:rPr>
          <w:rFonts w:hint="eastAsia" w:hAnsi="宋体"/>
          <w:color w:val="auto"/>
          <w:sz w:val="24"/>
          <w:lang w:bidi="ar"/>
        </w:rPr>
        <w:t>名</w:t>
      </w:r>
      <w:r>
        <w:rPr>
          <w:rFonts w:hAnsi="宋体"/>
          <w:color w:val="auto"/>
          <w:sz w:val="24"/>
          <w:lang w:bidi="ar"/>
        </w:rPr>
        <w:t xml:space="preserve">    </w:t>
      </w:r>
      <w:r>
        <w:rPr>
          <w:rFonts w:hint="eastAsia" w:hAnsi="宋体"/>
          <w:color w:val="auto"/>
          <w:sz w:val="24"/>
          <w:lang w:bidi="ar"/>
        </w:rPr>
        <w:t>称：</w:t>
      </w:r>
      <w:r>
        <w:rPr>
          <w:rFonts w:hint="eastAsia" w:hAnsi="宋体"/>
          <w:color w:val="auto"/>
          <w:sz w:val="24"/>
          <w:lang w:eastAsia="zh-CN" w:bidi="ar"/>
        </w:rPr>
        <w:t>北京市顺义区牛栏山镇人民政府</w:t>
      </w:r>
    </w:p>
    <w:p w14:paraId="6E63E352">
      <w:pPr>
        <w:spacing w:line="480" w:lineRule="auto"/>
        <w:ind w:firstLine="480" w:firstLineChars="200"/>
        <w:rPr>
          <w:rFonts w:hint="eastAsia" w:hAnsi="宋体" w:eastAsia="宋体"/>
          <w:color w:val="auto"/>
          <w:sz w:val="24"/>
          <w:highlight w:val="none"/>
          <w:lang w:eastAsia="zh-CN" w:bidi="ar"/>
        </w:rPr>
      </w:pPr>
      <w:r>
        <w:rPr>
          <w:rFonts w:hint="eastAsia" w:hAnsi="宋体"/>
          <w:color w:val="auto"/>
          <w:sz w:val="24"/>
          <w:highlight w:val="none"/>
          <w:lang w:bidi="ar"/>
        </w:rPr>
        <w:t>地</w:t>
      </w:r>
      <w:r>
        <w:rPr>
          <w:rFonts w:hAnsi="宋体"/>
          <w:color w:val="auto"/>
          <w:sz w:val="24"/>
          <w:highlight w:val="none"/>
          <w:lang w:bidi="ar"/>
        </w:rPr>
        <w:t xml:space="preserve">    </w:t>
      </w:r>
      <w:r>
        <w:rPr>
          <w:rFonts w:hint="eastAsia" w:hAnsi="宋体"/>
          <w:color w:val="auto"/>
          <w:sz w:val="24"/>
          <w:highlight w:val="none"/>
          <w:lang w:bidi="ar"/>
        </w:rPr>
        <w:t>址：</w:t>
      </w:r>
      <w:r>
        <w:rPr>
          <w:rFonts w:hint="eastAsia" w:hAnsi="宋体"/>
          <w:color w:val="auto"/>
          <w:sz w:val="24"/>
          <w:highlight w:val="none"/>
          <w:lang w:eastAsia="zh-CN" w:bidi="ar"/>
        </w:rPr>
        <w:t>北京市顺义区牛栏山镇府前街9号</w:t>
      </w:r>
    </w:p>
    <w:p w14:paraId="3A505666">
      <w:pPr>
        <w:spacing w:line="480" w:lineRule="auto"/>
        <w:ind w:firstLine="480" w:firstLineChars="200"/>
        <w:rPr>
          <w:rFonts w:hint="eastAsia" w:hAnsi="宋体"/>
          <w:color w:val="auto"/>
          <w:sz w:val="24"/>
          <w:highlight w:val="none"/>
          <w:lang w:val="en-US" w:eastAsia="zh-CN" w:bidi="ar"/>
        </w:rPr>
      </w:pPr>
      <w:r>
        <w:rPr>
          <w:rFonts w:hint="eastAsia" w:hAnsi="宋体"/>
          <w:color w:val="auto"/>
          <w:sz w:val="24"/>
          <w:highlight w:val="none"/>
          <w:lang w:bidi="ar"/>
        </w:rPr>
        <w:t>联</w:t>
      </w:r>
      <w:r>
        <w:rPr>
          <w:rFonts w:hint="eastAsia" w:hAnsi="宋体"/>
          <w:color w:val="auto"/>
          <w:sz w:val="24"/>
          <w:highlight w:val="none"/>
          <w:lang w:eastAsia="zh-CN" w:bidi="ar"/>
        </w:rPr>
        <w:t>系方式：米佳丽 13810070405</w:t>
      </w:r>
      <w:r>
        <w:rPr>
          <w:rFonts w:hint="eastAsia" w:hAnsi="宋体"/>
          <w:color w:val="auto"/>
          <w:sz w:val="24"/>
          <w:highlight w:val="none"/>
          <w:lang w:val="en-US" w:eastAsia="zh-CN" w:bidi="ar"/>
        </w:rPr>
        <w:t xml:space="preserve"> </w:t>
      </w:r>
    </w:p>
    <w:p w14:paraId="0D8A7395">
      <w:pPr>
        <w:spacing w:line="480" w:lineRule="auto"/>
        <w:ind w:firstLine="482" w:firstLineChars="200"/>
        <w:rPr>
          <w:rFonts w:hAnsi="宋体"/>
          <w:b/>
          <w:color w:val="auto"/>
          <w:sz w:val="24"/>
        </w:rPr>
      </w:pPr>
      <w:r>
        <w:rPr>
          <w:rFonts w:hAnsi="宋体"/>
          <w:b/>
          <w:color w:val="auto"/>
          <w:sz w:val="24"/>
        </w:rPr>
        <w:t>2.</w:t>
      </w:r>
      <w:r>
        <w:rPr>
          <w:rFonts w:hint="eastAsia" w:hAnsi="宋体"/>
          <w:b/>
          <w:color w:val="auto"/>
          <w:sz w:val="24"/>
        </w:rPr>
        <w:t>采购代理机构信息</w:t>
      </w:r>
    </w:p>
    <w:p w14:paraId="7D349BB4">
      <w:pPr>
        <w:spacing w:line="480" w:lineRule="auto"/>
        <w:ind w:firstLine="480" w:firstLineChars="200"/>
        <w:rPr>
          <w:rFonts w:hAnsi="宋体"/>
          <w:color w:val="auto"/>
          <w:sz w:val="24"/>
          <w:lang w:bidi="ar"/>
        </w:rPr>
      </w:pPr>
      <w:r>
        <w:rPr>
          <w:rFonts w:hint="eastAsia" w:hAnsi="宋体"/>
          <w:color w:val="auto"/>
          <w:sz w:val="24"/>
          <w:lang w:bidi="ar"/>
        </w:rPr>
        <w:t>名</w:t>
      </w:r>
      <w:r>
        <w:rPr>
          <w:rFonts w:hAnsi="宋体"/>
          <w:color w:val="auto"/>
          <w:sz w:val="24"/>
          <w:lang w:bidi="ar"/>
        </w:rPr>
        <w:t xml:space="preserve">    </w:t>
      </w:r>
      <w:r>
        <w:rPr>
          <w:rFonts w:hint="eastAsia" w:hAnsi="宋体"/>
          <w:color w:val="auto"/>
          <w:sz w:val="24"/>
          <w:lang w:bidi="ar"/>
        </w:rPr>
        <w:t>称：北京北咨招标有限公司</w:t>
      </w:r>
    </w:p>
    <w:p w14:paraId="7CD30049">
      <w:pPr>
        <w:spacing w:line="480" w:lineRule="auto"/>
        <w:ind w:firstLine="480" w:firstLineChars="200"/>
        <w:rPr>
          <w:rFonts w:hAnsi="宋体"/>
          <w:color w:val="auto"/>
          <w:sz w:val="24"/>
          <w:lang w:bidi="ar"/>
        </w:rPr>
      </w:pPr>
      <w:r>
        <w:rPr>
          <w:rFonts w:hint="eastAsia" w:hAnsi="宋体"/>
          <w:color w:val="auto"/>
          <w:sz w:val="24"/>
          <w:lang w:bidi="ar"/>
        </w:rPr>
        <w:t>地</w:t>
      </w:r>
      <w:r>
        <w:rPr>
          <w:rFonts w:hAnsi="宋体"/>
          <w:color w:val="auto"/>
          <w:sz w:val="24"/>
          <w:lang w:bidi="ar"/>
        </w:rPr>
        <w:t xml:space="preserve">    </w:t>
      </w:r>
      <w:r>
        <w:rPr>
          <w:rFonts w:hint="eastAsia" w:hAnsi="宋体"/>
          <w:color w:val="auto"/>
          <w:sz w:val="24"/>
          <w:lang w:bidi="ar"/>
        </w:rPr>
        <w:t>址：北京市朝阳区华腾世纪总部公园</w:t>
      </w:r>
      <w:r>
        <w:rPr>
          <w:rFonts w:hAnsi="宋体"/>
          <w:color w:val="auto"/>
          <w:sz w:val="24"/>
          <w:lang w:bidi="ar"/>
        </w:rPr>
        <w:t>F</w:t>
      </w:r>
      <w:r>
        <w:rPr>
          <w:rFonts w:hint="eastAsia" w:hAnsi="宋体"/>
          <w:color w:val="auto"/>
          <w:sz w:val="24"/>
          <w:lang w:bidi="ar"/>
        </w:rPr>
        <w:t>座</w:t>
      </w:r>
      <w:r>
        <w:rPr>
          <w:rFonts w:hAnsi="宋体"/>
          <w:color w:val="auto"/>
          <w:sz w:val="24"/>
          <w:lang w:bidi="ar"/>
        </w:rPr>
        <w:t>11</w:t>
      </w:r>
      <w:r>
        <w:rPr>
          <w:rFonts w:hint="eastAsia" w:hAnsi="宋体"/>
          <w:color w:val="auto"/>
          <w:sz w:val="24"/>
          <w:lang w:bidi="ar"/>
        </w:rPr>
        <w:t>层</w:t>
      </w:r>
      <w:r>
        <w:rPr>
          <w:rFonts w:hAnsi="宋体"/>
          <w:color w:val="auto"/>
          <w:sz w:val="24"/>
          <w:lang w:bidi="ar"/>
        </w:rPr>
        <w:t>1107</w:t>
      </w:r>
      <w:r>
        <w:rPr>
          <w:rFonts w:hint="eastAsia" w:hAnsi="宋体"/>
          <w:color w:val="auto"/>
          <w:sz w:val="24"/>
          <w:lang w:bidi="ar"/>
        </w:rPr>
        <w:t>室</w:t>
      </w:r>
    </w:p>
    <w:p w14:paraId="148DECFA">
      <w:pPr>
        <w:spacing w:line="480" w:lineRule="auto"/>
        <w:ind w:firstLine="480" w:firstLineChars="200"/>
        <w:rPr>
          <w:rFonts w:hint="eastAsia" w:hAnsi="宋体" w:eastAsia="宋体"/>
          <w:color w:val="auto"/>
          <w:sz w:val="24"/>
          <w:lang w:eastAsia="zh-CN" w:bidi="ar"/>
        </w:rPr>
      </w:pPr>
      <w:r>
        <w:rPr>
          <w:rFonts w:hint="eastAsia" w:hAnsi="宋体"/>
          <w:color w:val="auto"/>
          <w:sz w:val="24"/>
          <w:lang w:bidi="ar"/>
        </w:rPr>
        <w:t>联系方式：</w:t>
      </w:r>
      <w:r>
        <w:rPr>
          <w:rFonts w:hint="eastAsia" w:hAnsi="宋体"/>
          <w:color w:val="auto"/>
          <w:sz w:val="24"/>
          <w:lang w:eastAsia="zh-CN" w:bidi="ar"/>
        </w:rPr>
        <w:t>李梦尧 18614040409</w:t>
      </w:r>
    </w:p>
    <w:p w14:paraId="670A0D4C">
      <w:pPr>
        <w:spacing w:line="480" w:lineRule="auto"/>
        <w:ind w:firstLine="482" w:firstLineChars="200"/>
        <w:rPr>
          <w:rFonts w:hAnsi="宋体"/>
          <w:b/>
          <w:color w:val="auto"/>
          <w:sz w:val="24"/>
          <w:u w:val="single"/>
        </w:rPr>
      </w:pPr>
      <w:r>
        <w:rPr>
          <w:rFonts w:hAnsi="宋体"/>
          <w:b/>
          <w:color w:val="auto"/>
          <w:sz w:val="24"/>
        </w:rPr>
        <w:t>3.</w:t>
      </w:r>
      <w:r>
        <w:rPr>
          <w:rFonts w:hint="eastAsia" w:hAnsi="宋体"/>
          <w:b/>
          <w:color w:val="auto"/>
          <w:sz w:val="24"/>
        </w:rPr>
        <w:t>项目联系方式</w:t>
      </w:r>
    </w:p>
    <w:p w14:paraId="6F6A1F01">
      <w:pPr>
        <w:spacing w:line="480" w:lineRule="auto"/>
        <w:ind w:firstLine="480" w:firstLineChars="200"/>
        <w:rPr>
          <w:rFonts w:hint="eastAsia" w:hAnsi="宋体" w:eastAsia="宋体"/>
          <w:color w:val="auto"/>
          <w:sz w:val="24"/>
          <w:lang w:eastAsia="zh-CN" w:bidi="ar"/>
        </w:rPr>
      </w:pPr>
      <w:r>
        <w:rPr>
          <w:rFonts w:hint="eastAsia" w:hAnsi="宋体"/>
          <w:color w:val="auto"/>
          <w:sz w:val="24"/>
          <w:lang w:bidi="ar"/>
        </w:rPr>
        <w:t>项目联系人：</w:t>
      </w:r>
      <w:r>
        <w:rPr>
          <w:rFonts w:hint="eastAsia" w:hAnsi="宋体"/>
          <w:color w:val="auto"/>
          <w:sz w:val="24"/>
          <w:lang w:eastAsia="zh-CN" w:bidi="ar"/>
        </w:rPr>
        <w:t>李梦尧</w:t>
      </w:r>
    </w:p>
    <w:p w14:paraId="3AD3D9F3">
      <w:pPr>
        <w:spacing w:line="480" w:lineRule="auto"/>
        <w:ind w:firstLine="480" w:firstLineChars="200"/>
        <w:rPr>
          <w:rFonts w:hAnsi="宋体"/>
          <w:color w:val="auto"/>
          <w:sz w:val="24"/>
          <w:lang w:bidi="ar"/>
        </w:rPr>
      </w:pPr>
      <w:r>
        <w:rPr>
          <w:rFonts w:hint="eastAsia" w:hAnsi="宋体"/>
          <w:color w:val="auto"/>
          <w:sz w:val="24"/>
          <w:lang w:bidi="ar"/>
        </w:rPr>
        <w:t>电</w:t>
      </w:r>
      <w:r>
        <w:rPr>
          <w:rFonts w:hAnsi="宋体"/>
          <w:color w:val="auto"/>
          <w:sz w:val="24"/>
          <w:lang w:bidi="ar"/>
        </w:rPr>
        <w:t xml:space="preserve">      </w:t>
      </w:r>
      <w:r>
        <w:rPr>
          <w:rFonts w:hint="eastAsia" w:hAnsi="宋体"/>
          <w:color w:val="auto"/>
          <w:sz w:val="24"/>
          <w:lang w:bidi="ar"/>
        </w:rPr>
        <w:t>话：</w:t>
      </w:r>
      <w:r>
        <w:rPr>
          <w:rFonts w:hint="eastAsia" w:hAnsi="宋体"/>
          <w:color w:val="auto"/>
          <w:sz w:val="24"/>
          <w:lang w:eastAsia="zh-CN" w:bidi="ar"/>
        </w:rPr>
        <w:t>18614040409</w:t>
      </w:r>
      <w:r>
        <w:rPr>
          <w:rFonts w:hAnsi="宋体"/>
          <w:color w:val="auto"/>
          <w:sz w:val="24"/>
          <w:lang w:bidi="ar"/>
        </w:rPr>
        <w:t xml:space="preserve"> </w:t>
      </w:r>
    </w:p>
    <w:p w14:paraId="24552992">
      <w:pPr>
        <w:spacing w:line="360" w:lineRule="auto"/>
        <w:ind w:firstLine="5880" w:firstLineChars="2450"/>
        <w:jc w:val="right"/>
        <w:rPr>
          <w:rFonts w:hAnsi="宋体"/>
          <w:color w:val="auto"/>
          <w:sz w:val="24"/>
        </w:rPr>
      </w:pPr>
    </w:p>
    <w:p w14:paraId="3234D5CC">
      <w:pPr>
        <w:pStyle w:val="69"/>
        <w:tabs>
          <w:tab w:val="left" w:pos="1251"/>
        </w:tabs>
        <w:kinsoku w:val="0"/>
        <w:overflowPunct w:val="0"/>
        <w:spacing w:before="156" w:line="364" w:lineRule="auto"/>
        <w:ind w:left="0" w:right="571" w:firstLine="0"/>
        <w:rPr>
          <w:rFonts w:hAnsi="宋体"/>
          <w:color w:val="auto"/>
          <w:spacing w:val="-2"/>
        </w:rPr>
        <w:sectPr>
          <w:headerReference r:id="rId3" w:type="default"/>
          <w:footerReference r:id="rId4" w:type="default"/>
          <w:pgSz w:w="11910" w:h="16840"/>
          <w:pgMar w:top="1340" w:right="560" w:bottom="1080" w:left="1160" w:header="879" w:footer="879" w:gutter="0"/>
          <w:pgNumType w:fmt="decimal" w:start="1"/>
          <w:cols w:space="720" w:num="1"/>
        </w:sectPr>
      </w:pPr>
    </w:p>
    <w:p w14:paraId="263B471E">
      <w:pPr>
        <w:pStyle w:val="2"/>
        <w:tabs>
          <w:tab w:val="left" w:pos="1622"/>
        </w:tabs>
        <w:kinsoku w:val="0"/>
        <w:overflowPunct w:val="0"/>
        <w:ind w:right="29"/>
        <w:rPr>
          <w:rFonts w:hAnsi="宋体"/>
          <w:color w:val="auto"/>
        </w:rPr>
      </w:pPr>
      <w:bookmarkStart w:id="15" w:name="_Toc149147696"/>
      <w:bookmarkStart w:id="16" w:name="_Toc149147541"/>
      <w:r>
        <w:rPr>
          <w:rFonts w:hint="eastAsia" w:hAnsi="宋体"/>
          <w:color w:val="auto"/>
        </w:rPr>
        <w:t>第二章</w:t>
      </w:r>
      <w:r>
        <w:rPr>
          <w:rFonts w:hAnsi="宋体"/>
          <w:color w:val="auto"/>
        </w:rPr>
        <w:tab/>
      </w:r>
      <w:r>
        <w:rPr>
          <w:rFonts w:hint="eastAsia" w:hAnsi="宋体"/>
          <w:color w:val="auto"/>
        </w:rPr>
        <w:t>供应商须知</w:t>
      </w:r>
      <w:bookmarkEnd w:id="15"/>
      <w:bookmarkEnd w:id="16"/>
    </w:p>
    <w:p w14:paraId="23BF2CE7">
      <w:pPr>
        <w:pStyle w:val="4"/>
        <w:kinsoku w:val="0"/>
        <w:overflowPunct w:val="0"/>
        <w:spacing w:before="240"/>
        <w:ind w:right="30"/>
        <w:rPr>
          <w:rFonts w:hAnsi="宋体"/>
          <w:color w:val="auto"/>
        </w:rPr>
      </w:pPr>
      <w:bookmarkStart w:id="17" w:name="_Toc149147542"/>
      <w:bookmarkStart w:id="18" w:name="_Toc149147697"/>
      <w:bookmarkStart w:id="19" w:name="_Toc149147475"/>
      <w:r>
        <w:rPr>
          <w:rFonts w:hint="eastAsia" w:hAnsi="宋体"/>
          <w:color w:val="auto"/>
        </w:rPr>
        <w:t>供应商须知资料表</w:t>
      </w:r>
      <w:bookmarkEnd w:id="17"/>
      <w:bookmarkEnd w:id="18"/>
      <w:bookmarkEnd w:id="19"/>
    </w:p>
    <w:p w14:paraId="0E8E6BD9">
      <w:pPr>
        <w:pStyle w:val="17"/>
        <w:kinsoku w:val="0"/>
        <w:overflowPunct w:val="0"/>
        <w:spacing w:before="9"/>
        <w:rPr>
          <w:rFonts w:hAnsi="宋体"/>
          <w:color w:val="auto"/>
          <w:sz w:val="39"/>
          <w:szCs w:val="39"/>
        </w:rPr>
      </w:pPr>
    </w:p>
    <w:p w14:paraId="01699427">
      <w:pPr>
        <w:pStyle w:val="17"/>
        <w:kinsoku w:val="0"/>
        <w:overflowPunct w:val="0"/>
        <w:spacing w:after="7" w:line="360" w:lineRule="auto"/>
        <w:ind w:left="541" w:right="569" w:firstLine="479"/>
        <w:rPr>
          <w:rFonts w:hAnsi="宋体"/>
          <w:color w:val="auto"/>
        </w:rPr>
      </w:pPr>
      <w:r>
        <w:rPr>
          <w:rFonts w:hint="eastAsia" w:hAnsi="宋体"/>
          <w:color w:val="auto"/>
        </w:rPr>
        <w:t>本表是对供应商须知的具体补充和修改，如有矛盾，均以本资料表为准。标记</w:t>
      </w:r>
      <w:r>
        <w:rPr>
          <w:rFonts w:hAnsi="宋体" w:cs="Arial"/>
          <w:color w:val="auto"/>
          <w:w w:val="140"/>
        </w:rPr>
        <w:t>“</w:t>
      </w:r>
      <w:r>
        <w:rPr>
          <w:rFonts w:hAnsi="宋体"/>
          <w:color w:val="auto"/>
        </w:rPr>
        <w:t>■</w:t>
      </w:r>
      <w:r>
        <w:rPr>
          <w:rFonts w:hAnsi="宋体" w:cs="Arial"/>
          <w:color w:val="auto"/>
          <w:w w:val="140"/>
        </w:rPr>
        <w:t xml:space="preserve">” </w:t>
      </w:r>
      <w:r>
        <w:rPr>
          <w:rFonts w:hint="eastAsia" w:hAnsi="宋体"/>
          <w:color w:val="auto"/>
        </w:rPr>
        <w:t>的选项意为适用于本项目，标记</w:t>
      </w:r>
      <w:r>
        <w:rPr>
          <w:rFonts w:hAnsi="宋体" w:cs="Arial"/>
          <w:color w:val="auto"/>
          <w:w w:val="140"/>
        </w:rPr>
        <w:t>“</w:t>
      </w:r>
      <w:r>
        <w:rPr>
          <w:rFonts w:hAnsi="宋体"/>
          <w:color w:val="auto"/>
        </w:rPr>
        <w:t>□</w:t>
      </w:r>
      <w:r>
        <w:rPr>
          <w:rFonts w:hAnsi="宋体" w:cs="Arial"/>
          <w:color w:val="auto"/>
          <w:w w:val="140"/>
        </w:rPr>
        <w:t>”</w:t>
      </w:r>
      <w:r>
        <w:rPr>
          <w:rFonts w:hint="eastAsia" w:hAnsi="宋体"/>
          <w:color w:val="auto"/>
        </w:rPr>
        <w:t>的选项意为不适用于本项目。</w:t>
      </w:r>
    </w:p>
    <w:tbl>
      <w:tblPr>
        <w:tblStyle w:val="43"/>
        <w:tblW w:w="10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8"/>
        <w:gridCol w:w="1701"/>
        <w:gridCol w:w="7327"/>
      </w:tblGrid>
      <w:tr w14:paraId="4A96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4D5DD6B2">
            <w:pPr>
              <w:pStyle w:val="70"/>
              <w:kinsoku w:val="0"/>
              <w:overflowPunct w:val="0"/>
              <w:spacing w:before="142"/>
              <w:ind w:left="89" w:right="79"/>
              <w:rPr>
                <w:rFonts w:hAnsi="宋体"/>
                <w:color w:val="auto"/>
              </w:rPr>
            </w:pPr>
            <w:r>
              <w:rPr>
                <w:rFonts w:hint="eastAsia" w:hAnsi="宋体"/>
                <w:color w:val="auto"/>
              </w:rPr>
              <w:t>条款号</w:t>
            </w:r>
          </w:p>
        </w:tc>
        <w:tc>
          <w:tcPr>
            <w:tcW w:w="1701" w:type="dxa"/>
          </w:tcPr>
          <w:p w14:paraId="45CA6F87">
            <w:pPr>
              <w:pStyle w:val="70"/>
              <w:kinsoku w:val="0"/>
              <w:overflowPunct w:val="0"/>
              <w:spacing w:before="142"/>
              <w:ind w:left="108" w:right="102"/>
              <w:rPr>
                <w:rFonts w:hAnsi="宋体"/>
                <w:color w:val="auto"/>
              </w:rPr>
            </w:pPr>
            <w:r>
              <w:rPr>
                <w:rFonts w:hint="eastAsia" w:hAnsi="宋体"/>
                <w:color w:val="auto"/>
              </w:rPr>
              <w:t>条目</w:t>
            </w:r>
          </w:p>
        </w:tc>
        <w:tc>
          <w:tcPr>
            <w:tcW w:w="7327" w:type="dxa"/>
          </w:tcPr>
          <w:p w14:paraId="004C3A65">
            <w:pPr>
              <w:pStyle w:val="70"/>
              <w:kinsoku w:val="0"/>
              <w:overflowPunct w:val="0"/>
              <w:spacing w:before="142"/>
              <w:ind w:left="108" w:right="102"/>
              <w:rPr>
                <w:rFonts w:hAnsi="宋体"/>
                <w:color w:val="auto"/>
              </w:rPr>
            </w:pPr>
            <w:r>
              <w:rPr>
                <w:rFonts w:hint="eastAsia" w:hAnsi="宋体"/>
                <w:color w:val="auto"/>
              </w:rPr>
              <w:t>内容</w:t>
            </w:r>
          </w:p>
        </w:tc>
      </w:tr>
      <w:tr w14:paraId="02ED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002E774E">
            <w:pPr>
              <w:pStyle w:val="70"/>
              <w:kinsoku w:val="0"/>
              <w:overflowPunct w:val="0"/>
              <w:spacing w:before="142"/>
              <w:ind w:left="89" w:right="79"/>
              <w:rPr>
                <w:rFonts w:hAnsi="宋体"/>
                <w:color w:val="auto"/>
              </w:rPr>
            </w:pPr>
            <w:r>
              <w:rPr>
                <w:rFonts w:hAnsi="宋体"/>
                <w:color w:val="auto"/>
              </w:rPr>
              <w:t>2.2</w:t>
            </w:r>
          </w:p>
        </w:tc>
        <w:tc>
          <w:tcPr>
            <w:tcW w:w="1701" w:type="dxa"/>
          </w:tcPr>
          <w:p w14:paraId="4F193E3C">
            <w:pPr>
              <w:pStyle w:val="70"/>
              <w:kinsoku w:val="0"/>
              <w:overflowPunct w:val="0"/>
              <w:spacing w:before="142"/>
              <w:ind w:left="108" w:right="102"/>
              <w:rPr>
                <w:rFonts w:hAnsi="宋体"/>
                <w:color w:val="auto"/>
              </w:rPr>
            </w:pPr>
            <w:r>
              <w:rPr>
                <w:rFonts w:hint="eastAsia" w:hAnsi="宋体"/>
                <w:color w:val="auto"/>
              </w:rPr>
              <w:t>项目属性</w:t>
            </w:r>
          </w:p>
        </w:tc>
        <w:tc>
          <w:tcPr>
            <w:tcW w:w="7327" w:type="dxa"/>
          </w:tcPr>
          <w:p w14:paraId="0BAB58B3">
            <w:pPr>
              <w:pStyle w:val="70"/>
              <w:kinsoku w:val="0"/>
              <w:overflowPunct w:val="0"/>
              <w:spacing w:before="142"/>
              <w:ind w:left="108" w:right="102"/>
              <w:rPr>
                <w:rFonts w:hAnsi="宋体"/>
                <w:color w:val="auto"/>
              </w:rPr>
            </w:pPr>
            <w:r>
              <w:rPr>
                <w:rFonts w:hint="eastAsia" w:hAnsi="宋体"/>
                <w:color w:val="auto"/>
              </w:rPr>
              <w:t>项目属性：</w:t>
            </w:r>
          </w:p>
          <w:p w14:paraId="18793FE8">
            <w:pPr>
              <w:pStyle w:val="70"/>
              <w:kinsoku w:val="0"/>
              <w:overflowPunct w:val="0"/>
              <w:spacing w:before="142"/>
              <w:ind w:left="108" w:right="102"/>
              <w:rPr>
                <w:rFonts w:hAnsi="宋体"/>
                <w:color w:val="auto"/>
              </w:rPr>
            </w:pPr>
            <w:r>
              <w:rPr>
                <w:rFonts w:hAnsi="宋体"/>
                <w:color w:val="auto"/>
              </w:rPr>
              <w:t>■</w:t>
            </w:r>
            <w:r>
              <w:rPr>
                <w:rFonts w:hint="eastAsia" w:hAnsi="宋体"/>
                <w:color w:val="auto"/>
              </w:rPr>
              <w:t>服务</w:t>
            </w:r>
          </w:p>
          <w:p w14:paraId="677657C0">
            <w:pPr>
              <w:pStyle w:val="70"/>
              <w:kinsoku w:val="0"/>
              <w:overflowPunct w:val="0"/>
              <w:spacing w:before="142"/>
              <w:ind w:left="108" w:right="102"/>
              <w:rPr>
                <w:rFonts w:hAnsi="宋体"/>
                <w:color w:val="auto"/>
              </w:rPr>
            </w:pPr>
            <w:r>
              <w:rPr>
                <w:rFonts w:hAnsi="宋体"/>
                <w:color w:val="auto"/>
              </w:rPr>
              <w:t>□</w:t>
            </w:r>
            <w:r>
              <w:rPr>
                <w:rFonts w:hint="eastAsia" w:hAnsi="宋体"/>
                <w:color w:val="auto"/>
              </w:rPr>
              <w:t>货物</w:t>
            </w:r>
          </w:p>
          <w:p w14:paraId="6943B11C">
            <w:pPr>
              <w:pStyle w:val="70"/>
              <w:kinsoku w:val="0"/>
              <w:overflowPunct w:val="0"/>
              <w:spacing w:before="142"/>
              <w:ind w:left="108" w:right="102"/>
              <w:rPr>
                <w:rFonts w:hAnsi="宋体"/>
                <w:color w:val="auto"/>
              </w:rPr>
            </w:pPr>
            <w:r>
              <w:rPr>
                <w:rFonts w:hAnsi="宋体"/>
                <w:color w:val="auto"/>
              </w:rPr>
              <w:t>□</w:t>
            </w:r>
            <w:r>
              <w:rPr>
                <w:rFonts w:hint="eastAsia" w:hAnsi="宋体"/>
                <w:color w:val="auto"/>
              </w:rPr>
              <w:t>工程</w:t>
            </w:r>
          </w:p>
        </w:tc>
      </w:tr>
      <w:tr w14:paraId="792B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1EB5F9E1">
            <w:pPr>
              <w:pStyle w:val="70"/>
              <w:kinsoku w:val="0"/>
              <w:overflowPunct w:val="0"/>
              <w:spacing w:before="142"/>
              <w:ind w:left="108" w:right="102"/>
              <w:rPr>
                <w:rFonts w:hAnsi="宋体"/>
                <w:color w:val="auto"/>
              </w:rPr>
            </w:pPr>
            <w:r>
              <w:rPr>
                <w:rFonts w:hAnsi="宋体"/>
                <w:color w:val="auto"/>
              </w:rPr>
              <w:t>2.3</w:t>
            </w:r>
          </w:p>
        </w:tc>
        <w:tc>
          <w:tcPr>
            <w:tcW w:w="1701" w:type="dxa"/>
          </w:tcPr>
          <w:p w14:paraId="3E634BE4">
            <w:pPr>
              <w:pStyle w:val="70"/>
              <w:kinsoku w:val="0"/>
              <w:overflowPunct w:val="0"/>
              <w:spacing w:before="142"/>
              <w:ind w:left="108" w:right="102"/>
              <w:rPr>
                <w:rFonts w:hAnsi="宋体"/>
                <w:color w:val="auto"/>
              </w:rPr>
            </w:pPr>
            <w:r>
              <w:rPr>
                <w:rFonts w:hint="eastAsia" w:hAnsi="宋体"/>
                <w:color w:val="auto"/>
              </w:rPr>
              <w:t>科研仪器设备</w:t>
            </w:r>
          </w:p>
        </w:tc>
        <w:tc>
          <w:tcPr>
            <w:tcW w:w="7327" w:type="dxa"/>
          </w:tcPr>
          <w:p w14:paraId="5856D38D">
            <w:pPr>
              <w:pStyle w:val="70"/>
              <w:kinsoku w:val="0"/>
              <w:overflowPunct w:val="0"/>
              <w:spacing w:before="142"/>
              <w:ind w:left="108" w:right="102"/>
              <w:rPr>
                <w:rFonts w:hAnsi="宋体"/>
                <w:color w:val="auto"/>
              </w:rPr>
            </w:pPr>
            <w:r>
              <w:rPr>
                <w:rFonts w:hint="eastAsia" w:hAnsi="宋体"/>
                <w:color w:val="auto"/>
              </w:rPr>
              <w:t>是否属于科研仪器设备采购项目：</w:t>
            </w:r>
          </w:p>
          <w:p w14:paraId="41981B34">
            <w:pPr>
              <w:pStyle w:val="70"/>
              <w:kinsoku w:val="0"/>
              <w:overflowPunct w:val="0"/>
              <w:spacing w:before="142"/>
              <w:ind w:left="108" w:right="102"/>
              <w:rPr>
                <w:rFonts w:hAnsi="宋体"/>
                <w:color w:val="auto"/>
              </w:rPr>
            </w:pPr>
            <w:r>
              <w:rPr>
                <w:rFonts w:hAnsi="宋体"/>
                <w:color w:val="auto"/>
              </w:rPr>
              <w:t>□</w:t>
            </w:r>
            <w:r>
              <w:rPr>
                <w:rFonts w:hint="eastAsia" w:hAnsi="宋体"/>
                <w:color w:val="auto"/>
              </w:rPr>
              <w:t>是</w:t>
            </w:r>
          </w:p>
          <w:p w14:paraId="31B50A61">
            <w:pPr>
              <w:pStyle w:val="70"/>
              <w:kinsoku w:val="0"/>
              <w:overflowPunct w:val="0"/>
              <w:spacing w:before="142"/>
              <w:ind w:left="108" w:right="102"/>
              <w:rPr>
                <w:rFonts w:hAnsi="宋体"/>
                <w:color w:val="auto"/>
              </w:rPr>
            </w:pPr>
            <w:r>
              <w:rPr>
                <w:rFonts w:hAnsi="宋体"/>
                <w:color w:val="auto"/>
              </w:rPr>
              <w:t>■</w:t>
            </w:r>
            <w:r>
              <w:rPr>
                <w:rFonts w:hint="eastAsia" w:hAnsi="宋体"/>
                <w:color w:val="auto"/>
              </w:rPr>
              <w:t>否</w:t>
            </w:r>
          </w:p>
        </w:tc>
      </w:tr>
      <w:tr w14:paraId="5A66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vMerge w:val="restart"/>
          </w:tcPr>
          <w:p w14:paraId="6C92CADF">
            <w:pPr>
              <w:pStyle w:val="70"/>
              <w:kinsoku w:val="0"/>
              <w:overflowPunct w:val="0"/>
              <w:spacing w:before="142"/>
              <w:ind w:left="108" w:right="102"/>
              <w:rPr>
                <w:rFonts w:hAnsi="宋体"/>
                <w:color w:val="auto"/>
              </w:rPr>
            </w:pPr>
          </w:p>
          <w:p w14:paraId="25B7C480">
            <w:pPr>
              <w:pStyle w:val="70"/>
              <w:kinsoku w:val="0"/>
              <w:overflowPunct w:val="0"/>
              <w:spacing w:before="142"/>
              <w:ind w:right="102"/>
              <w:rPr>
                <w:rFonts w:hAnsi="宋体"/>
                <w:color w:val="auto"/>
              </w:rPr>
            </w:pPr>
          </w:p>
          <w:p w14:paraId="3DAC73BB">
            <w:pPr>
              <w:pStyle w:val="70"/>
              <w:kinsoku w:val="0"/>
              <w:overflowPunct w:val="0"/>
              <w:spacing w:before="142"/>
              <w:ind w:left="108" w:right="102"/>
              <w:rPr>
                <w:rFonts w:hAnsi="宋体"/>
                <w:color w:val="auto"/>
              </w:rPr>
            </w:pPr>
            <w:r>
              <w:rPr>
                <w:rFonts w:hAnsi="宋体"/>
                <w:color w:val="auto"/>
              </w:rPr>
              <w:t>3.1</w:t>
            </w:r>
          </w:p>
        </w:tc>
        <w:tc>
          <w:tcPr>
            <w:tcW w:w="1701" w:type="dxa"/>
          </w:tcPr>
          <w:p w14:paraId="7A6FA0BA">
            <w:pPr>
              <w:pStyle w:val="70"/>
              <w:kinsoku w:val="0"/>
              <w:overflowPunct w:val="0"/>
              <w:spacing w:before="142"/>
              <w:ind w:left="108" w:right="102"/>
              <w:rPr>
                <w:rFonts w:hAnsi="宋体"/>
                <w:color w:val="auto"/>
              </w:rPr>
            </w:pPr>
            <w:r>
              <w:rPr>
                <w:rFonts w:hint="eastAsia" w:hAnsi="宋体"/>
                <w:color w:val="auto"/>
              </w:rPr>
              <w:t>现场考察</w:t>
            </w:r>
          </w:p>
        </w:tc>
        <w:tc>
          <w:tcPr>
            <w:tcW w:w="7327" w:type="dxa"/>
          </w:tcPr>
          <w:p w14:paraId="43BCC0EA">
            <w:pPr>
              <w:pStyle w:val="70"/>
              <w:kinsoku w:val="0"/>
              <w:overflowPunct w:val="0"/>
              <w:spacing w:before="142"/>
              <w:ind w:left="108" w:right="102"/>
              <w:rPr>
                <w:rFonts w:hAnsi="宋体"/>
                <w:color w:val="auto"/>
              </w:rPr>
            </w:pPr>
            <w:r>
              <w:rPr>
                <w:rFonts w:hAnsi="宋体"/>
                <w:color w:val="auto"/>
              </w:rPr>
              <w:t>■</w:t>
            </w:r>
            <w:r>
              <w:rPr>
                <w:rFonts w:hint="eastAsia" w:hAnsi="宋体"/>
                <w:color w:val="auto"/>
              </w:rPr>
              <w:t>不组织</w:t>
            </w:r>
          </w:p>
          <w:p w14:paraId="08ABA2CD">
            <w:pPr>
              <w:pStyle w:val="70"/>
              <w:kinsoku w:val="0"/>
              <w:overflowPunct w:val="0"/>
              <w:spacing w:before="142"/>
              <w:ind w:left="108" w:right="102"/>
              <w:rPr>
                <w:rFonts w:hAnsi="宋体"/>
                <w:color w:val="auto"/>
              </w:rPr>
            </w:pPr>
            <w:r>
              <w:rPr>
                <w:rFonts w:hAnsi="宋体"/>
                <w:color w:val="auto"/>
              </w:rPr>
              <w:t>□</w:t>
            </w:r>
            <w:r>
              <w:rPr>
                <w:rFonts w:hint="eastAsia" w:hAnsi="宋体"/>
                <w:color w:val="auto"/>
              </w:rPr>
              <w:t>组织，考察时间：</w:t>
            </w:r>
            <w:r>
              <w:rPr>
                <w:rFonts w:hAnsi="宋体"/>
                <w:color w:val="auto"/>
              </w:rPr>
              <w:t>___</w:t>
            </w:r>
            <w:r>
              <w:rPr>
                <w:rFonts w:hint="eastAsia" w:hAnsi="宋体"/>
                <w:color w:val="auto"/>
              </w:rPr>
              <w:t>年</w:t>
            </w:r>
            <w:r>
              <w:rPr>
                <w:rFonts w:hAnsi="宋体"/>
                <w:color w:val="auto"/>
              </w:rPr>
              <w:t>___</w:t>
            </w:r>
            <w:r>
              <w:rPr>
                <w:rFonts w:hint="eastAsia" w:hAnsi="宋体"/>
                <w:color w:val="auto"/>
              </w:rPr>
              <w:t>月</w:t>
            </w:r>
            <w:r>
              <w:rPr>
                <w:rFonts w:hAnsi="宋体"/>
                <w:color w:val="auto"/>
              </w:rPr>
              <w:t>___</w:t>
            </w:r>
            <w:r>
              <w:rPr>
                <w:rFonts w:hint="eastAsia" w:hAnsi="宋体"/>
                <w:color w:val="auto"/>
              </w:rPr>
              <w:t>日</w:t>
            </w:r>
            <w:r>
              <w:rPr>
                <w:rFonts w:hAnsi="宋体"/>
                <w:color w:val="auto"/>
              </w:rPr>
              <w:t>___</w:t>
            </w:r>
            <w:r>
              <w:rPr>
                <w:rFonts w:hint="eastAsia" w:hAnsi="宋体"/>
                <w:color w:val="auto"/>
              </w:rPr>
              <w:t>点</w:t>
            </w:r>
            <w:r>
              <w:rPr>
                <w:rFonts w:hAnsi="宋体"/>
                <w:color w:val="auto"/>
              </w:rPr>
              <w:t>___</w:t>
            </w:r>
            <w:r>
              <w:rPr>
                <w:rFonts w:hint="eastAsia" w:hAnsi="宋体"/>
                <w:color w:val="auto"/>
              </w:rPr>
              <w:t>分</w:t>
            </w:r>
          </w:p>
          <w:p w14:paraId="7CBC384E">
            <w:pPr>
              <w:pStyle w:val="70"/>
              <w:kinsoku w:val="0"/>
              <w:overflowPunct w:val="0"/>
              <w:spacing w:before="142"/>
              <w:ind w:left="108" w:right="102"/>
              <w:rPr>
                <w:rFonts w:hAnsi="宋体"/>
                <w:color w:val="auto"/>
              </w:rPr>
            </w:pPr>
            <w:r>
              <w:rPr>
                <w:rFonts w:hint="eastAsia" w:hAnsi="宋体"/>
                <w:color w:val="auto"/>
              </w:rPr>
              <w:t>考察地点：</w:t>
            </w:r>
            <w:r>
              <w:rPr>
                <w:rFonts w:hAnsi="宋体"/>
                <w:color w:val="auto"/>
              </w:rPr>
              <w:t>___________</w:t>
            </w:r>
            <w:r>
              <w:rPr>
                <w:rFonts w:hint="eastAsia" w:hAnsi="宋体"/>
                <w:color w:val="auto"/>
              </w:rPr>
              <w:t>。</w:t>
            </w:r>
          </w:p>
        </w:tc>
      </w:tr>
      <w:tr w14:paraId="03CC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vMerge w:val="continue"/>
          </w:tcPr>
          <w:p w14:paraId="72992A7C">
            <w:pPr>
              <w:pStyle w:val="70"/>
              <w:kinsoku w:val="0"/>
              <w:overflowPunct w:val="0"/>
              <w:spacing w:before="142"/>
              <w:ind w:left="108" w:right="102"/>
              <w:rPr>
                <w:rFonts w:hAnsi="宋体"/>
                <w:color w:val="auto"/>
              </w:rPr>
            </w:pPr>
          </w:p>
        </w:tc>
        <w:tc>
          <w:tcPr>
            <w:tcW w:w="1701" w:type="dxa"/>
          </w:tcPr>
          <w:p w14:paraId="4E797735">
            <w:pPr>
              <w:pStyle w:val="70"/>
              <w:kinsoku w:val="0"/>
              <w:overflowPunct w:val="0"/>
              <w:spacing w:before="142"/>
              <w:ind w:left="108" w:right="102"/>
              <w:rPr>
                <w:rFonts w:hAnsi="宋体"/>
                <w:color w:val="auto"/>
              </w:rPr>
            </w:pPr>
            <w:r>
              <w:rPr>
                <w:rFonts w:hint="eastAsia" w:hAnsi="宋体"/>
                <w:color w:val="auto"/>
              </w:rPr>
              <w:t>磋商前答疑会</w:t>
            </w:r>
          </w:p>
        </w:tc>
        <w:tc>
          <w:tcPr>
            <w:tcW w:w="7327" w:type="dxa"/>
          </w:tcPr>
          <w:p w14:paraId="7FBA05F3">
            <w:pPr>
              <w:pStyle w:val="70"/>
              <w:kinsoku w:val="0"/>
              <w:overflowPunct w:val="0"/>
              <w:spacing w:before="142"/>
              <w:ind w:left="108" w:right="102"/>
              <w:rPr>
                <w:rFonts w:hAnsi="宋体"/>
                <w:color w:val="auto"/>
              </w:rPr>
            </w:pPr>
            <w:r>
              <w:rPr>
                <w:rFonts w:hAnsi="宋体"/>
                <w:color w:val="auto"/>
              </w:rPr>
              <w:t>■</w:t>
            </w:r>
            <w:r>
              <w:rPr>
                <w:rFonts w:hint="eastAsia" w:hAnsi="宋体"/>
                <w:color w:val="auto"/>
              </w:rPr>
              <w:t>不召开</w:t>
            </w:r>
          </w:p>
          <w:p w14:paraId="66E88F08">
            <w:pPr>
              <w:pStyle w:val="70"/>
              <w:kinsoku w:val="0"/>
              <w:overflowPunct w:val="0"/>
              <w:spacing w:before="142"/>
              <w:ind w:left="108" w:right="102"/>
              <w:rPr>
                <w:rFonts w:hAnsi="宋体"/>
                <w:color w:val="auto"/>
              </w:rPr>
            </w:pPr>
            <w:r>
              <w:rPr>
                <w:rFonts w:hAnsi="宋体"/>
                <w:color w:val="auto"/>
              </w:rPr>
              <w:t>□</w:t>
            </w:r>
            <w:r>
              <w:rPr>
                <w:rFonts w:hint="eastAsia" w:hAnsi="宋体"/>
                <w:color w:val="auto"/>
              </w:rPr>
              <w:t>召开，召开时间：</w:t>
            </w:r>
            <w:r>
              <w:rPr>
                <w:rFonts w:hAnsi="宋体"/>
                <w:color w:val="auto"/>
              </w:rPr>
              <w:t>___</w:t>
            </w:r>
            <w:r>
              <w:rPr>
                <w:rFonts w:hint="eastAsia" w:hAnsi="宋体"/>
                <w:color w:val="auto"/>
              </w:rPr>
              <w:t>年</w:t>
            </w:r>
            <w:r>
              <w:rPr>
                <w:rFonts w:hAnsi="宋体"/>
                <w:color w:val="auto"/>
              </w:rPr>
              <w:t>___</w:t>
            </w:r>
            <w:r>
              <w:rPr>
                <w:rFonts w:hint="eastAsia" w:hAnsi="宋体"/>
                <w:color w:val="auto"/>
              </w:rPr>
              <w:t>月</w:t>
            </w:r>
            <w:r>
              <w:rPr>
                <w:rFonts w:hAnsi="宋体"/>
                <w:color w:val="auto"/>
              </w:rPr>
              <w:t>___</w:t>
            </w:r>
            <w:r>
              <w:rPr>
                <w:rFonts w:hint="eastAsia" w:hAnsi="宋体"/>
                <w:color w:val="auto"/>
              </w:rPr>
              <w:t>日</w:t>
            </w:r>
            <w:r>
              <w:rPr>
                <w:rFonts w:hAnsi="宋体"/>
                <w:color w:val="auto"/>
              </w:rPr>
              <w:t>___</w:t>
            </w:r>
            <w:r>
              <w:rPr>
                <w:rFonts w:hint="eastAsia" w:hAnsi="宋体"/>
                <w:color w:val="auto"/>
              </w:rPr>
              <w:t>点</w:t>
            </w:r>
            <w:r>
              <w:rPr>
                <w:rFonts w:hAnsi="宋体"/>
                <w:color w:val="auto"/>
              </w:rPr>
              <w:t>___</w:t>
            </w:r>
            <w:r>
              <w:rPr>
                <w:rFonts w:hint="eastAsia" w:hAnsi="宋体"/>
                <w:color w:val="auto"/>
              </w:rPr>
              <w:t>分</w:t>
            </w:r>
          </w:p>
          <w:p w14:paraId="6003AC3A">
            <w:pPr>
              <w:pStyle w:val="70"/>
              <w:kinsoku w:val="0"/>
              <w:overflowPunct w:val="0"/>
              <w:spacing w:before="142"/>
              <w:ind w:left="108" w:right="102"/>
              <w:rPr>
                <w:rFonts w:hAnsi="宋体"/>
                <w:color w:val="auto"/>
              </w:rPr>
            </w:pPr>
            <w:r>
              <w:rPr>
                <w:rFonts w:hint="eastAsia" w:hAnsi="宋体"/>
                <w:color w:val="auto"/>
              </w:rPr>
              <w:t>召开地点：</w:t>
            </w:r>
            <w:r>
              <w:rPr>
                <w:rFonts w:hAnsi="宋体"/>
                <w:color w:val="auto"/>
              </w:rPr>
              <w:t>___________</w:t>
            </w:r>
            <w:r>
              <w:rPr>
                <w:rFonts w:hint="eastAsia" w:hAnsi="宋体"/>
                <w:color w:val="auto"/>
              </w:rPr>
              <w:t>。</w:t>
            </w:r>
          </w:p>
        </w:tc>
      </w:tr>
      <w:tr w14:paraId="44D0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487110CF">
            <w:pPr>
              <w:pStyle w:val="70"/>
              <w:kinsoku w:val="0"/>
              <w:overflowPunct w:val="0"/>
              <w:spacing w:before="142"/>
              <w:ind w:left="108" w:right="102"/>
              <w:rPr>
                <w:rFonts w:hAnsi="宋体"/>
                <w:color w:val="auto"/>
              </w:rPr>
            </w:pPr>
            <w:r>
              <w:rPr>
                <w:rFonts w:hAnsi="宋体"/>
                <w:color w:val="auto"/>
              </w:rPr>
              <w:t>4.2.5</w:t>
            </w:r>
          </w:p>
        </w:tc>
        <w:tc>
          <w:tcPr>
            <w:tcW w:w="1701" w:type="dxa"/>
          </w:tcPr>
          <w:p w14:paraId="334C0743">
            <w:pPr>
              <w:pStyle w:val="70"/>
              <w:kinsoku w:val="0"/>
              <w:overflowPunct w:val="0"/>
              <w:spacing w:before="142"/>
              <w:ind w:left="108" w:right="102"/>
              <w:rPr>
                <w:rFonts w:hAnsi="宋体"/>
                <w:color w:val="auto"/>
              </w:rPr>
            </w:pPr>
            <w:r>
              <w:rPr>
                <w:rFonts w:hint="eastAsia" w:hAnsi="宋体"/>
                <w:color w:val="auto"/>
              </w:rPr>
              <w:t>标的所属行业</w:t>
            </w:r>
          </w:p>
        </w:tc>
        <w:tc>
          <w:tcPr>
            <w:tcW w:w="7327" w:type="dxa"/>
          </w:tcPr>
          <w:p w14:paraId="78FDA78C">
            <w:pPr>
              <w:pStyle w:val="70"/>
              <w:kinsoku w:val="0"/>
              <w:overflowPunct w:val="0"/>
              <w:spacing w:before="142"/>
              <w:ind w:left="108" w:right="102"/>
              <w:rPr>
                <w:rFonts w:hAnsi="宋体"/>
                <w:color w:val="auto"/>
              </w:rPr>
            </w:pPr>
            <w:r>
              <w:rPr>
                <w:rFonts w:hint="eastAsia" w:hAnsi="宋体"/>
                <w:color w:val="auto"/>
              </w:rPr>
              <w:t>本项目采购标的对应的中小企业划分标准所属行业：</w:t>
            </w:r>
          </w:p>
          <w:tbl>
            <w:tblPr>
              <w:tblStyle w:val="43"/>
              <w:tblW w:w="7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9"/>
              <w:gridCol w:w="3624"/>
            </w:tblGrid>
            <w:tr w14:paraId="10A3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9" w:type="dxa"/>
                  <w:tcBorders>
                    <w:top w:val="single" w:color="auto" w:sz="4" w:space="0"/>
                    <w:left w:val="single" w:color="auto" w:sz="4" w:space="0"/>
                    <w:bottom w:val="single" w:color="auto" w:sz="4" w:space="0"/>
                    <w:right w:val="single" w:color="auto" w:sz="4" w:space="0"/>
                  </w:tcBorders>
                  <w:vAlign w:val="center"/>
                </w:tcPr>
                <w:p w14:paraId="105A351C">
                  <w:pPr>
                    <w:ind w:left="108" w:right="102"/>
                    <w:jc w:val="center"/>
                    <w:rPr>
                      <w:rFonts w:hAnsi="宋体"/>
                      <w:color w:val="auto"/>
                      <w:sz w:val="24"/>
                      <w:szCs w:val="24"/>
                    </w:rPr>
                  </w:pPr>
                  <w:r>
                    <w:rPr>
                      <w:rFonts w:hint="eastAsia" w:hAnsi="宋体"/>
                      <w:color w:val="auto"/>
                      <w:sz w:val="24"/>
                      <w:szCs w:val="24"/>
                    </w:rPr>
                    <w:t>标的名称</w:t>
                  </w:r>
                </w:p>
              </w:tc>
              <w:tc>
                <w:tcPr>
                  <w:tcW w:w="3624" w:type="dxa"/>
                  <w:tcBorders>
                    <w:top w:val="single" w:color="auto" w:sz="4" w:space="0"/>
                    <w:left w:val="single" w:color="auto" w:sz="4" w:space="0"/>
                    <w:bottom w:val="single" w:color="auto" w:sz="4" w:space="0"/>
                    <w:right w:val="single" w:color="auto" w:sz="4" w:space="0"/>
                  </w:tcBorders>
                  <w:vAlign w:val="center"/>
                </w:tcPr>
                <w:p w14:paraId="3F04DC08">
                  <w:pPr>
                    <w:ind w:left="108" w:right="102"/>
                    <w:jc w:val="center"/>
                    <w:rPr>
                      <w:rFonts w:hAnsi="宋体"/>
                      <w:color w:val="auto"/>
                      <w:sz w:val="24"/>
                      <w:szCs w:val="24"/>
                    </w:rPr>
                  </w:pPr>
                  <w:r>
                    <w:rPr>
                      <w:rFonts w:hint="eastAsia" w:hAnsi="宋体"/>
                      <w:color w:val="auto"/>
                      <w:sz w:val="24"/>
                      <w:szCs w:val="24"/>
                    </w:rPr>
                    <w:t>中小企业划分标准所属行业</w:t>
                  </w:r>
                </w:p>
              </w:tc>
            </w:tr>
            <w:tr w14:paraId="7F2C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9" w:type="dxa"/>
                  <w:tcBorders>
                    <w:top w:val="single" w:color="auto" w:sz="4" w:space="0"/>
                    <w:left w:val="single" w:color="auto" w:sz="4" w:space="0"/>
                    <w:bottom w:val="single" w:color="auto" w:sz="4" w:space="0"/>
                    <w:right w:val="single" w:color="auto" w:sz="4" w:space="0"/>
                  </w:tcBorders>
                  <w:vAlign w:val="center"/>
                </w:tcPr>
                <w:p w14:paraId="2B1C8B15">
                  <w:pPr>
                    <w:ind w:left="108" w:right="102"/>
                    <w:jc w:val="center"/>
                    <w:rPr>
                      <w:rFonts w:hint="eastAsia" w:hAnsi="宋体" w:eastAsia="宋体"/>
                      <w:color w:val="auto"/>
                      <w:sz w:val="24"/>
                      <w:szCs w:val="24"/>
                      <w:highlight w:val="none"/>
                      <w:lang w:eastAsia="zh-CN"/>
                    </w:rPr>
                  </w:pPr>
                  <w:r>
                    <w:rPr>
                      <w:rFonts w:hint="eastAsia" w:hAnsi="宋体"/>
                      <w:color w:val="auto"/>
                      <w:sz w:val="24"/>
                      <w:szCs w:val="24"/>
                      <w:highlight w:val="none"/>
                      <w:lang w:eastAsia="zh-CN"/>
                    </w:rPr>
                    <w:t>2025年农村公路日常养护项目</w:t>
                  </w:r>
                </w:p>
              </w:tc>
              <w:tc>
                <w:tcPr>
                  <w:tcW w:w="3624" w:type="dxa"/>
                  <w:tcBorders>
                    <w:top w:val="single" w:color="auto" w:sz="4" w:space="0"/>
                    <w:left w:val="single" w:color="auto" w:sz="4" w:space="0"/>
                    <w:bottom w:val="single" w:color="auto" w:sz="4" w:space="0"/>
                    <w:right w:val="single" w:color="auto" w:sz="4" w:space="0"/>
                  </w:tcBorders>
                  <w:vAlign w:val="center"/>
                </w:tcPr>
                <w:p w14:paraId="2B9016E4">
                  <w:pPr>
                    <w:ind w:left="108" w:right="102"/>
                    <w:jc w:val="center"/>
                    <w:rPr>
                      <w:rFonts w:hint="eastAsia" w:hAnsi="宋体" w:eastAsia="宋体"/>
                      <w:color w:val="auto"/>
                      <w:sz w:val="24"/>
                      <w:szCs w:val="24"/>
                      <w:highlight w:val="none"/>
                      <w:lang w:eastAsia="zh-CN"/>
                    </w:rPr>
                  </w:pPr>
                  <w:r>
                    <w:rPr>
                      <w:rFonts w:hint="eastAsia" w:hAnsi="宋体" w:eastAsia="宋体"/>
                      <w:b/>
                      <w:bCs/>
                      <w:color w:val="auto"/>
                      <w:sz w:val="24"/>
                      <w:szCs w:val="24"/>
                      <w:highlight w:val="none"/>
                      <w:lang w:eastAsia="zh-CN"/>
                    </w:rPr>
                    <w:t>其他未列明行业</w:t>
                  </w:r>
                </w:p>
              </w:tc>
            </w:tr>
          </w:tbl>
          <w:p w14:paraId="671EC7ED">
            <w:pPr>
              <w:pStyle w:val="70"/>
              <w:kinsoku w:val="0"/>
              <w:overflowPunct w:val="0"/>
              <w:spacing w:before="142"/>
              <w:ind w:left="108" w:right="102"/>
              <w:rPr>
                <w:rFonts w:hAnsi="宋体"/>
                <w:color w:val="auto"/>
              </w:rPr>
            </w:pPr>
          </w:p>
        </w:tc>
      </w:tr>
      <w:tr w14:paraId="2A24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3D8C033B">
            <w:pPr>
              <w:pStyle w:val="70"/>
              <w:kinsoku w:val="0"/>
              <w:overflowPunct w:val="0"/>
              <w:spacing w:before="142"/>
              <w:ind w:left="108" w:right="102"/>
              <w:rPr>
                <w:rFonts w:hAnsi="宋体"/>
                <w:color w:val="auto"/>
              </w:rPr>
            </w:pPr>
            <w:r>
              <w:rPr>
                <w:rFonts w:hAnsi="宋体"/>
                <w:color w:val="auto"/>
              </w:rPr>
              <w:t>10.2</w:t>
            </w:r>
          </w:p>
        </w:tc>
        <w:tc>
          <w:tcPr>
            <w:tcW w:w="1701" w:type="dxa"/>
          </w:tcPr>
          <w:p w14:paraId="005B208A">
            <w:pPr>
              <w:pStyle w:val="70"/>
              <w:kinsoku w:val="0"/>
              <w:overflowPunct w:val="0"/>
              <w:spacing w:before="142"/>
              <w:ind w:left="108" w:right="102"/>
              <w:rPr>
                <w:rFonts w:hAnsi="宋体"/>
                <w:color w:val="auto"/>
              </w:rPr>
            </w:pPr>
            <w:r>
              <w:rPr>
                <w:rFonts w:hint="eastAsia" w:hAnsi="宋体"/>
                <w:color w:val="auto"/>
              </w:rPr>
              <w:t>报价</w:t>
            </w:r>
          </w:p>
        </w:tc>
        <w:tc>
          <w:tcPr>
            <w:tcW w:w="7327" w:type="dxa"/>
          </w:tcPr>
          <w:p w14:paraId="7654C60E">
            <w:pPr>
              <w:pStyle w:val="70"/>
              <w:kinsoku w:val="0"/>
              <w:overflowPunct w:val="0"/>
              <w:spacing w:before="142"/>
              <w:ind w:left="108" w:right="102"/>
              <w:rPr>
                <w:rFonts w:hAnsi="宋体"/>
                <w:color w:val="auto"/>
              </w:rPr>
            </w:pPr>
            <w:r>
              <w:rPr>
                <w:rFonts w:hint="eastAsia" w:hAnsi="宋体"/>
                <w:color w:val="auto"/>
              </w:rPr>
              <w:t>报价的特殊规定：</w:t>
            </w:r>
          </w:p>
          <w:p w14:paraId="16200985">
            <w:pPr>
              <w:pStyle w:val="70"/>
              <w:kinsoku w:val="0"/>
              <w:overflowPunct w:val="0"/>
              <w:spacing w:before="142"/>
              <w:ind w:left="108" w:right="102"/>
              <w:rPr>
                <w:rFonts w:hAnsi="宋体"/>
                <w:color w:val="auto"/>
              </w:rPr>
            </w:pPr>
            <w:r>
              <w:rPr>
                <w:rFonts w:hAnsi="宋体"/>
                <w:color w:val="auto"/>
              </w:rPr>
              <w:t>■</w:t>
            </w:r>
            <w:r>
              <w:rPr>
                <w:rFonts w:hint="eastAsia" w:hAnsi="宋体"/>
                <w:color w:val="auto"/>
              </w:rPr>
              <w:t>无</w:t>
            </w:r>
          </w:p>
          <w:p w14:paraId="7A16E48B">
            <w:pPr>
              <w:pStyle w:val="70"/>
              <w:kinsoku w:val="0"/>
              <w:overflowPunct w:val="0"/>
              <w:spacing w:before="142"/>
              <w:ind w:left="108" w:right="102"/>
              <w:rPr>
                <w:rFonts w:hAnsi="宋体"/>
                <w:color w:val="auto"/>
              </w:rPr>
            </w:pPr>
            <w:r>
              <w:rPr>
                <w:rFonts w:hAnsi="宋体"/>
                <w:color w:val="auto"/>
              </w:rPr>
              <w:t>□</w:t>
            </w:r>
            <w:r>
              <w:rPr>
                <w:rFonts w:hint="eastAsia" w:hAnsi="宋体"/>
                <w:color w:val="auto"/>
              </w:rPr>
              <w:t>有，具体情形：</w:t>
            </w:r>
            <w:r>
              <w:rPr>
                <w:rFonts w:hAnsi="宋体"/>
                <w:color w:val="auto"/>
              </w:rPr>
              <w:t>___________</w:t>
            </w:r>
            <w:r>
              <w:rPr>
                <w:rFonts w:hint="eastAsia" w:hAnsi="宋体"/>
                <w:color w:val="auto"/>
              </w:rPr>
              <w:t>。</w:t>
            </w:r>
          </w:p>
        </w:tc>
      </w:tr>
      <w:tr w14:paraId="75407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361210FD">
            <w:pPr>
              <w:pStyle w:val="70"/>
              <w:kinsoku w:val="0"/>
              <w:overflowPunct w:val="0"/>
              <w:spacing w:before="142"/>
              <w:ind w:left="108" w:right="102"/>
              <w:rPr>
                <w:rFonts w:hAnsi="宋体"/>
                <w:color w:val="auto"/>
              </w:rPr>
            </w:pPr>
            <w:r>
              <w:rPr>
                <w:rFonts w:hAnsi="宋体"/>
                <w:color w:val="auto"/>
              </w:rPr>
              <w:t>11.1</w:t>
            </w:r>
          </w:p>
        </w:tc>
        <w:tc>
          <w:tcPr>
            <w:tcW w:w="1701" w:type="dxa"/>
            <w:vAlign w:val="center"/>
          </w:tcPr>
          <w:p w14:paraId="5CC67A16">
            <w:pPr>
              <w:pStyle w:val="70"/>
              <w:kinsoku w:val="0"/>
              <w:overflowPunct w:val="0"/>
              <w:spacing w:before="142"/>
              <w:ind w:left="108" w:right="102"/>
              <w:jc w:val="left"/>
              <w:rPr>
                <w:rFonts w:hAnsi="宋体"/>
                <w:color w:val="auto"/>
                <w:highlight w:val="none"/>
              </w:rPr>
            </w:pPr>
            <w:r>
              <w:rPr>
                <w:rFonts w:hint="eastAsia" w:hAnsi="宋体"/>
                <w:color w:val="auto"/>
                <w:highlight w:val="none"/>
              </w:rPr>
              <w:t>磋商保证金</w:t>
            </w:r>
          </w:p>
        </w:tc>
        <w:tc>
          <w:tcPr>
            <w:tcW w:w="7327" w:type="dxa"/>
            <w:vAlign w:val="center"/>
          </w:tcPr>
          <w:p w14:paraId="42BC9F69">
            <w:pPr>
              <w:jc w:val="left"/>
              <w:rPr>
                <w:rFonts w:hint="default" w:hAnsi="宋体" w:eastAsia="宋体"/>
                <w:color w:val="auto"/>
                <w:highlight w:val="none"/>
                <w:lang w:val="en-US" w:eastAsia="zh-CN"/>
              </w:rPr>
            </w:pPr>
            <w:r>
              <w:rPr>
                <w:rFonts w:hint="eastAsia"/>
                <w:color w:val="auto"/>
                <w:sz w:val="24"/>
                <w:highlight w:val="none"/>
                <w:lang w:val="en-US" w:eastAsia="zh-CN"/>
              </w:rPr>
              <w:t>本项目不收取磋商保证金</w:t>
            </w:r>
          </w:p>
        </w:tc>
      </w:tr>
      <w:tr w14:paraId="27F1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1147525B">
            <w:pPr>
              <w:pStyle w:val="70"/>
              <w:kinsoku w:val="0"/>
              <w:overflowPunct w:val="0"/>
              <w:spacing w:before="142"/>
              <w:ind w:left="108" w:right="102"/>
              <w:rPr>
                <w:rFonts w:hAnsi="宋体"/>
                <w:color w:val="auto"/>
              </w:rPr>
            </w:pPr>
            <w:r>
              <w:rPr>
                <w:rFonts w:hAnsi="宋体"/>
                <w:color w:val="auto"/>
              </w:rPr>
              <w:t>11.</w:t>
            </w:r>
            <w:r>
              <w:rPr>
                <w:rFonts w:hint="eastAsia" w:hAnsi="宋体"/>
                <w:color w:val="auto"/>
                <w:lang w:val="en-US" w:eastAsia="zh-CN"/>
              </w:rPr>
              <w:t>8</w:t>
            </w:r>
            <w:r>
              <w:rPr>
                <w:rFonts w:hAnsi="宋体"/>
                <w:color w:val="auto"/>
              </w:rPr>
              <w:t>.5</w:t>
            </w:r>
          </w:p>
        </w:tc>
        <w:tc>
          <w:tcPr>
            <w:tcW w:w="1701" w:type="dxa"/>
          </w:tcPr>
          <w:p w14:paraId="747B1427">
            <w:pPr>
              <w:pStyle w:val="70"/>
              <w:kinsoku w:val="0"/>
              <w:overflowPunct w:val="0"/>
              <w:spacing w:before="142"/>
              <w:ind w:left="108" w:right="102"/>
              <w:rPr>
                <w:rFonts w:hAnsi="宋体"/>
                <w:color w:val="auto"/>
              </w:rPr>
            </w:pPr>
          </w:p>
        </w:tc>
        <w:tc>
          <w:tcPr>
            <w:tcW w:w="7327" w:type="dxa"/>
          </w:tcPr>
          <w:p w14:paraId="6782E66E">
            <w:pPr>
              <w:pStyle w:val="70"/>
              <w:kinsoku w:val="0"/>
              <w:overflowPunct w:val="0"/>
              <w:spacing w:before="142"/>
              <w:ind w:left="108" w:right="102"/>
              <w:rPr>
                <w:rFonts w:hAnsi="宋体"/>
                <w:color w:val="auto"/>
              </w:rPr>
            </w:pPr>
            <w:r>
              <w:rPr>
                <w:rFonts w:hint="eastAsia" w:hAnsi="宋体"/>
                <w:color w:val="auto"/>
              </w:rPr>
              <w:t>磋商保证金不予退还的其他情形：</w:t>
            </w:r>
          </w:p>
          <w:p w14:paraId="22CDE0D1">
            <w:pPr>
              <w:pStyle w:val="70"/>
              <w:kinsoku w:val="0"/>
              <w:overflowPunct w:val="0"/>
              <w:spacing w:before="142"/>
              <w:ind w:left="108" w:right="102"/>
              <w:rPr>
                <w:rFonts w:hAnsi="宋体"/>
                <w:color w:val="auto"/>
              </w:rPr>
            </w:pPr>
            <w:r>
              <w:rPr>
                <w:rFonts w:hAnsi="宋体"/>
                <w:color w:val="auto"/>
              </w:rPr>
              <w:t>■</w:t>
            </w:r>
            <w:r>
              <w:rPr>
                <w:rFonts w:hint="eastAsia" w:hAnsi="宋体"/>
                <w:color w:val="auto"/>
              </w:rPr>
              <w:t>无</w:t>
            </w:r>
          </w:p>
          <w:p w14:paraId="20F24D77">
            <w:pPr>
              <w:pStyle w:val="70"/>
              <w:kinsoku w:val="0"/>
              <w:overflowPunct w:val="0"/>
              <w:spacing w:before="142"/>
              <w:ind w:left="108" w:right="102"/>
              <w:rPr>
                <w:rFonts w:hAnsi="宋体"/>
                <w:color w:val="auto"/>
              </w:rPr>
            </w:pPr>
            <w:r>
              <w:rPr>
                <w:rFonts w:hAnsi="宋体"/>
                <w:color w:val="auto"/>
              </w:rPr>
              <w:t>□</w:t>
            </w:r>
            <w:r>
              <w:rPr>
                <w:rFonts w:hint="eastAsia" w:hAnsi="宋体"/>
                <w:color w:val="auto"/>
              </w:rPr>
              <w:t>有，具体情形：</w:t>
            </w:r>
            <w:r>
              <w:rPr>
                <w:rFonts w:hAnsi="宋体"/>
                <w:color w:val="auto"/>
              </w:rPr>
              <w:t>___________</w:t>
            </w:r>
            <w:r>
              <w:rPr>
                <w:rFonts w:hint="eastAsia" w:hAnsi="宋体"/>
                <w:color w:val="auto"/>
              </w:rPr>
              <w:t>。</w:t>
            </w:r>
          </w:p>
        </w:tc>
      </w:tr>
      <w:tr w14:paraId="7277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0FEC23CD">
            <w:pPr>
              <w:pStyle w:val="70"/>
              <w:kinsoku w:val="0"/>
              <w:overflowPunct w:val="0"/>
              <w:spacing w:before="142"/>
              <w:ind w:left="108" w:right="102"/>
              <w:rPr>
                <w:rFonts w:hAnsi="宋体"/>
                <w:color w:val="auto"/>
              </w:rPr>
            </w:pPr>
            <w:r>
              <w:rPr>
                <w:rFonts w:hAnsi="宋体"/>
                <w:color w:val="auto"/>
              </w:rPr>
              <w:t>12.1</w:t>
            </w:r>
          </w:p>
        </w:tc>
        <w:tc>
          <w:tcPr>
            <w:tcW w:w="1701" w:type="dxa"/>
          </w:tcPr>
          <w:p w14:paraId="7D35A9D9">
            <w:pPr>
              <w:pStyle w:val="70"/>
              <w:kinsoku w:val="0"/>
              <w:overflowPunct w:val="0"/>
              <w:spacing w:before="142"/>
              <w:ind w:left="108" w:right="102"/>
              <w:rPr>
                <w:rFonts w:hAnsi="宋体"/>
                <w:color w:val="auto"/>
              </w:rPr>
            </w:pPr>
            <w:r>
              <w:rPr>
                <w:rFonts w:hint="eastAsia" w:hAnsi="宋体"/>
                <w:color w:val="auto"/>
              </w:rPr>
              <w:t>响应有效期</w:t>
            </w:r>
          </w:p>
        </w:tc>
        <w:tc>
          <w:tcPr>
            <w:tcW w:w="7327" w:type="dxa"/>
          </w:tcPr>
          <w:p w14:paraId="0D85AE9B">
            <w:pPr>
              <w:pStyle w:val="70"/>
              <w:kinsoku w:val="0"/>
              <w:overflowPunct w:val="0"/>
              <w:spacing w:before="142"/>
              <w:ind w:left="108" w:right="102"/>
              <w:rPr>
                <w:rFonts w:hAnsi="宋体"/>
                <w:color w:val="auto"/>
              </w:rPr>
            </w:pPr>
            <w:r>
              <w:rPr>
                <w:rFonts w:hint="eastAsia" w:hAnsi="宋体"/>
                <w:color w:val="auto"/>
              </w:rPr>
              <w:t>自提交响应文件的截止之日起算</w:t>
            </w:r>
            <w:r>
              <w:rPr>
                <w:rFonts w:hAnsi="宋体"/>
                <w:color w:val="auto"/>
                <w:u w:val="single"/>
              </w:rPr>
              <w:t>_60_</w:t>
            </w:r>
            <w:r>
              <w:rPr>
                <w:rFonts w:hint="eastAsia" w:hAnsi="宋体"/>
                <w:color w:val="auto"/>
              </w:rPr>
              <w:t>日历天。</w:t>
            </w:r>
          </w:p>
        </w:tc>
      </w:tr>
      <w:tr w14:paraId="56A9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vAlign w:val="center"/>
          </w:tcPr>
          <w:p w14:paraId="1A9AA006">
            <w:pPr>
              <w:pStyle w:val="70"/>
              <w:kinsoku w:val="0"/>
              <w:overflowPunct w:val="0"/>
              <w:spacing w:before="142"/>
              <w:ind w:left="108" w:right="102"/>
              <w:jc w:val="both"/>
              <w:rPr>
                <w:rFonts w:hint="eastAsia" w:ascii="宋体" w:hAnsi="宋体" w:eastAsia="宋体" w:cs="宋体"/>
                <w:color w:val="auto"/>
              </w:rPr>
            </w:pPr>
            <w:r>
              <w:rPr>
                <w:rFonts w:hint="eastAsia" w:ascii="宋体" w:hAnsi="宋体" w:eastAsia="宋体" w:cs="宋体"/>
                <w:color w:val="auto"/>
              </w:rPr>
              <w:t>14.1</w:t>
            </w:r>
          </w:p>
        </w:tc>
        <w:tc>
          <w:tcPr>
            <w:tcW w:w="1701" w:type="dxa"/>
            <w:vAlign w:val="center"/>
          </w:tcPr>
          <w:p w14:paraId="14368D99">
            <w:pPr>
              <w:pStyle w:val="70"/>
              <w:kinsoku w:val="0"/>
              <w:overflowPunct w:val="0"/>
              <w:spacing w:before="142"/>
              <w:ind w:left="108" w:right="102"/>
              <w:jc w:val="center"/>
              <w:rPr>
                <w:rFonts w:hint="eastAsia" w:ascii="宋体" w:hAnsi="宋体" w:eastAsia="宋体" w:cs="宋体"/>
                <w:color w:val="auto"/>
              </w:rPr>
            </w:pPr>
            <w:r>
              <w:rPr>
                <w:rFonts w:hint="eastAsia" w:ascii="宋体" w:hAnsi="宋体" w:eastAsia="宋体" w:cs="宋体"/>
                <w:color w:val="auto"/>
              </w:rPr>
              <w:t>响应文件</w:t>
            </w:r>
          </w:p>
          <w:p w14:paraId="7C6BF123">
            <w:pPr>
              <w:pStyle w:val="70"/>
              <w:kinsoku w:val="0"/>
              <w:overflowPunct w:val="0"/>
              <w:spacing w:before="142"/>
              <w:ind w:left="108" w:right="102"/>
              <w:jc w:val="center"/>
              <w:rPr>
                <w:rFonts w:hint="eastAsia" w:ascii="宋体" w:hAnsi="宋体" w:eastAsia="宋体" w:cs="宋体"/>
                <w:color w:val="auto"/>
              </w:rPr>
            </w:pPr>
            <w:r>
              <w:rPr>
                <w:rFonts w:hint="eastAsia" w:ascii="宋体" w:hAnsi="宋体" w:eastAsia="宋体" w:cs="宋体"/>
                <w:color w:val="auto"/>
              </w:rPr>
              <w:t>的提交</w:t>
            </w:r>
          </w:p>
        </w:tc>
        <w:tc>
          <w:tcPr>
            <w:tcW w:w="7327" w:type="dxa"/>
          </w:tcPr>
          <w:p w14:paraId="7303324B">
            <w:pPr>
              <w:pStyle w:val="70"/>
              <w:kinsoku w:val="0"/>
              <w:overflowPunct w:val="0"/>
              <w:spacing w:before="142"/>
              <w:ind w:left="108" w:right="102"/>
              <w:rPr>
                <w:rFonts w:hint="eastAsia" w:ascii="宋体" w:hAnsi="宋体" w:eastAsia="宋体" w:cs="宋体"/>
                <w:color w:val="auto"/>
              </w:rPr>
            </w:pPr>
            <w:r>
              <w:rPr>
                <w:rFonts w:hint="eastAsia" w:ascii="宋体" w:hAnsi="宋体" w:eastAsia="宋体" w:cs="宋体"/>
                <w:color w:val="auto"/>
              </w:rPr>
              <w:t>1、如果多包项目，投标人应针对每个标包单独制作响应文件。</w:t>
            </w:r>
          </w:p>
          <w:p w14:paraId="0EEFAE0D">
            <w:pPr>
              <w:pStyle w:val="70"/>
              <w:kinsoku w:val="0"/>
              <w:overflowPunct w:val="0"/>
              <w:spacing w:before="142"/>
              <w:ind w:left="108" w:right="102"/>
              <w:rPr>
                <w:rFonts w:hint="eastAsia" w:ascii="宋体" w:hAnsi="宋体" w:eastAsia="宋体" w:cs="宋体"/>
                <w:color w:val="auto"/>
              </w:rPr>
            </w:pPr>
            <w:r>
              <w:rPr>
                <w:rFonts w:hint="eastAsia" w:ascii="宋体" w:hAnsi="宋体" w:eastAsia="宋体" w:cs="宋体"/>
                <w:color w:val="auto"/>
              </w:rPr>
              <w:t>2、每个标包的电子版响应文件上传至平台系统</w:t>
            </w:r>
          </w:p>
          <w:p w14:paraId="23A8A0C5">
            <w:pPr>
              <w:pStyle w:val="70"/>
              <w:kinsoku w:val="0"/>
              <w:overflowPunct w:val="0"/>
              <w:spacing w:before="142"/>
              <w:ind w:left="108" w:right="102"/>
              <w:rPr>
                <w:rFonts w:hAnsi="宋体"/>
                <w:b/>
                <w:bCs/>
                <w:color w:val="auto"/>
              </w:rPr>
            </w:pPr>
            <w:r>
              <w:rPr>
                <w:rFonts w:hint="eastAsia" w:hAnsi="宋体" w:cs="宋体"/>
                <w:color w:val="auto"/>
                <w:lang w:val="en-US" w:eastAsia="zh-CN"/>
              </w:rPr>
              <w:t>3</w:t>
            </w:r>
            <w:r>
              <w:rPr>
                <w:rFonts w:hint="eastAsia" w:ascii="宋体" w:hAnsi="宋体" w:eastAsia="宋体" w:cs="宋体"/>
                <w:color w:val="auto"/>
              </w:rPr>
              <w:t>、评审时以上传至平台系统的电子版响应文件为准。</w:t>
            </w:r>
          </w:p>
        </w:tc>
      </w:tr>
      <w:tr w14:paraId="7F36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vAlign w:val="center"/>
          </w:tcPr>
          <w:p w14:paraId="4F66B5EB">
            <w:pPr>
              <w:pStyle w:val="70"/>
              <w:kinsoku w:val="0"/>
              <w:overflowPunct w:val="0"/>
              <w:spacing w:before="142"/>
              <w:ind w:left="108" w:right="102"/>
              <w:jc w:val="both"/>
              <w:rPr>
                <w:rFonts w:hint="default" w:ascii="宋体" w:hAnsi="宋体" w:eastAsia="宋体" w:cs="宋体"/>
                <w:color w:val="auto"/>
                <w:lang w:val="en-US" w:eastAsia="zh-CN"/>
              </w:rPr>
            </w:pPr>
            <w:r>
              <w:rPr>
                <w:rFonts w:hint="eastAsia" w:hAnsi="宋体" w:cs="宋体"/>
                <w:color w:val="auto"/>
                <w:lang w:val="en-US" w:eastAsia="zh-CN"/>
              </w:rPr>
              <w:t>17.2</w:t>
            </w:r>
          </w:p>
        </w:tc>
        <w:tc>
          <w:tcPr>
            <w:tcW w:w="1701" w:type="dxa"/>
            <w:vAlign w:val="center"/>
          </w:tcPr>
          <w:p w14:paraId="330C48C0">
            <w:pPr>
              <w:pStyle w:val="70"/>
              <w:kinsoku w:val="0"/>
              <w:overflowPunct w:val="0"/>
              <w:spacing w:before="142"/>
              <w:ind w:left="108" w:right="102"/>
              <w:rPr>
                <w:rFonts w:hint="eastAsia" w:ascii="宋体" w:hAnsi="宋体" w:eastAsia="宋体" w:cs="宋体"/>
                <w:color w:val="auto"/>
                <w:lang w:val="en-US" w:eastAsia="zh-CN"/>
              </w:rPr>
            </w:pPr>
            <w:r>
              <w:rPr>
                <w:rFonts w:hint="eastAsia" w:ascii="宋体" w:hAnsi="宋体" w:eastAsia="宋体" w:cs="宋体"/>
                <w:color w:val="auto"/>
                <w:lang w:val="en-US" w:eastAsia="zh-CN"/>
              </w:rPr>
              <w:t>解密时间</w:t>
            </w:r>
          </w:p>
        </w:tc>
        <w:tc>
          <w:tcPr>
            <w:tcW w:w="7327" w:type="dxa"/>
          </w:tcPr>
          <w:p w14:paraId="15881A1E">
            <w:pPr>
              <w:pStyle w:val="70"/>
              <w:kinsoku w:val="0"/>
              <w:overflowPunct w:val="0"/>
              <w:spacing w:before="142"/>
              <w:ind w:left="108" w:right="102"/>
              <w:rPr>
                <w:rFonts w:hint="eastAsia" w:ascii="宋体" w:hAnsi="宋体" w:eastAsia="宋体" w:cs="宋体"/>
                <w:color w:val="auto"/>
                <w:lang w:val="en-US" w:eastAsia="zh-CN"/>
              </w:rPr>
            </w:pPr>
            <w:r>
              <w:rPr>
                <w:rFonts w:hint="eastAsia" w:ascii="宋体" w:hAnsi="宋体" w:eastAsia="宋体" w:cs="宋体"/>
                <w:color w:val="auto"/>
                <w:lang w:val="en-US" w:eastAsia="zh-CN"/>
              </w:rPr>
              <w:t>解密时间： 30</w:t>
            </w:r>
            <w:r>
              <w:rPr>
                <w:rFonts w:hint="default" w:ascii="宋体" w:hAnsi="宋体" w:eastAsia="宋体" w:cs="宋体"/>
                <w:color w:val="auto"/>
                <w:lang w:val="en-US" w:eastAsia="zh-CN"/>
              </w:rPr>
              <w:t>分钟</w:t>
            </w:r>
          </w:p>
        </w:tc>
      </w:tr>
      <w:tr w14:paraId="34A2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3DC3D3C3">
            <w:pPr>
              <w:pStyle w:val="70"/>
              <w:kinsoku w:val="0"/>
              <w:overflowPunct w:val="0"/>
              <w:spacing w:before="142"/>
              <w:ind w:left="108" w:right="102"/>
              <w:rPr>
                <w:rFonts w:hAnsi="宋体"/>
                <w:color w:val="auto"/>
              </w:rPr>
            </w:pPr>
            <w:r>
              <w:rPr>
                <w:rFonts w:hAnsi="宋体"/>
                <w:color w:val="auto"/>
              </w:rPr>
              <w:t>20.1</w:t>
            </w:r>
          </w:p>
        </w:tc>
        <w:tc>
          <w:tcPr>
            <w:tcW w:w="1701" w:type="dxa"/>
          </w:tcPr>
          <w:p w14:paraId="74B7688A">
            <w:pPr>
              <w:pStyle w:val="70"/>
              <w:kinsoku w:val="0"/>
              <w:overflowPunct w:val="0"/>
              <w:spacing w:before="142"/>
              <w:ind w:left="108" w:right="102"/>
              <w:rPr>
                <w:rFonts w:hAnsi="宋体"/>
                <w:color w:val="auto"/>
              </w:rPr>
            </w:pPr>
            <w:r>
              <w:rPr>
                <w:rFonts w:hint="eastAsia" w:hAnsi="宋体"/>
                <w:color w:val="auto"/>
              </w:rPr>
              <w:t>成交供应商的确认</w:t>
            </w:r>
          </w:p>
        </w:tc>
        <w:tc>
          <w:tcPr>
            <w:tcW w:w="7327" w:type="dxa"/>
          </w:tcPr>
          <w:p w14:paraId="47C20C69">
            <w:pPr>
              <w:pStyle w:val="70"/>
              <w:kinsoku w:val="0"/>
              <w:overflowPunct w:val="0"/>
              <w:spacing w:before="142"/>
              <w:ind w:left="108" w:right="102"/>
              <w:rPr>
                <w:rFonts w:hAnsi="宋体"/>
                <w:color w:val="auto"/>
              </w:rPr>
            </w:pPr>
            <w:r>
              <w:rPr>
                <w:rFonts w:hint="eastAsia" w:hAnsi="宋体"/>
                <w:color w:val="auto"/>
              </w:rPr>
              <w:t>采购人是否授权磋商小组直接确定成交供应商：</w:t>
            </w:r>
          </w:p>
          <w:p w14:paraId="45642AB1">
            <w:pPr>
              <w:pStyle w:val="70"/>
              <w:kinsoku w:val="0"/>
              <w:overflowPunct w:val="0"/>
              <w:spacing w:before="142"/>
              <w:ind w:left="108" w:right="102"/>
              <w:rPr>
                <w:rFonts w:hAnsi="宋体"/>
                <w:color w:val="auto"/>
              </w:rPr>
            </w:pPr>
            <w:r>
              <w:rPr>
                <w:rFonts w:hAnsi="宋体"/>
                <w:color w:val="auto"/>
              </w:rPr>
              <w:t>■</w:t>
            </w:r>
            <w:r>
              <w:rPr>
                <w:rFonts w:hint="eastAsia" w:hAnsi="宋体"/>
                <w:color w:val="auto"/>
              </w:rPr>
              <w:t>否</w:t>
            </w:r>
          </w:p>
          <w:p w14:paraId="335C2255">
            <w:pPr>
              <w:pStyle w:val="70"/>
              <w:kinsoku w:val="0"/>
              <w:overflowPunct w:val="0"/>
              <w:spacing w:before="142"/>
              <w:ind w:left="108" w:right="102"/>
              <w:rPr>
                <w:rFonts w:hAnsi="宋体"/>
                <w:color w:val="auto"/>
              </w:rPr>
            </w:pPr>
            <w:r>
              <w:rPr>
                <w:rFonts w:hAnsi="宋体"/>
                <w:color w:val="auto"/>
              </w:rPr>
              <w:t>□</w:t>
            </w:r>
            <w:r>
              <w:rPr>
                <w:rFonts w:hint="eastAsia" w:hAnsi="宋体"/>
                <w:color w:val="auto"/>
              </w:rPr>
              <w:t>是</w:t>
            </w:r>
          </w:p>
          <w:p w14:paraId="48BBC087">
            <w:pPr>
              <w:pStyle w:val="70"/>
              <w:kinsoku w:val="0"/>
              <w:overflowPunct w:val="0"/>
              <w:spacing w:before="142"/>
              <w:ind w:left="108" w:right="102"/>
              <w:rPr>
                <w:rFonts w:hAnsi="宋体"/>
                <w:color w:val="auto"/>
              </w:rPr>
            </w:pPr>
            <w:r>
              <w:rPr>
                <w:rFonts w:hint="eastAsia" w:hAnsi="宋体"/>
                <w:color w:val="auto"/>
              </w:rPr>
              <w:t>成交候选人并列的，按照以下方式确定成交供应商：</w:t>
            </w:r>
            <w:r>
              <w:rPr>
                <w:rFonts w:hAnsi="宋体"/>
                <w:color w:val="auto"/>
              </w:rPr>
              <w:t>_______</w:t>
            </w:r>
            <w:r>
              <w:rPr>
                <w:rFonts w:hint="eastAsia" w:hAnsi="宋体"/>
                <w:color w:val="auto"/>
              </w:rPr>
              <w:t>。</w:t>
            </w:r>
          </w:p>
        </w:tc>
      </w:tr>
      <w:tr w14:paraId="4375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7CE65224">
            <w:pPr>
              <w:pStyle w:val="70"/>
              <w:kinsoku w:val="0"/>
              <w:overflowPunct w:val="0"/>
              <w:spacing w:before="142"/>
              <w:ind w:left="108" w:right="102"/>
              <w:rPr>
                <w:rFonts w:hAnsi="宋体"/>
                <w:color w:val="auto"/>
              </w:rPr>
            </w:pPr>
            <w:r>
              <w:rPr>
                <w:rFonts w:hAnsi="宋体"/>
                <w:color w:val="auto"/>
              </w:rPr>
              <w:t>23.5</w:t>
            </w:r>
          </w:p>
        </w:tc>
        <w:tc>
          <w:tcPr>
            <w:tcW w:w="1701" w:type="dxa"/>
          </w:tcPr>
          <w:p w14:paraId="4D35629C">
            <w:pPr>
              <w:pStyle w:val="70"/>
              <w:kinsoku w:val="0"/>
              <w:overflowPunct w:val="0"/>
              <w:spacing w:before="142"/>
              <w:ind w:left="108" w:right="102"/>
              <w:rPr>
                <w:rFonts w:hAnsi="宋体"/>
                <w:color w:val="auto"/>
              </w:rPr>
            </w:pPr>
            <w:r>
              <w:rPr>
                <w:rFonts w:hint="eastAsia" w:hAnsi="宋体"/>
                <w:color w:val="auto"/>
              </w:rPr>
              <w:t>分包</w:t>
            </w:r>
          </w:p>
        </w:tc>
        <w:tc>
          <w:tcPr>
            <w:tcW w:w="7327" w:type="dxa"/>
          </w:tcPr>
          <w:p w14:paraId="4E853F1F">
            <w:pPr>
              <w:pStyle w:val="70"/>
              <w:kinsoku w:val="0"/>
              <w:overflowPunct w:val="0"/>
              <w:spacing w:before="142"/>
              <w:ind w:left="108" w:right="102"/>
              <w:rPr>
                <w:rFonts w:hAnsi="宋体"/>
                <w:color w:val="auto"/>
              </w:rPr>
            </w:pPr>
            <w:r>
              <w:rPr>
                <w:rFonts w:hint="eastAsia" w:hAnsi="宋体"/>
                <w:color w:val="auto"/>
              </w:rPr>
              <w:t>本项目是否允许分包：</w:t>
            </w:r>
            <w:r>
              <w:rPr>
                <w:rFonts w:hAnsi="宋体"/>
                <w:color w:val="auto"/>
              </w:rPr>
              <w:t xml:space="preserve"> </w:t>
            </w:r>
          </w:p>
          <w:p w14:paraId="00D5C998">
            <w:pPr>
              <w:pStyle w:val="70"/>
              <w:kinsoku w:val="0"/>
              <w:overflowPunct w:val="0"/>
              <w:spacing w:before="142"/>
              <w:ind w:left="108" w:right="102"/>
              <w:rPr>
                <w:rFonts w:hAnsi="宋体"/>
                <w:color w:val="auto"/>
              </w:rPr>
            </w:pPr>
            <w:r>
              <w:rPr>
                <w:rFonts w:hint="eastAsia" w:hAnsi="宋体"/>
                <w:color w:val="auto"/>
              </w:rPr>
              <w:t>■不允许</w:t>
            </w:r>
          </w:p>
          <w:p w14:paraId="59546363">
            <w:pPr>
              <w:pStyle w:val="70"/>
              <w:kinsoku w:val="0"/>
              <w:overflowPunct w:val="0"/>
              <w:spacing w:before="142"/>
              <w:ind w:left="108" w:right="102"/>
              <w:rPr>
                <w:rFonts w:hAnsi="宋体"/>
                <w:color w:val="auto"/>
              </w:rPr>
            </w:pPr>
            <w:r>
              <w:rPr>
                <w:rFonts w:hAnsi="宋体"/>
                <w:color w:val="auto"/>
              </w:rPr>
              <w:t>□</w:t>
            </w:r>
            <w:r>
              <w:rPr>
                <w:rFonts w:hint="eastAsia" w:hAnsi="宋体"/>
                <w:color w:val="auto"/>
              </w:rPr>
              <w:t>允许，具体要求：</w:t>
            </w:r>
            <w:r>
              <w:rPr>
                <w:rFonts w:hAnsi="宋体"/>
                <w:color w:val="auto"/>
              </w:rPr>
              <w:t>_______</w:t>
            </w:r>
            <w:r>
              <w:rPr>
                <w:rFonts w:hint="eastAsia" w:hAnsi="宋体"/>
                <w:color w:val="auto"/>
              </w:rPr>
              <w:t>。</w:t>
            </w:r>
          </w:p>
          <w:p w14:paraId="6DE718FF">
            <w:pPr>
              <w:pStyle w:val="70"/>
              <w:kinsoku w:val="0"/>
              <w:overflowPunct w:val="0"/>
              <w:spacing w:before="142"/>
              <w:ind w:left="108" w:right="102"/>
              <w:rPr>
                <w:rFonts w:hAnsi="宋体"/>
                <w:color w:val="auto"/>
              </w:rPr>
            </w:pPr>
            <w:r>
              <w:rPr>
                <w:rFonts w:hint="eastAsia" w:hAnsi="宋体"/>
                <w:color w:val="auto"/>
              </w:rPr>
              <w:t>（</w:t>
            </w:r>
            <w:r>
              <w:rPr>
                <w:rFonts w:hAnsi="宋体"/>
                <w:color w:val="auto"/>
              </w:rPr>
              <w:t>1</w:t>
            </w:r>
            <w:r>
              <w:rPr>
                <w:rFonts w:hint="eastAsia" w:hAnsi="宋体"/>
                <w:color w:val="auto"/>
              </w:rPr>
              <w:t>）可以分包履行的具体内容：</w:t>
            </w:r>
            <w:r>
              <w:rPr>
                <w:rFonts w:hAnsi="宋体"/>
                <w:color w:val="auto"/>
              </w:rPr>
              <w:t>_______</w:t>
            </w:r>
            <w:r>
              <w:rPr>
                <w:rFonts w:hint="eastAsia" w:hAnsi="宋体"/>
                <w:color w:val="auto"/>
              </w:rPr>
              <w:t>；</w:t>
            </w:r>
          </w:p>
          <w:p w14:paraId="1E01B6AB">
            <w:pPr>
              <w:pStyle w:val="70"/>
              <w:kinsoku w:val="0"/>
              <w:overflowPunct w:val="0"/>
              <w:spacing w:before="142"/>
              <w:ind w:left="108" w:right="102"/>
              <w:rPr>
                <w:rFonts w:hAnsi="宋体"/>
                <w:color w:val="auto"/>
              </w:rPr>
            </w:pPr>
            <w:r>
              <w:rPr>
                <w:rFonts w:hint="eastAsia" w:hAnsi="宋体"/>
                <w:color w:val="auto"/>
              </w:rPr>
              <w:t>（</w:t>
            </w:r>
            <w:r>
              <w:rPr>
                <w:rFonts w:hAnsi="宋体"/>
                <w:color w:val="auto"/>
              </w:rPr>
              <w:t>2</w:t>
            </w:r>
            <w:r>
              <w:rPr>
                <w:rFonts w:hint="eastAsia" w:hAnsi="宋体"/>
                <w:color w:val="auto"/>
              </w:rPr>
              <w:t>）允许分包的金额或者比例：</w:t>
            </w:r>
            <w:r>
              <w:rPr>
                <w:rFonts w:hAnsi="宋体"/>
                <w:color w:val="auto"/>
              </w:rPr>
              <w:t>_______</w:t>
            </w:r>
            <w:r>
              <w:rPr>
                <w:rFonts w:hint="eastAsia" w:hAnsi="宋体"/>
                <w:color w:val="auto"/>
              </w:rPr>
              <w:t>；</w:t>
            </w:r>
          </w:p>
          <w:p w14:paraId="5C1108DC">
            <w:pPr>
              <w:pStyle w:val="70"/>
              <w:kinsoku w:val="0"/>
              <w:overflowPunct w:val="0"/>
              <w:spacing w:before="142"/>
              <w:ind w:left="108" w:right="102"/>
              <w:rPr>
                <w:rFonts w:hAnsi="宋体"/>
                <w:color w:val="auto"/>
              </w:rPr>
            </w:pPr>
            <w:r>
              <w:rPr>
                <w:rFonts w:hint="eastAsia" w:hAnsi="宋体"/>
                <w:color w:val="auto"/>
              </w:rPr>
              <w:t>（</w:t>
            </w:r>
            <w:r>
              <w:rPr>
                <w:rFonts w:hAnsi="宋体"/>
                <w:color w:val="auto"/>
              </w:rPr>
              <w:t>3</w:t>
            </w:r>
            <w:r>
              <w:rPr>
                <w:rFonts w:hint="eastAsia" w:hAnsi="宋体"/>
                <w:color w:val="auto"/>
              </w:rPr>
              <w:t>）其他要求：</w:t>
            </w:r>
            <w:r>
              <w:rPr>
                <w:rFonts w:hAnsi="宋体"/>
                <w:color w:val="auto"/>
              </w:rPr>
              <w:t>_______</w:t>
            </w:r>
            <w:r>
              <w:rPr>
                <w:rFonts w:hint="eastAsia" w:hAnsi="宋体"/>
                <w:color w:val="auto"/>
              </w:rPr>
              <w:t>。</w:t>
            </w:r>
          </w:p>
        </w:tc>
      </w:tr>
      <w:tr w14:paraId="3102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5669F45F">
            <w:pPr>
              <w:pStyle w:val="70"/>
              <w:kinsoku w:val="0"/>
              <w:overflowPunct w:val="0"/>
              <w:spacing w:before="142"/>
              <w:ind w:left="108" w:right="102"/>
              <w:rPr>
                <w:rFonts w:hAnsi="宋体"/>
                <w:color w:val="auto"/>
              </w:rPr>
            </w:pPr>
            <w:r>
              <w:rPr>
                <w:rFonts w:hAnsi="宋体"/>
                <w:color w:val="auto"/>
                <w:lang w:val="en-US" w:eastAsia="zh-CN"/>
              </w:rPr>
              <w:t>23.6</w:t>
            </w:r>
          </w:p>
        </w:tc>
        <w:tc>
          <w:tcPr>
            <w:tcW w:w="1701" w:type="dxa"/>
          </w:tcPr>
          <w:p w14:paraId="5A78BC63">
            <w:pPr>
              <w:pStyle w:val="70"/>
              <w:kinsoku w:val="0"/>
              <w:overflowPunct w:val="0"/>
              <w:spacing w:before="142"/>
              <w:ind w:left="108" w:right="102"/>
              <w:rPr>
                <w:rFonts w:hint="eastAsia" w:hAnsi="宋体"/>
                <w:color w:val="auto"/>
              </w:rPr>
            </w:pPr>
            <w:r>
              <w:rPr>
                <w:rFonts w:hint="eastAsia" w:hAnsi="宋体"/>
                <w:color w:val="auto"/>
                <w:lang w:val="en-US" w:eastAsia="zh-CN"/>
              </w:rPr>
              <w:t>政采贷</w:t>
            </w:r>
          </w:p>
        </w:tc>
        <w:tc>
          <w:tcPr>
            <w:tcW w:w="7327" w:type="dxa"/>
          </w:tcPr>
          <w:p w14:paraId="0D0F4C64">
            <w:pPr>
              <w:pStyle w:val="70"/>
              <w:kinsoku w:val="0"/>
              <w:overflowPunct w:val="0"/>
              <w:spacing w:before="142"/>
              <w:ind w:left="108" w:right="102"/>
              <w:rPr>
                <w:rFonts w:hint="eastAsia" w:hAnsi="宋体"/>
                <w:color w:val="auto"/>
              </w:rPr>
            </w:pPr>
            <w:r>
              <w:rPr>
                <w:rFonts w:hint="eastAsia" w:hAnsi="宋体"/>
                <w:color w:val="auto"/>
                <w:lang w:val="en-US" w:eastAsia="zh-CN"/>
              </w:rPr>
              <w:t xml:space="preserve">为更大力度激发市场活力和社会创造力，增强发展动力，按照《北 </w:t>
            </w:r>
          </w:p>
          <w:p w14:paraId="48F95E58">
            <w:pPr>
              <w:pStyle w:val="70"/>
              <w:kinsoku w:val="0"/>
              <w:overflowPunct w:val="0"/>
              <w:spacing w:before="142"/>
              <w:ind w:left="108" w:right="102"/>
              <w:rPr>
                <w:rFonts w:hint="eastAsia" w:hAnsi="宋体"/>
                <w:color w:val="auto"/>
              </w:rPr>
            </w:pPr>
            <w:r>
              <w:rPr>
                <w:rFonts w:hint="eastAsia" w:hAnsi="宋体"/>
                <w:color w:val="auto"/>
                <w:lang w:val="en-US" w:eastAsia="zh-CN"/>
              </w:rPr>
              <w:t xml:space="preserve">京市全面优化营商环境助力企业高质量发展实施方案》（京政办发 </w:t>
            </w:r>
          </w:p>
          <w:p w14:paraId="0C09B544">
            <w:pPr>
              <w:pStyle w:val="70"/>
              <w:kinsoku w:val="0"/>
              <w:overflowPunct w:val="0"/>
              <w:spacing w:before="142"/>
              <w:ind w:left="108" w:right="102"/>
              <w:rPr>
                <w:rFonts w:hint="eastAsia" w:hAnsi="宋体"/>
                <w:color w:val="auto"/>
              </w:rPr>
            </w:pPr>
            <w:r>
              <w:rPr>
                <w:rFonts w:hint="eastAsia" w:hAnsi="宋体"/>
                <w:color w:val="auto"/>
                <w:lang w:val="en-US" w:eastAsia="zh-CN"/>
              </w:rPr>
              <w:t>〔2023〕8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 求办理“政采贷”。</w:t>
            </w:r>
          </w:p>
        </w:tc>
      </w:tr>
      <w:tr w14:paraId="2C2F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1EA9C5F2">
            <w:pPr>
              <w:pStyle w:val="70"/>
              <w:kinsoku w:val="0"/>
              <w:overflowPunct w:val="0"/>
              <w:spacing w:before="142"/>
              <w:ind w:left="108" w:right="102"/>
              <w:rPr>
                <w:rFonts w:hAnsi="宋体"/>
                <w:color w:val="auto"/>
              </w:rPr>
            </w:pPr>
            <w:r>
              <w:rPr>
                <w:rFonts w:hAnsi="宋体"/>
                <w:color w:val="auto"/>
              </w:rPr>
              <w:t>24.1.1</w:t>
            </w:r>
          </w:p>
        </w:tc>
        <w:tc>
          <w:tcPr>
            <w:tcW w:w="1701" w:type="dxa"/>
          </w:tcPr>
          <w:p w14:paraId="6E8ED568">
            <w:pPr>
              <w:pStyle w:val="70"/>
              <w:kinsoku w:val="0"/>
              <w:overflowPunct w:val="0"/>
              <w:spacing w:before="142"/>
              <w:ind w:left="108" w:right="102"/>
              <w:rPr>
                <w:rFonts w:hAnsi="宋体"/>
                <w:color w:val="auto"/>
              </w:rPr>
            </w:pPr>
            <w:r>
              <w:rPr>
                <w:rFonts w:hint="eastAsia" w:hAnsi="宋体"/>
                <w:color w:val="auto"/>
              </w:rPr>
              <w:t>询问</w:t>
            </w:r>
          </w:p>
        </w:tc>
        <w:tc>
          <w:tcPr>
            <w:tcW w:w="7327" w:type="dxa"/>
          </w:tcPr>
          <w:p w14:paraId="1C396E60">
            <w:pPr>
              <w:pStyle w:val="70"/>
              <w:kinsoku w:val="0"/>
              <w:overflowPunct w:val="0"/>
              <w:spacing w:before="142"/>
              <w:ind w:left="108" w:right="102"/>
              <w:rPr>
                <w:rFonts w:hAnsi="宋体"/>
                <w:color w:val="auto"/>
              </w:rPr>
            </w:pPr>
            <w:r>
              <w:rPr>
                <w:rFonts w:hint="eastAsia" w:hAnsi="宋体"/>
                <w:color w:val="auto"/>
              </w:rPr>
              <w:t>询问送达形式：加盖公章的纸质文件</w:t>
            </w:r>
          </w:p>
        </w:tc>
      </w:tr>
      <w:tr w14:paraId="4478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7FE40AB1">
            <w:pPr>
              <w:pStyle w:val="70"/>
              <w:kinsoku w:val="0"/>
              <w:overflowPunct w:val="0"/>
              <w:spacing w:before="142"/>
              <w:ind w:left="108" w:right="102"/>
              <w:rPr>
                <w:rFonts w:hAnsi="宋体"/>
                <w:color w:val="auto"/>
              </w:rPr>
            </w:pPr>
            <w:r>
              <w:rPr>
                <w:rFonts w:hAnsi="宋体"/>
                <w:color w:val="auto"/>
              </w:rPr>
              <w:t>24.3</w:t>
            </w:r>
          </w:p>
        </w:tc>
        <w:tc>
          <w:tcPr>
            <w:tcW w:w="1701" w:type="dxa"/>
          </w:tcPr>
          <w:p w14:paraId="496A8EB1">
            <w:pPr>
              <w:pStyle w:val="70"/>
              <w:kinsoku w:val="0"/>
              <w:overflowPunct w:val="0"/>
              <w:spacing w:before="142"/>
              <w:ind w:left="108" w:right="102"/>
              <w:rPr>
                <w:rFonts w:hAnsi="宋体"/>
                <w:color w:val="auto"/>
              </w:rPr>
            </w:pPr>
            <w:r>
              <w:rPr>
                <w:rFonts w:hint="eastAsia" w:hAnsi="宋体"/>
                <w:color w:val="auto"/>
              </w:rPr>
              <w:t>联系方式</w:t>
            </w:r>
          </w:p>
        </w:tc>
        <w:tc>
          <w:tcPr>
            <w:tcW w:w="7327" w:type="dxa"/>
          </w:tcPr>
          <w:p w14:paraId="17BAD8ED">
            <w:pPr>
              <w:pStyle w:val="70"/>
              <w:kinsoku w:val="0"/>
              <w:overflowPunct w:val="0"/>
              <w:spacing w:before="142"/>
              <w:ind w:left="108" w:right="102"/>
              <w:rPr>
                <w:rFonts w:hAnsi="宋体"/>
                <w:color w:val="auto"/>
              </w:rPr>
            </w:pPr>
            <w:r>
              <w:rPr>
                <w:rFonts w:hint="eastAsia" w:hAnsi="宋体"/>
                <w:color w:val="auto"/>
              </w:rPr>
              <w:t>接收询问和质疑的联系方式</w:t>
            </w:r>
          </w:p>
          <w:p w14:paraId="64D521EC">
            <w:pPr>
              <w:pStyle w:val="70"/>
              <w:kinsoku w:val="0"/>
              <w:overflowPunct w:val="0"/>
              <w:spacing w:before="142"/>
              <w:ind w:left="108" w:right="102"/>
              <w:rPr>
                <w:rFonts w:hAnsi="宋体"/>
                <w:color w:val="auto"/>
              </w:rPr>
            </w:pPr>
            <w:r>
              <w:rPr>
                <w:rFonts w:hint="eastAsia" w:hAnsi="宋体"/>
                <w:color w:val="auto"/>
              </w:rPr>
              <w:t>联系部门：北京北咨招标有限公司；</w:t>
            </w:r>
          </w:p>
          <w:p w14:paraId="45448AB7">
            <w:pPr>
              <w:pStyle w:val="70"/>
              <w:kinsoku w:val="0"/>
              <w:overflowPunct w:val="0"/>
              <w:spacing w:before="142"/>
              <w:ind w:left="108" w:right="102"/>
              <w:rPr>
                <w:rFonts w:hAnsi="宋体"/>
                <w:color w:val="auto"/>
              </w:rPr>
            </w:pPr>
            <w:r>
              <w:rPr>
                <w:rFonts w:hint="eastAsia" w:hAnsi="宋体"/>
                <w:color w:val="auto"/>
              </w:rPr>
              <w:t>联系电话：</w:t>
            </w:r>
            <w:r>
              <w:rPr>
                <w:rFonts w:hint="eastAsia" w:hAnsi="宋体"/>
                <w:color w:val="auto"/>
                <w:lang w:eastAsia="zh-CN"/>
              </w:rPr>
              <w:t>18614040409</w:t>
            </w:r>
            <w:r>
              <w:rPr>
                <w:rFonts w:hint="eastAsia" w:hAnsi="宋体"/>
                <w:color w:val="auto"/>
              </w:rPr>
              <w:t>；</w:t>
            </w:r>
          </w:p>
          <w:p w14:paraId="3A4D9466">
            <w:pPr>
              <w:pStyle w:val="70"/>
              <w:kinsoku w:val="0"/>
              <w:overflowPunct w:val="0"/>
              <w:spacing w:before="142"/>
              <w:ind w:left="108" w:right="102"/>
              <w:rPr>
                <w:rFonts w:hAnsi="宋体"/>
                <w:color w:val="auto"/>
              </w:rPr>
            </w:pPr>
            <w:r>
              <w:rPr>
                <w:rFonts w:hint="eastAsia" w:hAnsi="宋体"/>
                <w:color w:val="auto"/>
              </w:rPr>
              <w:t>通讯地址：北京市朝阳区华腾世纪总部公园</w:t>
            </w:r>
            <w:r>
              <w:rPr>
                <w:rFonts w:hAnsi="宋体"/>
                <w:color w:val="auto"/>
              </w:rPr>
              <w:t>F</w:t>
            </w:r>
            <w:r>
              <w:rPr>
                <w:rFonts w:hint="eastAsia" w:hAnsi="宋体"/>
                <w:color w:val="auto"/>
              </w:rPr>
              <w:t>座</w:t>
            </w:r>
            <w:r>
              <w:rPr>
                <w:rFonts w:hAnsi="宋体"/>
                <w:color w:val="auto"/>
              </w:rPr>
              <w:t>11</w:t>
            </w:r>
            <w:r>
              <w:rPr>
                <w:rFonts w:hint="eastAsia" w:hAnsi="宋体"/>
                <w:color w:val="auto"/>
              </w:rPr>
              <w:t>层</w:t>
            </w:r>
            <w:r>
              <w:rPr>
                <w:rFonts w:hAnsi="宋体"/>
                <w:color w:val="auto"/>
              </w:rPr>
              <w:t>1107</w:t>
            </w:r>
            <w:r>
              <w:rPr>
                <w:rFonts w:hint="eastAsia" w:hAnsi="宋体"/>
                <w:color w:val="auto"/>
              </w:rPr>
              <w:t>室。</w:t>
            </w:r>
          </w:p>
        </w:tc>
      </w:tr>
      <w:tr w14:paraId="22E5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14:paraId="5C7A855A">
            <w:pPr>
              <w:pStyle w:val="70"/>
              <w:kinsoku w:val="0"/>
              <w:overflowPunct w:val="0"/>
              <w:spacing w:before="142"/>
              <w:ind w:left="108" w:right="102"/>
              <w:rPr>
                <w:rFonts w:hAnsi="宋体"/>
                <w:color w:val="auto"/>
              </w:rPr>
            </w:pPr>
            <w:r>
              <w:rPr>
                <w:rFonts w:hAnsi="宋体"/>
                <w:color w:val="auto"/>
              </w:rPr>
              <w:t>25</w:t>
            </w:r>
          </w:p>
        </w:tc>
        <w:tc>
          <w:tcPr>
            <w:tcW w:w="1701" w:type="dxa"/>
          </w:tcPr>
          <w:p w14:paraId="2399A074">
            <w:pPr>
              <w:pStyle w:val="70"/>
              <w:kinsoku w:val="0"/>
              <w:overflowPunct w:val="0"/>
              <w:spacing w:before="142"/>
              <w:ind w:left="108" w:right="102"/>
              <w:rPr>
                <w:rFonts w:hAnsi="宋体"/>
                <w:color w:val="auto"/>
                <w:highlight w:val="none"/>
              </w:rPr>
            </w:pPr>
            <w:r>
              <w:rPr>
                <w:rFonts w:hint="eastAsia" w:hAnsi="宋体"/>
                <w:color w:val="auto"/>
                <w:highlight w:val="none"/>
              </w:rPr>
              <w:t>代理费</w:t>
            </w:r>
          </w:p>
        </w:tc>
        <w:tc>
          <w:tcPr>
            <w:tcW w:w="7327" w:type="dxa"/>
          </w:tcPr>
          <w:p w14:paraId="528D58DB">
            <w:pPr>
              <w:pStyle w:val="70"/>
              <w:kinsoku w:val="0"/>
              <w:overflowPunct w:val="0"/>
              <w:spacing w:before="142" w:line="360" w:lineRule="auto"/>
              <w:ind w:left="108" w:right="102"/>
              <w:rPr>
                <w:rFonts w:hint="eastAsia" w:ascii="宋体" w:hAnsi="宋体" w:eastAsia="宋体" w:cs="宋体"/>
                <w:color w:val="auto"/>
              </w:rPr>
            </w:pPr>
            <w:r>
              <w:rPr>
                <w:rFonts w:hint="eastAsia" w:ascii="宋体" w:hAnsi="宋体" w:eastAsia="宋体" w:cs="宋体"/>
                <w:color w:val="auto"/>
              </w:rPr>
              <w:t>收费对象：</w:t>
            </w:r>
          </w:p>
          <w:p w14:paraId="314A66DC">
            <w:pPr>
              <w:pStyle w:val="70"/>
              <w:kinsoku w:val="0"/>
              <w:overflowPunct w:val="0"/>
              <w:spacing w:before="142" w:line="360" w:lineRule="auto"/>
              <w:ind w:left="108" w:right="102"/>
              <w:rPr>
                <w:rFonts w:hint="eastAsia" w:ascii="宋体" w:hAnsi="宋体" w:eastAsia="宋体" w:cs="宋体"/>
                <w:color w:val="auto"/>
              </w:rPr>
            </w:pPr>
            <w:r>
              <w:rPr>
                <w:rFonts w:hint="eastAsia" w:ascii="宋体" w:hAnsi="宋体" w:eastAsia="宋体" w:cs="宋体"/>
                <w:color w:val="auto"/>
              </w:rPr>
              <w:sym w:font="Wingdings 2" w:char="00A3"/>
            </w:r>
            <w:r>
              <w:rPr>
                <w:rFonts w:hint="eastAsia" w:ascii="宋体" w:hAnsi="宋体" w:eastAsia="宋体" w:cs="宋体"/>
                <w:color w:val="auto"/>
              </w:rPr>
              <w:t>采购人</w:t>
            </w:r>
          </w:p>
          <w:p w14:paraId="05158103">
            <w:pPr>
              <w:pStyle w:val="70"/>
              <w:kinsoku w:val="0"/>
              <w:overflowPunct w:val="0"/>
              <w:spacing w:before="142" w:line="360" w:lineRule="auto"/>
              <w:ind w:left="108" w:right="102"/>
              <w:rPr>
                <w:rFonts w:hint="eastAsia" w:ascii="宋体" w:hAnsi="宋体" w:eastAsia="宋体" w:cs="宋体"/>
                <w:color w:val="auto"/>
              </w:rPr>
            </w:pPr>
            <w:r>
              <w:rPr>
                <w:rFonts w:hAnsi="宋体"/>
                <w:color w:val="auto"/>
              </w:rPr>
              <w:t>■</w:t>
            </w:r>
            <w:r>
              <w:rPr>
                <w:rFonts w:hint="eastAsia" w:ascii="宋体" w:hAnsi="宋体" w:eastAsia="宋体" w:cs="宋体"/>
                <w:color w:val="auto"/>
              </w:rPr>
              <w:t>成交供应商</w:t>
            </w:r>
          </w:p>
          <w:p w14:paraId="371EC940">
            <w:pPr>
              <w:pStyle w:val="70"/>
              <w:kinsoku w:val="0"/>
              <w:overflowPunct w:val="0"/>
              <w:spacing w:before="142" w:line="360" w:lineRule="auto"/>
              <w:ind w:left="108" w:right="102"/>
              <w:rPr>
                <w:rFonts w:hint="eastAsia" w:ascii="宋体" w:hAnsi="宋体" w:eastAsia="宋体" w:cs="宋体"/>
                <w:color w:val="auto"/>
              </w:rPr>
            </w:pPr>
            <w:r>
              <w:rPr>
                <w:rFonts w:hint="eastAsia" w:ascii="宋体" w:hAnsi="宋体" w:eastAsia="宋体" w:cs="宋体"/>
                <w:color w:val="auto"/>
              </w:rPr>
              <w:t>代理费</w:t>
            </w:r>
            <w:r>
              <w:rPr>
                <w:rFonts w:hint="eastAsia" w:ascii="宋体" w:hAnsi="宋体" w:eastAsia="宋体" w:cs="宋体"/>
                <w:color w:val="auto"/>
                <w:lang w:eastAsia="zh-CN"/>
              </w:rPr>
              <w:t>：</w:t>
            </w:r>
            <w:r>
              <w:rPr>
                <w:rFonts w:hint="eastAsia" w:ascii="宋体" w:hAnsi="宋体" w:eastAsia="宋体" w:cs="宋体"/>
                <w:color w:val="auto"/>
                <w:u w:val="single"/>
              </w:rPr>
              <w:t>包括</w:t>
            </w:r>
            <w:r>
              <w:rPr>
                <w:rFonts w:hint="eastAsia" w:hAnsi="宋体" w:cs="宋体"/>
                <w:color w:val="auto"/>
                <w:u w:val="single"/>
                <w:lang w:val="en-US" w:eastAsia="zh-CN"/>
              </w:rPr>
              <w:t>测算费</w:t>
            </w:r>
            <w:r>
              <w:rPr>
                <w:rFonts w:hint="eastAsia" w:ascii="宋体" w:hAnsi="宋体" w:eastAsia="宋体" w:cs="宋体"/>
                <w:color w:val="auto"/>
                <w:u w:val="single"/>
              </w:rPr>
              <w:t>和招标代理服务费。</w:t>
            </w:r>
          </w:p>
          <w:p w14:paraId="4F2C3309">
            <w:pPr>
              <w:pStyle w:val="70"/>
              <w:kinsoku w:val="0"/>
              <w:overflowPunct w:val="0"/>
              <w:spacing w:before="142"/>
              <w:ind w:left="108" w:right="102"/>
              <w:rPr>
                <w:rFonts w:hint="default" w:ascii="宋体" w:hAnsi="宋体" w:eastAsia="宋体" w:cs="宋体"/>
                <w:color w:val="auto"/>
                <w:lang w:val="en-US" w:eastAsia="zh-CN"/>
              </w:rPr>
            </w:pPr>
            <w:r>
              <w:rPr>
                <w:rFonts w:hint="eastAsia" w:ascii="宋体" w:hAnsi="宋体" w:eastAsia="宋体" w:cs="宋体"/>
                <w:color w:val="auto"/>
              </w:rPr>
              <w:t>收费标准：</w:t>
            </w:r>
            <w:r>
              <w:rPr>
                <w:rFonts w:hint="eastAsia" w:ascii="宋体" w:hAnsi="宋体" w:eastAsia="宋体" w:cs="宋体"/>
                <w:color w:val="auto"/>
                <w:u w:val="none"/>
              </w:rPr>
              <w:t>包括</w:t>
            </w:r>
            <w:r>
              <w:rPr>
                <w:rFonts w:hint="eastAsia" w:hAnsi="宋体" w:cs="宋体"/>
                <w:color w:val="auto"/>
                <w:u w:val="none"/>
                <w:lang w:val="en-US" w:eastAsia="zh-CN"/>
              </w:rPr>
              <w:t>造价测算费</w:t>
            </w:r>
            <w:r>
              <w:rPr>
                <w:rFonts w:hint="eastAsia" w:ascii="宋体" w:hAnsi="宋体" w:eastAsia="宋体" w:cs="宋体"/>
                <w:color w:val="auto"/>
                <w:u w:val="none"/>
              </w:rPr>
              <w:t>和招标代理服务费。招标代理服务费参考国家计委《招标代理服务收费管理暂行办法》（计价格〔2002〕1980 号）及国家改革改革委办公厅《关于招标代理服务收费有关问题的通知》（发改办价格〔2003〕</w:t>
            </w:r>
            <w:r>
              <w:rPr>
                <w:rFonts w:hint="eastAsia" w:hAnsi="宋体" w:cs="宋体"/>
                <w:color w:val="auto"/>
                <w:u w:val="none"/>
                <w:lang w:eastAsia="zh-CN"/>
              </w:rPr>
              <w:t>857</w:t>
            </w:r>
            <w:r>
              <w:rPr>
                <w:rFonts w:hint="eastAsia" w:ascii="宋体" w:hAnsi="宋体" w:eastAsia="宋体" w:cs="宋体"/>
                <w:color w:val="auto"/>
                <w:u w:val="none"/>
              </w:rPr>
              <w:t xml:space="preserve"> 号）规定的招标代理服务收费标准，以</w:t>
            </w:r>
            <w:r>
              <w:rPr>
                <w:rFonts w:hint="eastAsia" w:ascii="宋体" w:hAnsi="宋体" w:eastAsia="宋体" w:cs="宋体"/>
                <w:color w:val="auto"/>
                <w:u w:val="none"/>
                <w:lang w:val="en-US" w:eastAsia="zh-CN"/>
              </w:rPr>
              <w:t>成交</w:t>
            </w:r>
            <w:r>
              <w:rPr>
                <w:rFonts w:hint="eastAsia" w:ascii="宋体" w:hAnsi="宋体" w:eastAsia="宋体" w:cs="宋体"/>
                <w:color w:val="auto"/>
                <w:u w:val="none"/>
              </w:rPr>
              <w:t>总价为基数按差额定率累进法计算招标代理服务费，收费标准下浮25%；</w:t>
            </w:r>
            <w:r>
              <w:rPr>
                <w:rFonts w:hint="eastAsia" w:hAnsi="宋体" w:cs="宋体"/>
                <w:color w:val="auto"/>
                <w:highlight w:val="none"/>
                <w:u w:val="none"/>
                <w:lang w:val="en-US" w:eastAsia="zh-CN"/>
              </w:rPr>
              <w:t>造价测算费为3710.52元。</w:t>
            </w:r>
          </w:p>
          <w:p w14:paraId="3D70345E">
            <w:pPr>
              <w:pStyle w:val="70"/>
              <w:kinsoku w:val="0"/>
              <w:overflowPunct w:val="0"/>
              <w:spacing w:before="142" w:line="360" w:lineRule="auto"/>
              <w:ind w:left="108" w:right="102"/>
              <w:rPr>
                <w:rFonts w:hAnsi="宋体"/>
                <w:color w:val="auto"/>
                <w:highlight w:val="none"/>
              </w:rPr>
            </w:pPr>
            <w:r>
              <w:rPr>
                <w:rFonts w:hint="eastAsia" w:ascii="宋体" w:hAnsi="宋体" w:eastAsia="宋体" w:cs="宋体"/>
                <w:color w:val="auto"/>
              </w:rPr>
              <w:t>缴纳时间：发出</w:t>
            </w:r>
            <w:r>
              <w:rPr>
                <w:rFonts w:hint="eastAsia" w:hAnsi="宋体" w:cs="宋体"/>
                <w:color w:val="auto"/>
                <w:lang w:val="en-US" w:eastAsia="zh-CN"/>
              </w:rPr>
              <w:t>成交</w:t>
            </w:r>
            <w:r>
              <w:rPr>
                <w:rFonts w:hint="eastAsia" w:ascii="宋体" w:hAnsi="宋体" w:eastAsia="宋体" w:cs="宋体"/>
                <w:color w:val="auto"/>
              </w:rPr>
              <w:t>通知书</w:t>
            </w:r>
            <w:r>
              <w:rPr>
                <w:rFonts w:hint="eastAsia" w:ascii="宋体" w:hAnsi="宋体" w:eastAsia="宋体" w:cs="宋体"/>
                <w:color w:val="auto"/>
                <w:lang w:val="en-US" w:eastAsia="zh-CN"/>
              </w:rPr>
              <w:t>同时</w:t>
            </w:r>
            <w:r>
              <w:rPr>
                <w:rFonts w:hint="eastAsia" w:ascii="宋体" w:hAnsi="宋体" w:eastAsia="宋体" w:cs="宋体"/>
                <w:color w:val="auto"/>
              </w:rPr>
              <w:t>。</w:t>
            </w:r>
          </w:p>
        </w:tc>
      </w:tr>
      <w:tr w14:paraId="7BA4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2689" w:type="dxa"/>
            <w:gridSpan w:val="2"/>
            <w:vAlign w:val="center"/>
          </w:tcPr>
          <w:p w14:paraId="2413628C">
            <w:pPr>
              <w:pStyle w:val="70"/>
              <w:kinsoku w:val="0"/>
              <w:overflowPunct w:val="0"/>
              <w:spacing w:before="142"/>
              <w:ind w:left="108" w:right="102"/>
              <w:jc w:val="center"/>
              <w:rPr>
                <w:rFonts w:hint="eastAsia" w:hAnsi="宋体"/>
                <w:color w:val="auto"/>
                <w:highlight w:val="none"/>
              </w:rPr>
            </w:pPr>
            <w:r>
              <w:rPr>
                <w:rFonts w:hint="eastAsia" w:hAnsi="宋体"/>
                <w:color w:val="auto"/>
                <w:lang w:val="en-US" w:eastAsia="zh-CN"/>
              </w:rPr>
              <w:t>其他</w:t>
            </w:r>
          </w:p>
        </w:tc>
        <w:tc>
          <w:tcPr>
            <w:tcW w:w="7327" w:type="dxa"/>
          </w:tcPr>
          <w:p w14:paraId="7247E64A">
            <w:pPr>
              <w:pStyle w:val="70"/>
              <w:kinsoku w:val="0"/>
              <w:overflowPunct w:val="0"/>
              <w:spacing w:before="142" w:line="360" w:lineRule="auto"/>
              <w:ind w:left="108" w:right="102"/>
              <w:rPr>
                <w:rFonts w:hint="eastAsia" w:ascii="宋体" w:hAnsi="宋体" w:eastAsia="宋体" w:cs="宋体"/>
                <w:color w:val="auto"/>
              </w:rPr>
            </w:pPr>
            <w:r>
              <w:rPr>
                <w:rFonts w:hint="eastAsia" w:hAnsi="宋体"/>
                <w:b/>
                <w:bCs/>
                <w:color w:val="auto"/>
                <w:highlight w:val="none"/>
              </w:rPr>
              <w:t>参加磋商的代表应出示法定代表人身份证明文件、身份证原件及复印件加盖公章（适用于法定代表人参加开标会）或法定代表人授权委托书、经办人身份证原件及复印件加盖公章（适用于授权代表参加开标会），并签到以证明其出席。</w:t>
            </w:r>
          </w:p>
        </w:tc>
      </w:tr>
    </w:tbl>
    <w:p w14:paraId="0A24BF64">
      <w:pPr>
        <w:rPr>
          <w:rFonts w:hAnsi="宋体"/>
          <w:color w:val="auto"/>
          <w:sz w:val="5"/>
          <w:szCs w:val="5"/>
        </w:rPr>
        <w:sectPr>
          <w:pgSz w:w="11910" w:h="16840"/>
          <w:pgMar w:top="1340" w:right="560" w:bottom="1080" w:left="1160" w:header="879" w:footer="879" w:gutter="0"/>
          <w:pgNumType w:fmt="decimal"/>
          <w:cols w:space="720" w:num="1"/>
        </w:sectPr>
      </w:pPr>
    </w:p>
    <w:p w14:paraId="61586750">
      <w:pPr>
        <w:pStyle w:val="17"/>
        <w:kinsoku w:val="0"/>
        <w:overflowPunct w:val="0"/>
        <w:spacing w:before="8"/>
        <w:rPr>
          <w:rFonts w:hAnsi="宋体"/>
          <w:color w:val="auto"/>
          <w:sz w:val="19"/>
          <w:szCs w:val="19"/>
        </w:rPr>
      </w:pPr>
    </w:p>
    <w:p w14:paraId="5854DAED">
      <w:pPr>
        <w:pStyle w:val="4"/>
        <w:tabs>
          <w:tab w:val="left" w:pos="5062"/>
          <w:tab w:val="left" w:pos="5624"/>
        </w:tabs>
        <w:kinsoku w:val="0"/>
        <w:overflowPunct w:val="0"/>
        <w:spacing w:line="405" w:lineRule="auto"/>
        <w:ind w:left="4362" w:right="4279" w:hanging="115"/>
        <w:rPr>
          <w:rFonts w:hAnsi="宋体"/>
          <w:color w:val="auto"/>
          <w:spacing w:val="-18"/>
        </w:rPr>
      </w:pPr>
      <w:bookmarkStart w:id="20" w:name="_Toc149147476"/>
      <w:bookmarkStart w:id="21" w:name="_Toc149147698"/>
      <w:bookmarkStart w:id="22" w:name="_Toc149147543"/>
      <w:r>
        <w:rPr>
          <w:rFonts w:hint="eastAsia" w:hAnsi="宋体"/>
          <w:color w:val="auto"/>
        </w:rPr>
        <w:t>供应商须知一</w:t>
      </w:r>
      <w:r>
        <w:rPr>
          <w:rFonts w:hAnsi="宋体"/>
          <w:color w:val="auto"/>
        </w:rPr>
        <w:tab/>
      </w:r>
      <w:r>
        <w:rPr>
          <w:rFonts w:hint="eastAsia" w:hAnsi="宋体"/>
          <w:color w:val="auto"/>
        </w:rPr>
        <w:t>说</w:t>
      </w:r>
      <w:r>
        <w:rPr>
          <w:rFonts w:hAnsi="宋体"/>
          <w:color w:val="auto"/>
        </w:rPr>
        <w:tab/>
      </w:r>
      <w:r>
        <w:rPr>
          <w:rFonts w:hint="eastAsia" w:hAnsi="宋体"/>
          <w:color w:val="auto"/>
          <w:spacing w:val="-18"/>
        </w:rPr>
        <w:t>明</w:t>
      </w:r>
      <w:bookmarkEnd w:id="20"/>
      <w:bookmarkEnd w:id="21"/>
      <w:bookmarkEnd w:id="22"/>
    </w:p>
    <w:p w14:paraId="7C79CEEC">
      <w:pPr>
        <w:pStyle w:val="69"/>
        <w:numPr>
          <w:ilvl w:val="0"/>
          <w:numId w:val="10"/>
        </w:numPr>
        <w:tabs>
          <w:tab w:val="left" w:pos="897"/>
        </w:tabs>
        <w:kinsoku w:val="0"/>
        <w:overflowPunct w:val="0"/>
        <w:spacing w:line="360" w:lineRule="auto"/>
        <w:ind w:left="796" w:leftChars="0" w:firstLineChars="0"/>
        <w:jc w:val="both"/>
        <w:rPr>
          <w:rFonts w:hAnsi="宋体"/>
          <w:color w:val="auto"/>
        </w:rPr>
      </w:pPr>
      <w:r>
        <w:rPr>
          <w:rFonts w:hint="eastAsia" w:hAnsi="宋体"/>
          <w:color w:val="auto"/>
        </w:rPr>
        <w:t>采购人、采购代理机构、供应商、联合体</w:t>
      </w:r>
    </w:p>
    <w:p w14:paraId="66C6208D">
      <w:pPr>
        <w:pStyle w:val="69"/>
        <w:numPr>
          <w:ilvl w:val="1"/>
          <w:numId w:val="10"/>
        </w:numPr>
        <w:tabs>
          <w:tab w:val="left" w:pos="1622"/>
        </w:tabs>
        <w:kinsoku w:val="0"/>
        <w:overflowPunct w:val="0"/>
        <w:spacing w:before="160" w:line="364" w:lineRule="auto"/>
        <w:ind w:right="570"/>
        <w:jc w:val="both"/>
        <w:rPr>
          <w:rFonts w:hAnsi="宋体"/>
          <w:color w:val="auto"/>
          <w:spacing w:val="-24"/>
        </w:rPr>
      </w:pPr>
      <w:r>
        <w:rPr>
          <w:rFonts w:hint="eastAsia" w:hAnsi="宋体"/>
          <w:color w:val="auto"/>
        </w:rPr>
        <w:t>采购人、采购代理机构：指依法进行政府采购的国家机关、事业单位、团体</w:t>
      </w:r>
      <w:r>
        <w:rPr>
          <w:rFonts w:hint="eastAsia" w:hAnsi="宋体"/>
          <w:color w:val="auto"/>
          <w:spacing w:val="-14"/>
        </w:rPr>
        <w:t>组织，及其委托的采购代理机构。本项目采购人、采购代理机构见第一章《采</w:t>
      </w:r>
      <w:r>
        <w:rPr>
          <w:rFonts w:hint="eastAsia" w:hAnsi="宋体"/>
          <w:color w:val="auto"/>
          <w:spacing w:val="-24"/>
        </w:rPr>
        <w:t>购邀请》。</w:t>
      </w:r>
    </w:p>
    <w:p w14:paraId="6D47BAED">
      <w:pPr>
        <w:pStyle w:val="69"/>
        <w:numPr>
          <w:ilvl w:val="1"/>
          <w:numId w:val="10"/>
        </w:numPr>
        <w:tabs>
          <w:tab w:val="left" w:pos="1622"/>
        </w:tabs>
        <w:kinsoku w:val="0"/>
        <w:overflowPunct w:val="0"/>
        <w:spacing w:line="364" w:lineRule="auto"/>
        <w:ind w:right="568"/>
        <w:jc w:val="both"/>
        <w:rPr>
          <w:rFonts w:hAnsi="宋体"/>
          <w:color w:val="auto"/>
          <w:spacing w:val="-6"/>
          <w:w w:val="105"/>
        </w:rPr>
      </w:pPr>
      <w:r>
        <w:rPr>
          <w:rFonts w:hint="eastAsia" w:hAnsi="宋体"/>
          <w:color w:val="auto"/>
          <w:spacing w:val="-5"/>
        </w:rPr>
        <w:t>供应商</w:t>
      </w:r>
      <w:r>
        <w:rPr>
          <w:rFonts w:hint="eastAsia" w:hAnsi="宋体"/>
          <w:color w:val="auto"/>
        </w:rPr>
        <w:t>（</w:t>
      </w:r>
      <w:r>
        <w:rPr>
          <w:rFonts w:hint="eastAsia" w:hAnsi="宋体"/>
          <w:color w:val="auto"/>
          <w:spacing w:val="-1"/>
        </w:rPr>
        <w:t>也称</w:t>
      </w:r>
      <w:r>
        <w:rPr>
          <w:rFonts w:hAnsi="宋体" w:cs="Arial"/>
          <w:color w:val="auto"/>
          <w:w w:val="155"/>
        </w:rPr>
        <w:t>“</w:t>
      </w:r>
      <w:r>
        <w:rPr>
          <w:rFonts w:hint="eastAsia" w:hAnsi="宋体"/>
          <w:color w:val="auto"/>
          <w:spacing w:val="-1"/>
        </w:rPr>
        <w:t>申请人</w:t>
      </w:r>
      <w:r>
        <w:rPr>
          <w:rFonts w:hAnsi="宋体" w:cs="Arial"/>
          <w:color w:val="auto"/>
          <w:w w:val="155"/>
        </w:rPr>
        <w:t>”</w:t>
      </w:r>
      <w:r>
        <w:rPr>
          <w:rFonts w:hint="eastAsia" w:hAnsi="宋体"/>
          <w:color w:val="auto"/>
          <w:spacing w:val="-120"/>
        </w:rPr>
        <w:t>）</w:t>
      </w:r>
      <w:r>
        <w:rPr>
          <w:rFonts w:hint="eastAsia" w:hAnsi="宋体"/>
          <w:color w:val="auto"/>
          <w:spacing w:val="-6"/>
        </w:rPr>
        <w:t>：指向采购人提供货物、工程或者服务的法人、其他</w:t>
      </w:r>
      <w:r>
        <w:rPr>
          <w:rFonts w:hint="eastAsia" w:hAnsi="宋体"/>
          <w:color w:val="auto"/>
          <w:spacing w:val="-6"/>
          <w:w w:val="105"/>
        </w:rPr>
        <w:t>组织或者自然人。</w:t>
      </w:r>
    </w:p>
    <w:p w14:paraId="6053DAE2">
      <w:pPr>
        <w:pStyle w:val="69"/>
        <w:numPr>
          <w:ilvl w:val="1"/>
          <w:numId w:val="10"/>
        </w:numPr>
        <w:tabs>
          <w:tab w:val="left" w:pos="1622"/>
        </w:tabs>
        <w:kinsoku w:val="0"/>
        <w:overflowPunct w:val="0"/>
        <w:spacing w:line="362" w:lineRule="auto"/>
        <w:ind w:right="571"/>
        <w:jc w:val="both"/>
        <w:rPr>
          <w:rFonts w:hAnsi="宋体"/>
          <w:color w:val="auto"/>
        </w:rPr>
      </w:pPr>
      <w:r>
        <w:rPr>
          <w:rFonts w:hint="eastAsia" w:hAnsi="宋体"/>
          <w:color w:val="auto"/>
        </w:rPr>
        <w:t>联合体：指两个以上的自然人、法人或者其他组织组成一个联合体，以一个供应商的身份共同参加政府采购。</w:t>
      </w:r>
    </w:p>
    <w:p w14:paraId="55A1675A">
      <w:pPr>
        <w:pStyle w:val="69"/>
        <w:numPr>
          <w:ilvl w:val="0"/>
          <w:numId w:val="10"/>
        </w:numPr>
        <w:tabs>
          <w:tab w:val="left" w:pos="897"/>
        </w:tabs>
        <w:kinsoku w:val="0"/>
        <w:overflowPunct w:val="0"/>
        <w:spacing w:before="1"/>
        <w:ind w:left="796" w:leftChars="0" w:firstLineChars="0"/>
        <w:jc w:val="both"/>
        <w:rPr>
          <w:rFonts w:hAnsi="宋体"/>
          <w:color w:val="auto"/>
        </w:rPr>
      </w:pPr>
      <w:r>
        <w:rPr>
          <w:rFonts w:hint="eastAsia" w:hAnsi="宋体"/>
          <w:color w:val="auto"/>
        </w:rPr>
        <w:t>资金来源、项目属性、科研仪器设备采购</w:t>
      </w:r>
    </w:p>
    <w:p w14:paraId="3E573D2B">
      <w:pPr>
        <w:pStyle w:val="69"/>
        <w:numPr>
          <w:ilvl w:val="1"/>
          <w:numId w:val="10"/>
        </w:numPr>
        <w:tabs>
          <w:tab w:val="left" w:pos="1622"/>
        </w:tabs>
        <w:kinsoku w:val="0"/>
        <w:overflowPunct w:val="0"/>
        <w:spacing w:before="161" w:line="364" w:lineRule="auto"/>
        <w:ind w:right="573"/>
        <w:jc w:val="both"/>
        <w:rPr>
          <w:rFonts w:hAnsi="宋体"/>
          <w:color w:val="auto"/>
          <w:spacing w:val="6"/>
        </w:rPr>
      </w:pPr>
      <w:r>
        <w:rPr>
          <w:rFonts w:hint="eastAsia" w:hAnsi="宋体"/>
          <w:color w:val="auto"/>
          <w:spacing w:val="7"/>
        </w:rPr>
        <w:t>资金来源为财政性资金和</w:t>
      </w:r>
      <w:r>
        <w:rPr>
          <w:rFonts w:hAnsi="宋体" w:cs="Arial"/>
          <w:color w:val="auto"/>
          <w:spacing w:val="5"/>
        </w:rPr>
        <w:t>/</w:t>
      </w:r>
      <w:r>
        <w:rPr>
          <w:rFonts w:hint="eastAsia" w:hAnsi="宋体"/>
          <w:color w:val="auto"/>
          <w:spacing w:val="6"/>
        </w:rPr>
        <w:t>或本项目采购中无法与财政性资金分割的非财政性资金。</w:t>
      </w:r>
    </w:p>
    <w:p w14:paraId="09F77D28">
      <w:pPr>
        <w:pStyle w:val="69"/>
        <w:numPr>
          <w:ilvl w:val="1"/>
          <w:numId w:val="10"/>
        </w:numPr>
        <w:tabs>
          <w:tab w:val="left" w:pos="1622"/>
        </w:tabs>
        <w:kinsoku w:val="0"/>
        <w:overflowPunct w:val="0"/>
        <w:spacing w:line="306" w:lineRule="exact"/>
        <w:ind w:hanging="721"/>
        <w:jc w:val="both"/>
        <w:rPr>
          <w:rFonts w:hAnsi="宋体"/>
          <w:color w:val="auto"/>
          <w:spacing w:val="-8"/>
        </w:rPr>
      </w:pPr>
      <w:r>
        <w:rPr>
          <w:rFonts w:hint="eastAsia" w:hAnsi="宋体"/>
          <w:color w:val="auto"/>
          <w:spacing w:val="-8"/>
        </w:rPr>
        <w:t>项目属性见《供应商须知资料表》。</w:t>
      </w:r>
    </w:p>
    <w:p w14:paraId="737F62D3">
      <w:pPr>
        <w:pStyle w:val="69"/>
        <w:numPr>
          <w:ilvl w:val="1"/>
          <w:numId w:val="10"/>
        </w:numPr>
        <w:tabs>
          <w:tab w:val="left" w:pos="1622"/>
        </w:tabs>
        <w:kinsoku w:val="0"/>
        <w:overflowPunct w:val="0"/>
        <w:spacing w:before="160"/>
        <w:ind w:hanging="721"/>
        <w:rPr>
          <w:rFonts w:hAnsi="宋体"/>
          <w:color w:val="auto"/>
          <w:spacing w:val="-6"/>
        </w:rPr>
      </w:pPr>
      <w:r>
        <w:rPr>
          <w:rFonts w:hint="eastAsia" w:hAnsi="宋体"/>
          <w:color w:val="auto"/>
          <w:spacing w:val="-6"/>
        </w:rPr>
        <w:t>是否属于科研仪器设备采购见《供应商须知资料表》。</w:t>
      </w:r>
    </w:p>
    <w:p w14:paraId="5993F877">
      <w:pPr>
        <w:pStyle w:val="69"/>
        <w:numPr>
          <w:ilvl w:val="0"/>
          <w:numId w:val="10"/>
        </w:numPr>
        <w:tabs>
          <w:tab w:val="left" w:pos="897"/>
        </w:tabs>
        <w:kinsoku w:val="0"/>
        <w:overflowPunct w:val="0"/>
        <w:spacing w:before="158"/>
        <w:ind w:left="796" w:leftChars="0" w:firstLineChars="0"/>
        <w:jc w:val="both"/>
        <w:rPr>
          <w:rFonts w:hAnsi="宋体"/>
          <w:color w:val="auto"/>
        </w:rPr>
      </w:pPr>
      <w:r>
        <w:rPr>
          <w:rFonts w:hint="eastAsia" w:hAnsi="宋体"/>
          <w:color w:val="auto"/>
        </w:rPr>
        <w:t>现场考察、磋商前答疑会</w:t>
      </w:r>
    </w:p>
    <w:p w14:paraId="5540E3C0">
      <w:pPr>
        <w:pStyle w:val="69"/>
        <w:numPr>
          <w:ilvl w:val="1"/>
          <w:numId w:val="10"/>
        </w:numPr>
        <w:tabs>
          <w:tab w:val="left" w:pos="1622"/>
        </w:tabs>
        <w:kinsoku w:val="0"/>
        <w:overflowPunct w:val="0"/>
        <w:spacing w:before="161" w:line="362" w:lineRule="auto"/>
        <w:ind w:right="571"/>
        <w:jc w:val="both"/>
        <w:rPr>
          <w:rFonts w:hAnsi="宋体"/>
          <w:color w:val="auto"/>
        </w:rPr>
      </w:pPr>
      <w:r>
        <w:rPr>
          <w:rFonts w:hint="eastAsia" w:hAnsi="宋体"/>
          <w:color w:val="auto"/>
        </w:rPr>
        <w:t>若《供应商须知资料表》中规定了组织现场考察、召开磋商前答疑会，则供应商应按要求在规定的时间和地点参加。</w:t>
      </w:r>
    </w:p>
    <w:p w14:paraId="6948B2CD">
      <w:pPr>
        <w:pStyle w:val="69"/>
        <w:numPr>
          <w:ilvl w:val="1"/>
          <w:numId w:val="10"/>
        </w:numPr>
        <w:tabs>
          <w:tab w:val="left" w:pos="1622"/>
        </w:tabs>
        <w:kinsoku w:val="0"/>
        <w:overflowPunct w:val="0"/>
        <w:spacing w:before="5" w:line="364" w:lineRule="auto"/>
        <w:ind w:right="571"/>
        <w:jc w:val="both"/>
        <w:rPr>
          <w:rFonts w:hAnsi="宋体"/>
          <w:color w:val="auto"/>
        </w:rPr>
      </w:pPr>
      <w:r>
        <w:rPr>
          <w:rFonts w:hint="eastAsia" w:hAnsi="宋体"/>
          <w:color w:val="auto"/>
        </w:rPr>
        <w:t>由于未参加现场考察或磋商前答疑会而导致对项目实际情况不了解，影响响应文件编制、报价准确性、综合因素响应不全面等问题的，由供应商自行承担不利评审后果。</w:t>
      </w:r>
    </w:p>
    <w:p w14:paraId="7C5FD729">
      <w:pPr>
        <w:pStyle w:val="69"/>
        <w:numPr>
          <w:ilvl w:val="0"/>
          <w:numId w:val="10"/>
        </w:numPr>
        <w:tabs>
          <w:tab w:val="left" w:pos="897"/>
        </w:tabs>
        <w:kinsoku w:val="0"/>
        <w:overflowPunct w:val="0"/>
        <w:spacing w:line="304" w:lineRule="exact"/>
        <w:ind w:left="796" w:leftChars="0" w:firstLineChars="0"/>
        <w:jc w:val="both"/>
        <w:rPr>
          <w:rFonts w:hAnsi="宋体"/>
          <w:color w:val="auto"/>
        </w:rPr>
      </w:pPr>
      <w:r>
        <w:rPr>
          <w:rFonts w:hint="eastAsia" w:hAnsi="宋体"/>
          <w:color w:val="auto"/>
        </w:rPr>
        <w:t>政府采购政策（包括但不限于下列具体政策要求）</w:t>
      </w:r>
    </w:p>
    <w:p w14:paraId="13C6D73E">
      <w:pPr>
        <w:pStyle w:val="69"/>
        <w:numPr>
          <w:ilvl w:val="1"/>
          <w:numId w:val="10"/>
        </w:numPr>
        <w:tabs>
          <w:tab w:val="left" w:pos="1622"/>
        </w:tabs>
        <w:kinsoku w:val="0"/>
        <w:overflowPunct w:val="0"/>
        <w:spacing w:before="160"/>
        <w:ind w:hanging="721"/>
        <w:rPr>
          <w:rFonts w:hAnsi="宋体"/>
          <w:color w:val="auto"/>
        </w:rPr>
      </w:pPr>
      <w:bookmarkStart w:id="23" w:name="_Hlk149134748"/>
      <w:r>
        <w:rPr>
          <w:rFonts w:hint="eastAsia" w:hAnsi="宋体"/>
          <w:color w:val="auto"/>
        </w:rPr>
        <w:t>采购本国货物、工程和服务</w:t>
      </w:r>
    </w:p>
    <w:p w14:paraId="0A1FC8D5">
      <w:pPr>
        <w:pStyle w:val="69"/>
        <w:numPr>
          <w:ilvl w:val="2"/>
          <w:numId w:val="10"/>
        </w:numPr>
        <w:tabs>
          <w:tab w:val="left" w:pos="2522"/>
        </w:tabs>
        <w:kinsoku w:val="0"/>
        <w:overflowPunct w:val="0"/>
        <w:spacing w:before="161" w:line="362" w:lineRule="auto"/>
        <w:ind w:right="564"/>
        <w:rPr>
          <w:rFonts w:hAnsi="宋体"/>
          <w:color w:val="auto"/>
        </w:rPr>
      </w:pPr>
      <w:r>
        <w:rPr>
          <w:rFonts w:hint="eastAsia" w:hAnsi="宋体"/>
          <w:color w:val="auto"/>
          <w:spacing w:val="-8"/>
        </w:rPr>
        <w:t>政府采购应当采购本国货物、工程和服务。但有《中华人民共和国政</w:t>
      </w:r>
      <w:r>
        <w:rPr>
          <w:rFonts w:hint="eastAsia" w:hAnsi="宋体"/>
          <w:color w:val="auto"/>
        </w:rPr>
        <w:t>府采购法》第十条规定情形的除外。</w:t>
      </w:r>
    </w:p>
    <w:p w14:paraId="2BD69CC9">
      <w:pPr>
        <w:pStyle w:val="69"/>
        <w:numPr>
          <w:ilvl w:val="2"/>
          <w:numId w:val="10"/>
        </w:numPr>
        <w:tabs>
          <w:tab w:val="left" w:pos="2522"/>
        </w:tabs>
        <w:kinsoku w:val="0"/>
        <w:overflowPunct w:val="0"/>
        <w:spacing w:before="2" w:line="364" w:lineRule="auto"/>
        <w:ind w:right="570"/>
        <w:rPr>
          <w:rFonts w:hAnsi="宋体"/>
          <w:color w:val="auto"/>
          <w:spacing w:val="-16"/>
        </w:rPr>
      </w:pPr>
      <w:r>
        <w:rPr>
          <w:rFonts w:hint="eastAsia" w:hAnsi="宋体"/>
          <w:color w:val="auto"/>
          <w:spacing w:val="-10"/>
        </w:rPr>
        <w:t>本项目如接受非本国货物、工程、服务参与投标，则具体要求见第四</w:t>
      </w:r>
      <w:r>
        <w:rPr>
          <w:rFonts w:hint="eastAsia" w:hAnsi="宋体"/>
          <w:color w:val="auto"/>
          <w:spacing w:val="-16"/>
        </w:rPr>
        <w:t>章《采购需求》。</w:t>
      </w:r>
    </w:p>
    <w:p w14:paraId="0E5307EF">
      <w:pPr>
        <w:pStyle w:val="69"/>
        <w:numPr>
          <w:ilvl w:val="2"/>
          <w:numId w:val="10"/>
        </w:numPr>
        <w:tabs>
          <w:tab w:val="left" w:pos="2522"/>
        </w:tabs>
        <w:kinsoku w:val="0"/>
        <w:overflowPunct w:val="0"/>
        <w:spacing w:line="364" w:lineRule="auto"/>
        <w:ind w:right="570"/>
        <w:rPr>
          <w:rFonts w:hAnsi="宋体"/>
          <w:color w:val="auto"/>
          <w:spacing w:val="-12"/>
        </w:rPr>
      </w:pPr>
      <w:r>
        <w:rPr>
          <w:rFonts w:hint="eastAsia" w:hAnsi="宋体"/>
          <w:color w:val="auto"/>
          <w:spacing w:val="2"/>
        </w:rPr>
        <w:t>进口产品指通过中国海关报关验放进入中国境内且产自关境外的产</w:t>
      </w:r>
      <w:r>
        <w:rPr>
          <w:rFonts w:hint="eastAsia" w:hAnsi="宋体"/>
          <w:color w:val="auto"/>
          <w:spacing w:val="-12"/>
        </w:rPr>
        <w:t>品，包括已经进入中国境内的进口产品。关于进口产品的相关规定依</w:t>
      </w:r>
    </w:p>
    <w:p w14:paraId="0E56A49C">
      <w:pPr>
        <w:pStyle w:val="69"/>
        <w:numPr>
          <w:ilvl w:val="2"/>
          <w:numId w:val="10"/>
        </w:numPr>
        <w:tabs>
          <w:tab w:val="left" w:pos="2522"/>
        </w:tabs>
        <w:kinsoku w:val="0"/>
        <w:overflowPunct w:val="0"/>
        <w:spacing w:line="364" w:lineRule="auto"/>
        <w:ind w:right="570"/>
        <w:rPr>
          <w:rFonts w:hAnsi="宋体"/>
          <w:color w:val="auto"/>
          <w:spacing w:val="-12"/>
        </w:rPr>
        <w:sectPr>
          <w:pgSz w:w="11910" w:h="16840"/>
          <w:pgMar w:top="1340" w:right="560" w:bottom="1080" w:left="1160" w:header="879" w:footer="879" w:gutter="0"/>
          <w:pgNumType w:fmt="decimal"/>
          <w:cols w:space="720" w:num="1"/>
        </w:sectPr>
      </w:pPr>
    </w:p>
    <w:p w14:paraId="6372F5C1">
      <w:pPr>
        <w:pStyle w:val="17"/>
        <w:kinsoku w:val="0"/>
        <w:overflowPunct w:val="0"/>
        <w:spacing w:before="72" w:line="364" w:lineRule="auto"/>
        <w:ind w:left="2521" w:right="567"/>
        <w:jc w:val="both"/>
        <w:rPr>
          <w:rFonts w:hAnsi="宋体"/>
          <w:color w:val="auto"/>
        </w:rPr>
      </w:pPr>
      <w:r>
        <w:rPr>
          <w:rFonts w:hint="eastAsia" w:hAnsi="宋体"/>
          <w:color w:val="auto"/>
          <w:spacing w:val="-8"/>
        </w:rPr>
        <w:t>据《政府采购进口产品管理办法》</w:t>
      </w:r>
      <w:r>
        <w:rPr>
          <w:rFonts w:hint="eastAsia" w:hAnsi="宋体"/>
          <w:color w:val="auto"/>
        </w:rPr>
        <w:t>（</w:t>
      </w:r>
      <w:r>
        <w:rPr>
          <w:rFonts w:hint="eastAsia" w:hAnsi="宋体"/>
          <w:color w:val="auto"/>
          <w:spacing w:val="1"/>
        </w:rPr>
        <w:t>财库〔</w:t>
      </w:r>
      <w:r>
        <w:rPr>
          <w:rFonts w:hAnsi="宋体" w:cs="Arial"/>
          <w:color w:val="auto"/>
        </w:rPr>
        <w:t>2007</w:t>
      </w:r>
      <w:r>
        <w:rPr>
          <w:rFonts w:hint="eastAsia" w:hAnsi="宋体"/>
          <w:color w:val="auto"/>
          <w:spacing w:val="4"/>
        </w:rPr>
        <w:t>〕</w:t>
      </w:r>
      <w:r>
        <w:rPr>
          <w:rFonts w:hAnsi="宋体" w:cs="Arial"/>
          <w:color w:val="auto"/>
        </w:rPr>
        <w:t xml:space="preserve">119 </w:t>
      </w:r>
      <w:r>
        <w:rPr>
          <w:rFonts w:hint="eastAsia" w:hAnsi="宋体"/>
          <w:color w:val="auto"/>
          <w:spacing w:val="2"/>
        </w:rPr>
        <w:t>号文</w:t>
      </w:r>
      <w:r>
        <w:rPr>
          <w:rFonts w:hint="eastAsia" w:hAnsi="宋体"/>
          <w:color w:val="auto"/>
          <w:spacing w:val="-118"/>
        </w:rPr>
        <w:t>）</w:t>
      </w:r>
      <w:r>
        <w:rPr>
          <w:rFonts w:hint="eastAsia" w:hAnsi="宋体"/>
          <w:color w:val="auto"/>
          <w:spacing w:val="-40"/>
        </w:rPr>
        <w:t>、《关</w:t>
      </w:r>
      <w:r>
        <w:rPr>
          <w:rFonts w:hint="eastAsia" w:hAnsi="宋体"/>
          <w:color w:val="auto"/>
          <w:spacing w:val="-3"/>
        </w:rPr>
        <w:t>于政府采购进口产品管理有关问题的通知》</w:t>
      </w:r>
      <w:r>
        <w:rPr>
          <w:rFonts w:hint="eastAsia" w:hAnsi="宋体"/>
          <w:color w:val="auto"/>
          <w:spacing w:val="4"/>
        </w:rPr>
        <w:t>（</w:t>
      </w:r>
      <w:r>
        <w:rPr>
          <w:rFonts w:hint="eastAsia" w:hAnsi="宋体"/>
          <w:color w:val="auto"/>
          <w:spacing w:val="3"/>
        </w:rPr>
        <w:t>财办库〔</w:t>
      </w:r>
      <w:r>
        <w:rPr>
          <w:rFonts w:hAnsi="宋体" w:cs="Arial"/>
          <w:color w:val="auto"/>
        </w:rPr>
        <w:t>2008</w:t>
      </w:r>
      <w:r>
        <w:rPr>
          <w:rFonts w:hint="eastAsia" w:hAnsi="宋体"/>
          <w:color w:val="auto"/>
          <w:spacing w:val="7"/>
        </w:rPr>
        <w:t>〕</w:t>
      </w:r>
      <w:r>
        <w:rPr>
          <w:rFonts w:hAnsi="宋体" w:cs="Arial"/>
          <w:color w:val="auto"/>
        </w:rPr>
        <w:t xml:space="preserve">248 </w:t>
      </w:r>
      <w:r>
        <w:rPr>
          <w:rFonts w:hint="eastAsia" w:hAnsi="宋体"/>
          <w:color w:val="auto"/>
        </w:rPr>
        <w:t>号文</w:t>
      </w:r>
      <w:r>
        <w:rPr>
          <w:rFonts w:hint="eastAsia" w:hAnsi="宋体"/>
          <w:color w:val="auto"/>
          <w:spacing w:val="-120"/>
        </w:rPr>
        <w:t>）</w:t>
      </w:r>
      <w:r>
        <w:rPr>
          <w:rFonts w:hint="eastAsia" w:hAnsi="宋体"/>
          <w:color w:val="auto"/>
        </w:rPr>
        <w:t>。</w:t>
      </w:r>
    </w:p>
    <w:bookmarkEnd w:id="23"/>
    <w:p w14:paraId="30902D42">
      <w:pPr>
        <w:pStyle w:val="69"/>
        <w:numPr>
          <w:ilvl w:val="1"/>
          <w:numId w:val="10"/>
        </w:numPr>
        <w:tabs>
          <w:tab w:val="left" w:pos="1622"/>
        </w:tabs>
        <w:kinsoku w:val="0"/>
        <w:overflowPunct w:val="0"/>
        <w:spacing w:line="307" w:lineRule="exact"/>
        <w:ind w:hanging="721"/>
        <w:jc w:val="both"/>
        <w:rPr>
          <w:rFonts w:hAnsi="宋体"/>
          <w:color w:val="auto"/>
        </w:rPr>
      </w:pPr>
      <w:r>
        <w:rPr>
          <w:rFonts w:hint="eastAsia" w:hAnsi="宋体"/>
          <w:color w:val="auto"/>
        </w:rPr>
        <w:t>中小企业、监狱企业及残疾人福利性单位</w:t>
      </w:r>
    </w:p>
    <w:p w14:paraId="0411729F">
      <w:pPr>
        <w:pStyle w:val="69"/>
        <w:numPr>
          <w:ilvl w:val="2"/>
          <w:numId w:val="10"/>
        </w:numPr>
        <w:tabs>
          <w:tab w:val="left" w:pos="2522"/>
        </w:tabs>
        <w:kinsoku w:val="0"/>
        <w:overflowPunct w:val="0"/>
        <w:spacing w:before="159"/>
        <w:ind w:hanging="901"/>
        <w:jc w:val="both"/>
        <w:rPr>
          <w:rFonts w:hAnsi="宋体"/>
          <w:color w:val="auto"/>
        </w:rPr>
      </w:pPr>
      <w:r>
        <w:rPr>
          <w:rFonts w:hint="eastAsia" w:hAnsi="宋体"/>
          <w:color w:val="auto"/>
        </w:rPr>
        <w:t>中小企业定义：</w:t>
      </w:r>
    </w:p>
    <w:p w14:paraId="148EC310">
      <w:pPr>
        <w:pStyle w:val="69"/>
        <w:numPr>
          <w:ilvl w:val="3"/>
          <w:numId w:val="10"/>
        </w:numPr>
        <w:tabs>
          <w:tab w:val="left" w:pos="3427"/>
        </w:tabs>
        <w:kinsoku w:val="0"/>
        <w:overflowPunct w:val="0"/>
        <w:spacing w:before="161" w:line="362" w:lineRule="auto"/>
        <w:ind w:right="570"/>
        <w:rPr>
          <w:rFonts w:hint="eastAsia" w:hAnsi="宋体"/>
          <w:color w:val="auto"/>
        </w:rPr>
      </w:pPr>
      <w:r>
        <w:rPr>
          <w:rFonts w:hint="eastAsia" w:hAnsi="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r>
        <w:rPr>
          <w:rFonts w:hint="eastAsia" w:hAnsi="宋体"/>
          <w:color w:val="auto"/>
          <w:lang w:val="en-US" w:eastAsia="zh-CN"/>
        </w:rPr>
        <w:t>《金融业企业划型标准规定》 （〔2015〕309 号）等国务院批准的中小企业划分标准执行。</w:t>
      </w:r>
    </w:p>
    <w:p w14:paraId="46FEEE53">
      <w:pPr>
        <w:pStyle w:val="69"/>
        <w:numPr>
          <w:ilvl w:val="3"/>
          <w:numId w:val="10"/>
        </w:numPr>
        <w:tabs>
          <w:tab w:val="left" w:pos="3427"/>
        </w:tabs>
        <w:kinsoku w:val="0"/>
        <w:overflowPunct w:val="0"/>
        <w:spacing w:before="161" w:line="362" w:lineRule="auto"/>
        <w:ind w:right="570"/>
        <w:rPr>
          <w:rFonts w:hAnsi="宋体"/>
          <w:color w:val="auto"/>
        </w:rPr>
      </w:pPr>
      <w:r>
        <w:rPr>
          <w:rFonts w:hint="eastAsia" w:hAnsi="宋体"/>
          <w:color w:val="auto"/>
          <w:spacing w:val="-6"/>
        </w:rPr>
        <w:t>供应商提供的货物、工程或者服务符合下列情形的，享受中</w:t>
      </w:r>
      <w:r>
        <w:rPr>
          <w:rFonts w:hint="eastAsia" w:hAnsi="宋体"/>
          <w:color w:val="auto"/>
        </w:rPr>
        <w:t>小企业扶持政策：</w:t>
      </w:r>
    </w:p>
    <w:p w14:paraId="421FC305">
      <w:pPr>
        <w:pStyle w:val="69"/>
        <w:numPr>
          <w:ilvl w:val="4"/>
          <w:numId w:val="10"/>
        </w:numPr>
        <w:tabs>
          <w:tab w:val="left" w:pos="4017"/>
        </w:tabs>
        <w:kinsoku w:val="0"/>
        <w:overflowPunct w:val="0"/>
        <w:spacing w:before="5" w:line="362" w:lineRule="auto"/>
        <w:ind w:right="571" w:firstLine="0"/>
        <w:rPr>
          <w:rFonts w:hAnsi="宋体"/>
          <w:color w:val="auto"/>
        </w:rPr>
      </w:pPr>
      <w:r>
        <w:rPr>
          <w:rFonts w:hint="eastAsia" w:hAnsi="宋体"/>
          <w:color w:val="auto"/>
        </w:rPr>
        <w:t>在货物采购项目中，货物由中小企业制造，即货物由中小企业生产且使用该中小企业商号或者注册商标；</w:t>
      </w:r>
    </w:p>
    <w:p w14:paraId="32BBA16D">
      <w:pPr>
        <w:pStyle w:val="69"/>
        <w:numPr>
          <w:ilvl w:val="4"/>
          <w:numId w:val="10"/>
        </w:numPr>
        <w:tabs>
          <w:tab w:val="left" w:pos="4017"/>
        </w:tabs>
        <w:kinsoku w:val="0"/>
        <w:overflowPunct w:val="0"/>
        <w:spacing w:before="5" w:line="364" w:lineRule="auto"/>
        <w:ind w:right="571" w:firstLine="0"/>
        <w:rPr>
          <w:rFonts w:hAnsi="宋体"/>
          <w:color w:val="auto"/>
        </w:rPr>
      </w:pPr>
      <w:r>
        <w:rPr>
          <w:rFonts w:hint="eastAsia" w:hAnsi="宋体"/>
          <w:color w:val="auto"/>
        </w:rPr>
        <w:t>在工程采购项目中，工程由中小企业承建，即工程施工单位为中小企业；</w:t>
      </w:r>
    </w:p>
    <w:p w14:paraId="6D6D8E24">
      <w:pPr>
        <w:pStyle w:val="69"/>
        <w:numPr>
          <w:ilvl w:val="4"/>
          <w:numId w:val="10"/>
        </w:numPr>
        <w:tabs>
          <w:tab w:val="left" w:pos="4017"/>
        </w:tabs>
        <w:kinsoku w:val="0"/>
        <w:overflowPunct w:val="0"/>
        <w:spacing w:line="364" w:lineRule="auto"/>
        <w:ind w:right="570" w:firstLine="0"/>
        <w:jc w:val="both"/>
        <w:rPr>
          <w:rFonts w:hAnsi="宋体"/>
          <w:color w:val="auto"/>
        </w:rPr>
      </w:pPr>
      <w:r>
        <w:rPr>
          <w:rFonts w:hint="eastAsia" w:hAnsi="宋体"/>
          <w:color w:val="auto"/>
        </w:rPr>
        <w:t>在服务采购项目中，服务由中小企业承接，即提供服</w:t>
      </w:r>
      <w:r>
        <w:rPr>
          <w:rFonts w:hint="eastAsia" w:hAnsi="宋体"/>
          <w:color w:val="auto"/>
          <w:spacing w:val="-3"/>
        </w:rPr>
        <w:t>务的人员为中小企业依照《中华人民共和国劳动合同法》订</w:t>
      </w:r>
      <w:r>
        <w:rPr>
          <w:rFonts w:hint="eastAsia" w:hAnsi="宋体"/>
          <w:color w:val="auto"/>
        </w:rPr>
        <w:t>立劳动合同的从业人员。</w:t>
      </w:r>
    </w:p>
    <w:p w14:paraId="775EE344">
      <w:pPr>
        <w:pStyle w:val="69"/>
        <w:numPr>
          <w:ilvl w:val="3"/>
          <w:numId w:val="10"/>
        </w:numPr>
        <w:tabs>
          <w:tab w:val="left" w:pos="3427"/>
        </w:tabs>
        <w:kinsoku w:val="0"/>
        <w:overflowPunct w:val="0"/>
        <w:spacing w:line="362" w:lineRule="auto"/>
        <w:ind w:right="518"/>
        <w:jc w:val="both"/>
        <w:rPr>
          <w:rFonts w:hAnsi="宋体"/>
          <w:color w:val="auto"/>
          <w:spacing w:val="-7"/>
        </w:rPr>
      </w:pPr>
      <w:r>
        <w:rPr>
          <w:rFonts w:hint="eastAsia" w:hAnsi="宋体"/>
          <w:color w:val="auto"/>
          <w:spacing w:val="-6"/>
        </w:rPr>
        <w:t>在货物采购项目中，供应商提供的货物既有中小企业制造货</w:t>
      </w:r>
      <w:r>
        <w:rPr>
          <w:rFonts w:hint="eastAsia" w:hAnsi="宋体"/>
          <w:color w:val="auto"/>
          <w:spacing w:val="-7"/>
        </w:rPr>
        <w:t>物，也有大型企业制造货物的，不享受中小企业扶持政策。</w:t>
      </w:r>
    </w:p>
    <w:p w14:paraId="7A3C7E60">
      <w:pPr>
        <w:pStyle w:val="69"/>
        <w:numPr>
          <w:ilvl w:val="3"/>
          <w:numId w:val="10"/>
        </w:numPr>
        <w:tabs>
          <w:tab w:val="left" w:pos="3427"/>
        </w:tabs>
        <w:kinsoku w:val="0"/>
        <w:overflowPunct w:val="0"/>
        <w:spacing w:before="3" w:line="364" w:lineRule="auto"/>
        <w:ind w:right="570"/>
        <w:jc w:val="both"/>
        <w:rPr>
          <w:rFonts w:hAnsi="宋体"/>
          <w:color w:val="auto"/>
        </w:rPr>
      </w:pPr>
      <w:r>
        <w:rPr>
          <w:rFonts w:hint="eastAsia" w:hAnsi="宋体"/>
          <w:color w:val="auto"/>
          <w:spacing w:val="-5"/>
        </w:rPr>
        <w:t>以联合体形式参加政府采购活动，联合体各方均为中小企业</w:t>
      </w:r>
      <w:r>
        <w:rPr>
          <w:rFonts w:hint="eastAsia" w:hAnsi="宋体"/>
          <w:color w:val="auto"/>
          <w:spacing w:val="-8"/>
        </w:rPr>
        <w:t>的，联合体视同中小企业。其中，联合体各方均为小微企业</w:t>
      </w:r>
      <w:r>
        <w:rPr>
          <w:rFonts w:hint="eastAsia" w:hAnsi="宋体"/>
          <w:color w:val="auto"/>
        </w:rPr>
        <w:t>的，联合体视同小微企业。</w:t>
      </w:r>
    </w:p>
    <w:p w14:paraId="121DB3A5">
      <w:pPr>
        <w:pStyle w:val="69"/>
        <w:numPr>
          <w:ilvl w:val="2"/>
          <w:numId w:val="10"/>
        </w:numPr>
        <w:tabs>
          <w:tab w:val="left" w:pos="2522"/>
        </w:tabs>
        <w:kinsoku w:val="0"/>
        <w:overflowPunct w:val="0"/>
        <w:spacing w:line="304" w:lineRule="exact"/>
        <w:ind w:hanging="901"/>
        <w:jc w:val="both"/>
        <w:rPr>
          <w:rFonts w:hAnsi="宋体"/>
          <w:color w:val="auto"/>
        </w:rPr>
      </w:pPr>
      <w:r>
        <w:rPr>
          <w:rFonts w:hint="eastAsia" w:hAnsi="宋体"/>
          <w:color w:val="auto"/>
        </w:rPr>
        <w:t>在政府采购活动中，监狱企业视同小型、微型企业，享受预留份额、</w:t>
      </w:r>
    </w:p>
    <w:p w14:paraId="71274CC8">
      <w:pPr>
        <w:pStyle w:val="17"/>
        <w:kinsoku w:val="0"/>
        <w:overflowPunct w:val="0"/>
        <w:spacing w:before="72" w:line="364" w:lineRule="auto"/>
        <w:ind w:left="2521" w:right="570"/>
        <w:jc w:val="both"/>
        <w:rPr>
          <w:rFonts w:hAnsi="宋体"/>
          <w:color w:val="auto"/>
        </w:rPr>
      </w:pPr>
      <w:r>
        <w:rPr>
          <w:rFonts w:hint="eastAsia" w:hAnsi="宋体"/>
          <w:color w:val="auto"/>
          <w:spacing w:val="-5"/>
        </w:rPr>
        <w:t>评审中价格扣除等政府采购促进中小企业发展的政府采购政策。监狱</w:t>
      </w:r>
      <w:r>
        <w:rPr>
          <w:rFonts w:hint="eastAsia" w:hAnsi="宋体"/>
          <w:color w:val="auto"/>
          <w:spacing w:val="-12"/>
        </w:rPr>
        <w:t>企业定义：是指由司法部认定的为罪犯、戒毒人员提供生产项目和劳</w:t>
      </w:r>
      <w:r>
        <w:rPr>
          <w:rFonts w:hint="eastAsia" w:hAnsi="宋体"/>
          <w:color w:val="auto"/>
          <w:spacing w:val="-11"/>
        </w:rPr>
        <w:t>动对象，且全部产权属于司法部监狱管理局、戒毒管理局、直属煤矿管理局，各省、自治区、直辖市监狱管理局、戒毒管理局，各地</w:t>
      </w:r>
      <w:r>
        <w:rPr>
          <w:rFonts w:hint="eastAsia" w:hAnsi="宋体"/>
          <w:color w:val="auto"/>
        </w:rPr>
        <w:t>（</w:t>
      </w:r>
      <w:r>
        <w:rPr>
          <w:rFonts w:hint="eastAsia" w:hAnsi="宋体"/>
          <w:color w:val="auto"/>
          <w:spacing w:val="-15"/>
        </w:rPr>
        <w:t>设</w:t>
      </w:r>
      <w:r>
        <w:rPr>
          <w:rFonts w:hint="eastAsia" w:hAnsi="宋体"/>
          <w:color w:val="auto"/>
        </w:rPr>
        <w:t>区的市</w:t>
      </w:r>
      <w:r>
        <w:rPr>
          <w:rFonts w:hint="eastAsia" w:hAnsi="宋体"/>
          <w:color w:val="auto"/>
          <w:spacing w:val="-29"/>
        </w:rPr>
        <w:t>）</w:t>
      </w:r>
      <w:r>
        <w:rPr>
          <w:rFonts w:hint="eastAsia" w:hAnsi="宋体"/>
          <w:color w:val="auto"/>
          <w:spacing w:val="-10"/>
        </w:rPr>
        <w:t>监狱、强制隔离戒毒所、戒毒康复所，以及新疆生产建设兵</w:t>
      </w:r>
      <w:r>
        <w:rPr>
          <w:rFonts w:hint="eastAsia" w:hAnsi="宋体"/>
          <w:color w:val="auto"/>
        </w:rPr>
        <w:t>团监狱管理局、戒毒管理局的企业。</w:t>
      </w:r>
    </w:p>
    <w:p w14:paraId="18F2A88A">
      <w:pPr>
        <w:pStyle w:val="69"/>
        <w:numPr>
          <w:ilvl w:val="2"/>
          <w:numId w:val="10"/>
        </w:numPr>
        <w:tabs>
          <w:tab w:val="left" w:pos="2522"/>
        </w:tabs>
        <w:kinsoku w:val="0"/>
        <w:overflowPunct w:val="0"/>
        <w:spacing w:line="364" w:lineRule="auto"/>
        <w:ind w:right="570"/>
        <w:jc w:val="both"/>
        <w:rPr>
          <w:rFonts w:hAnsi="宋体"/>
          <w:color w:val="auto"/>
        </w:rPr>
      </w:pPr>
      <w:r>
        <w:rPr>
          <w:rFonts w:hint="eastAsia" w:hAnsi="宋体"/>
          <w:color w:val="auto"/>
          <w:spacing w:val="-9"/>
        </w:rPr>
        <w:t>在政府采购活动中，残疾人福利性单位视同小型、微型企业，享受预</w:t>
      </w:r>
      <w:r>
        <w:rPr>
          <w:rFonts w:hint="eastAsia" w:hAnsi="宋体"/>
          <w:color w:val="auto"/>
          <w:spacing w:val="-11"/>
        </w:rPr>
        <w:t>留份额、评审中价格扣除等促进中小企业发展的政府采购政策。残疾</w:t>
      </w:r>
      <w:r>
        <w:rPr>
          <w:rFonts w:hint="eastAsia" w:hAnsi="宋体"/>
          <w:color w:val="auto"/>
          <w:spacing w:val="-12"/>
        </w:rPr>
        <w:t>人福利性单位定义：享受政府采购支持政策的残疾人福利性单位应当</w:t>
      </w:r>
      <w:r>
        <w:rPr>
          <w:rFonts w:hint="eastAsia" w:hAnsi="宋体"/>
          <w:color w:val="auto"/>
        </w:rPr>
        <w:t>同时满足以下条件：</w:t>
      </w:r>
    </w:p>
    <w:p w14:paraId="3D686194">
      <w:pPr>
        <w:pStyle w:val="69"/>
        <w:numPr>
          <w:ilvl w:val="3"/>
          <w:numId w:val="10"/>
        </w:numPr>
        <w:tabs>
          <w:tab w:val="left" w:pos="3427"/>
        </w:tabs>
        <w:kinsoku w:val="0"/>
        <w:overflowPunct w:val="0"/>
        <w:spacing w:line="305" w:lineRule="exact"/>
        <w:ind w:hanging="901"/>
        <w:jc w:val="both"/>
        <w:rPr>
          <w:rFonts w:hAnsi="宋体" w:cs="Arial"/>
          <w:color w:val="auto"/>
        </w:rPr>
      </w:pPr>
      <w:r>
        <w:rPr>
          <w:rFonts w:hint="eastAsia" w:hAnsi="宋体"/>
          <w:color w:val="auto"/>
          <w:spacing w:val="9"/>
        </w:rPr>
        <w:t>安置的残疾人占本单位在职职工人数的比例不低于</w:t>
      </w:r>
      <w:r>
        <w:rPr>
          <w:rFonts w:hAnsi="宋体"/>
          <w:color w:val="auto"/>
          <w:spacing w:val="9"/>
        </w:rPr>
        <w:t xml:space="preserve"> </w:t>
      </w:r>
      <w:r>
        <w:rPr>
          <w:rFonts w:hAnsi="宋体" w:cs="Arial"/>
          <w:color w:val="auto"/>
        </w:rPr>
        <w:t>25%</w:t>
      </w:r>
    </w:p>
    <w:p w14:paraId="2766872B">
      <w:pPr>
        <w:pStyle w:val="17"/>
        <w:kinsoku w:val="0"/>
        <w:overflowPunct w:val="0"/>
        <w:spacing w:before="155"/>
        <w:ind w:left="3426"/>
        <w:rPr>
          <w:rFonts w:hAnsi="宋体" w:cs="Arial"/>
          <w:color w:val="auto"/>
          <w:w w:val="114"/>
        </w:rPr>
      </w:pPr>
      <w:r>
        <w:rPr>
          <w:rFonts w:hint="eastAsia" w:hAnsi="宋体"/>
          <w:color w:val="auto"/>
          <w:spacing w:val="2"/>
        </w:rPr>
        <w:t>（</w:t>
      </w:r>
      <w:r>
        <w:rPr>
          <w:rFonts w:hint="eastAsia" w:hAnsi="宋体"/>
          <w:color w:val="auto"/>
          <w:spacing w:val="-29"/>
        </w:rPr>
        <w:t>含</w:t>
      </w:r>
      <w:r>
        <w:rPr>
          <w:rFonts w:hAnsi="宋体"/>
          <w:color w:val="auto"/>
          <w:spacing w:val="-29"/>
        </w:rPr>
        <w:t xml:space="preserve"> </w:t>
      </w:r>
      <w:r>
        <w:rPr>
          <w:rFonts w:hAnsi="宋体" w:cs="Arial"/>
          <w:color w:val="auto"/>
          <w:spacing w:val="-2"/>
          <w:w w:val="114"/>
        </w:rPr>
        <w:t>2</w:t>
      </w:r>
      <w:r>
        <w:rPr>
          <w:rFonts w:hAnsi="宋体" w:cs="Arial"/>
          <w:color w:val="auto"/>
          <w:w w:val="114"/>
        </w:rPr>
        <w:t>5</w:t>
      </w:r>
      <w:r>
        <w:rPr>
          <w:rFonts w:hAnsi="宋体" w:cs="Arial"/>
          <w:color w:val="auto"/>
          <w:spacing w:val="4"/>
          <w:w w:val="106"/>
        </w:rPr>
        <w:t>%</w:t>
      </w:r>
      <w:r>
        <w:rPr>
          <w:rFonts w:hint="eastAsia" w:hAnsi="宋体"/>
          <w:color w:val="auto"/>
          <w:spacing w:val="-118"/>
        </w:rPr>
        <w:t>）</w:t>
      </w:r>
      <w:r>
        <w:rPr>
          <w:rFonts w:hint="eastAsia" w:hAnsi="宋体"/>
          <w:color w:val="auto"/>
          <w:spacing w:val="-3"/>
        </w:rPr>
        <w:t>，并且安置的残疾人人数不少于</w:t>
      </w:r>
      <w:r>
        <w:rPr>
          <w:rFonts w:hAnsi="宋体"/>
          <w:color w:val="auto"/>
          <w:spacing w:val="-3"/>
        </w:rPr>
        <w:t xml:space="preserve"> </w:t>
      </w:r>
      <w:r>
        <w:rPr>
          <w:rFonts w:hAnsi="宋体" w:cs="Arial"/>
          <w:color w:val="auto"/>
          <w:spacing w:val="-2"/>
          <w:w w:val="114"/>
        </w:rPr>
        <w:t>1</w:t>
      </w:r>
      <w:r>
        <w:rPr>
          <w:rFonts w:hAnsi="宋体" w:cs="Arial"/>
          <w:color w:val="auto"/>
          <w:w w:val="114"/>
        </w:rPr>
        <w:t>0</w:t>
      </w:r>
      <w:r>
        <w:rPr>
          <w:rFonts w:hAnsi="宋体" w:cs="Arial"/>
          <w:color w:val="auto"/>
          <w:spacing w:val="-6"/>
        </w:rPr>
        <w:t xml:space="preserve">  </w:t>
      </w:r>
      <w:r>
        <w:rPr>
          <w:rFonts w:hint="eastAsia" w:hAnsi="宋体"/>
          <w:color w:val="auto"/>
          <w:spacing w:val="2"/>
        </w:rPr>
        <w:t>人</w:t>
      </w:r>
      <w:r>
        <w:rPr>
          <w:rFonts w:hint="eastAsia" w:hAnsi="宋体"/>
          <w:color w:val="auto"/>
          <w:spacing w:val="4"/>
        </w:rPr>
        <w:t>（</w:t>
      </w:r>
      <w:r>
        <w:rPr>
          <w:rFonts w:hint="eastAsia" w:hAnsi="宋体"/>
          <w:color w:val="auto"/>
          <w:spacing w:val="-29"/>
        </w:rPr>
        <w:t>含</w:t>
      </w:r>
      <w:r>
        <w:rPr>
          <w:rFonts w:hAnsi="宋体"/>
          <w:color w:val="auto"/>
          <w:spacing w:val="-29"/>
        </w:rPr>
        <w:t xml:space="preserve"> </w:t>
      </w:r>
      <w:r>
        <w:rPr>
          <w:rFonts w:hAnsi="宋体" w:cs="Arial"/>
          <w:color w:val="auto"/>
          <w:spacing w:val="-2"/>
          <w:w w:val="114"/>
        </w:rPr>
        <w:t>1</w:t>
      </w:r>
      <w:r>
        <w:rPr>
          <w:rFonts w:hAnsi="宋体" w:cs="Arial"/>
          <w:color w:val="auto"/>
          <w:w w:val="114"/>
        </w:rPr>
        <w:t>0</w:t>
      </w:r>
    </w:p>
    <w:p w14:paraId="230A7469">
      <w:pPr>
        <w:pStyle w:val="17"/>
        <w:kinsoku w:val="0"/>
        <w:overflowPunct w:val="0"/>
        <w:spacing w:before="160"/>
        <w:ind w:left="3426"/>
        <w:rPr>
          <w:rFonts w:hAnsi="宋体"/>
          <w:color w:val="auto"/>
        </w:rPr>
      </w:pPr>
      <w:r>
        <w:rPr>
          <w:rFonts w:hint="eastAsia" w:hAnsi="宋体"/>
          <w:color w:val="auto"/>
        </w:rPr>
        <w:t>人</w:t>
      </w:r>
      <w:r>
        <w:rPr>
          <w:rFonts w:hint="eastAsia" w:hAnsi="宋体"/>
          <w:color w:val="auto"/>
          <w:spacing w:val="-120"/>
        </w:rPr>
        <w:t>）</w:t>
      </w:r>
      <w:r>
        <w:rPr>
          <w:rFonts w:hint="eastAsia" w:hAnsi="宋体"/>
          <w:color w:val="auto"/>
        </w:rPr>
        <w:t>；</w:t>
      </w:r>
    </w:p>
    <w:p w14:paraId="171B4E83">
      <w:pPr>
        <w:pStyle w:val="69"/>
        <w:numPr>
          <w:ilvl w:val="3"/>
          <w:numId w:val="10"/>
        </w:numPr>
        <w:tabs>
          <w:tab w:val="left" w:pos="3427"/>
        </w:tabs>
        <w:kinsoku w:val="0"/>
        <w:overflowPunct w:val="0"/>
        <w:spacing w:before="161" w:line="362" w:lineRule="auto"/>
        <w:ind w:right="571"/>
        <w:jc w:val="both"/>
        <w:rPr>
          <w:rFonts w:hAnsi="宋体"/>
          <w:color w:val="auto"/>
        </w:rPr>
      </w:pPr>
      <w:r>
        <w:rPr>
          <w:rFonts w:hint="eastAsia" w:hAnsi="宋体"/>
          <w:color w:val="auto"/>
          <w:spacing w:val="-2"/>
        </w:rPr>
        <w:t>依法与安置的每位残疾人签订了一年以上</w:t>
      </w:r>
      <w:r>
        <w:rPr>
          <w:rFonts w:hint="eastAsia" w:hAnsi="宋体"/>
          <w:color w:val="auto"/>
        </w:rPr>
        <w:t>（含一年</w:t>
      </w:r>
      <w:r>
        <w:rPr>
          <w:rFonts w:hint="eastAsia" w:hAnsi="宋体"/>
          <w:color w:val="auto"/>
          <w:spacing w:val="-27"/>
        </w:rPr>
        <w:t>）</w:t>
      </w:r>
      <w:r>
        <w:rPr>
          <w:rFonts w:hint="eastAsia" w:hAnsi="宋体"/>
          <w:color w:val="auto"/>
          <w:spacing w:val="-5"/>
        </w:rPr>
        <w:t>的劳动</w:t>
      </w:r>
      <w:r>
        <w:rPr>
          <w:rFonts w:hint="eastAsia" w:hAnsi="宋体"/>
          <w:color w:val="auto"/>
        </w:rPr>
        <w:t>合同或服务协议；</w:t>
      </w:r>
    </w:p>
    <w:p w14:paraId="395BD082">
      <w:pPr>
        <w:pStyle w:val="69"/>
        <w:numPr>
          <w:ilvl w:val="3"/>
          <w:numId w:val="10"/>
        </w:numPr>
        <w:tabs>
          <w:tab w:val="left" w:pos="3427"/>
        </w:tabs>
        <w:kinsoku w:val="0"/>
        <w:overflowPunct w:val="0"/>
        <w:spacing w:before="5" w:line="362" w:lineRule="auto"/>
        <w:ind w:right="570"/>
        <w:jc w:val="both"/>
        <w:rPr>
          <w:rFonts w:hAnsi="宋体"/>
          <w:color w:val="auto"/>
        </w:rPr>
      </w:pPr>
      <w:r>
        <w:rPr>
          <w:rFonts w:hint="eastAsia" w:hAnsi="宋体"/>
          <w:color w:val="auto"/>
          <w:spacing w:val="-4"/>
        </w:rPr>
        <w:t>为安置的每位残疾人按月足额缴纳了基本养老保险、基本医</w:t>
      </w:r>
      <w:r>
        <w:rPr>
          <w:rFonts w:hint="eastAsia" w:hAnsi="宋体"/>
          <w:color w:val="auto"/>
        </w:rPr>
        <w:t>疗保险、失业保险、工伤保险和生育保险等社会保险费；</w:t>
      </w:r>
    </w:p>
    <w:p w14:paraId="16A9B4DE">
      <w:pPr>
        <w:pStyle w:val="69"/>
        <w:numPr>
          <w:ilvl w:val="3"/>
          <w:numId w:val="10"/>
        </w:numPr>
        <w:tabs>
          <w:tab w:val="left" w:pos="3427"/>
        </w:tabs>
        <w:kinsoku w:val="0"/>
        <w:overflowPunct w:val="0"/>
        <w:spacing w:before="5" w:line="364" w:lineRule="auto"/>
        <w:ind w:right="570"/>
        <w:jc w:val="both"/>
        <w:rPr>
          <w:rFonts w:hAnsi="宋体"/>
          <w:color w:val="auto"/>
          <w:spacing w:val="6"/>
        </w:rPr>
      </w:pPr>
      <w:r>
        <w:rPr>
          <w:rFonts w:hint="eastAsia" w:hAnsi="宋体"/>
          <w:color w:val="auto"/>
          <w:spacing w:val="-4"/>
        </w:rPr>
        <w:t>通过银行等金融机构向安置的每位残疾人，按月支付了不低</w:t>
      </w:r>
      <w:r>
        <w:rPr>
          <w:rFonts w:hint="eastAsia" w:hAnsi="宋体"/>
          <w:color w:val="auto"/>
          <w:spacing w:val="6"/>
        </w:rPr>
        <w:t>于单位所在区县适用的经省级人民政府批准的月最低工资标准的工资；</w:t>
      </w:r>
    </w:p>
    <w:p w14:paraId="75B34353">
      <w:pPr>
        <w:pStyle w:val="69"/>
        <w:numPr>
          <w:ilvl w:val="3"/>
          <w:numId w:val="10"/>
        </w:numPr>
        <w:tabs>
          <w:tab w:val="left" w:pos="3427"/>
        </w:tabs>
        <w:kinsoku w:val="0"/>
        <w:overflowPunct w:val="0"/>
        <w:spacing w:line="364" w:lineRule="auto"/>
        <w:ind w:right="571"/>
        <w:jc w:val="both"/>
        <w:rPr>
          <w:rFonts w:hAnsi="宋体"/>
          <w:color w:val="auto"/>
        </w:rPr>
      </w:pPr>
      <w:r>
        <w:rPr>
          <w:rFonts w:hint="eastAsia" w:hAnsi="宋体"/>
          <w:color w:val="auto"/>
          <w:spacing w:val="-5"/>
        </w:rPr>
        <w:t>提供本单位制造的货物、承担的工程或者服务</w:t>
      </w:r>
      <w:r>
        <w:rPr>
          <w:rFonts w:hint="eastAsia" w:hAnsi="宋体"/>
          <w:color w:val="auto"/>
        </w:rPr>
        <w:t>（</w:t>
      </w:r>
      <w:r>
        <w:rPr>
          <w:rFonts w:hint="eastAsia" w:hAnsi="宋体"/>
          <w:color w:val="auto"/>
          <w:spacing w:val="-3"/>
        </w:rPr>
        <w:t>以下简称产</w:t>
      </w:r>
      <w:r>
        <w:rPr>
          <w:rFonts w:hint="eastAsia" w:hAnsi="宋体"/>
          <w:color w:val="auto"/>
          <w:spacing w:val="2"/>
        </w:rPr>
        <w:t>品</w:t>
      </w:r>
      <w:r>
        <w:rPr>
          <w:rFonts w:hint="eastAsia" w:hAnsi="宋体"/>
          <w:color w:val="auto"/>
          <w:spacing w:val="-118"/>
        </w:rPr>
        <w:t>）</w:t>
      </w:r>
      <w:r>
        <w:rPr>
          <w:rFonts w:hint="eastAsia" w:hAnsi="宋体"/>
          <w:color w:val="auto"/>
          <w:spacing w:val="2"/>
        </w:rPr>
        <w:t>，或者提供其他残疾人福利性单位制造的货物（不包括使用非残疾人福利性单位注册商标的货物</w:t>
      </w:r>
      <w:r>
        <w:rPr>
          <w:rFonts w:hint="eastAsia" w:hAnsi="宋体"/>
          <w:color w:val="auto"/>
          <w:spacing w:val="-120"/>
        </w:rPr>
        <w:t>）</w:t>
      </w:r>
      <w:r>
        <w:rPr>
          <w:rFonts w:hint="eastAsia" w:hAnsi="宋体"/>
          <w:color w:val="auto"/>
        </w:rPr>
        <w:t>；</w:t>
      </w:r>
    </w:p>
    <w:p w14:paraId="733D6303">
      <w:pPr>
        <w:pStyle w:val="69"/>
        <w:numPr>
          <w:ilvl w:val="3"/>
          <w:numId w:val="10"/>
        </w:numPr>
        <w:tabs>
          <w:tab w:val="left" w:pos="3427"/>
        </w:tabs>
        <w:kinsoku w:val="0"/>
        <w:overflowPunct w:val="0"/>
        <w:spacing w:line="364" w:lineRule="auto"/>
        <w:ind w:right="331"/>
        <w:rPr>
          <w:rFonts w:hAnsi="宋体"/>
          <w:color w:val="auto"/>
          <w:spacing w:val="6"/>
        </w:rPr>
      </w:pPr>
      <w:r>
        <w:rPr>
          <w:rFonts w:hint="eastAsia" w:hAnsi="宋体"/>
          <w:color w:val="auto"/>
          <w:spacing w:val="-4"/>
        </w:rPr>
        <w:t>前款所称残疾人是指法定劳动年龄内，持有《中华人民共和</w:t>
      </w:r>
      <w:r>
        <w:rPr>
          <w:rFonts w:hAnsi="宋体"/>
          <w:color w:val="auto"/>
          <w:spacing w:val="-4"/>
        </w:rPr>
        <w:t xml:space="preserve"> </w:t>
      </w:r>
      <w:r>
        <w:rPr>
          <w:rFonts w:hint="eastAsia" w:hAnsi="宋体"/>
          <w:color w:val="auto"/>
          <w:spacing w:val="-20"/>
        </w:rPr>
        <w:t>国残疾人证》或者《中华人民共和国残疾军人证</w:t>
      </w:r>
      <w:r>
        <w:rPr>
          <w:rFonts w:hint="eastAsia" w:hAnsi="宋体"/>
          <w:color w:val="auto"/>
        </w:rPr>
        <w:t>（</w:t>
      </w:r>
      <w:r>
        <w:rPr>
          <w:rFonts w:hAnsi="宋体" w:cs="Arial"/>
          <w:color w:val="auto"/>
        </w:rPr>
        <w:t xml:space="preserve">1 </w:t>
      </w:r>
      <w:r>
        <w:rPr>
          <w:rFonts w:hint="eastAsia" w:hAnsi="宋体"/>
          <w:color w:val="auto"/>
          <w:spacing w:val="-28"/>
        </w:rPr>
        <w:t>至</w:t>
      </w:r>
      <w:r>
        <w:rPr>
          <w:rFonts w:hAnsi="宋体"/>
          <w:color w:val="auto"/>
          <w:spacing w:val="-28"/>
        </w:rPr>
        <w:t xml:space="preserve"> </w:t>
      </w:r>
      <w:r>
        <w:rPr>
          <w:rFonts w:hAnsi="宋体" w:cs="Arial"/>
          <w:color w:val="auto"/>
        </w:rPr>
        <w:t xml:space="preserve">8 </w:t>
      </w:r>
      <w:r>
        <w:rPr>
          <w:rFonts w:hint="eastAsia" w:hAnsi="宋体"/>
          <w:color w:val="auto"/>
        </w:rPr>
        <w:t>级</w:t>
      </w:r>
      <w:r>
        <w:rPr>
          <w:rFonts w:hint="eastAsia" w:hAnsi="宋体"/>
          <w:color w:val="auto"/>
          <w:spacing w:val="-120"/>
        </w:rPr>
        <w:t>）</w:t>
      </w:r>
      <w:r>
        <w:rPr>
          <w:rFonts w:hint="eastAsia" w:hAnsi="宋体"/>
          <w:color w:val="auto"/>
          <w:spacing w:val="-13"/>
        </w:rPr>
        <w:t>》</w:t>
      </w:r>
      <w:r>
        <w:rPr>
          <w:rFonts w:hint="eastAsia" w:hAnsi="宋体"/>
          <w:color w:val="auto"/>
          <w:spacing w:val="-6"/>
        </w:rPr>
        <w:t>的自然人，包括具有劳动条件和劳动意愿的精神残疾人。在</w:t>
      </w:r>
      <w:r>
        <w:rPr>
          <w:rFonts w:hAnsi="宋体"/>
          <w:color w:val="auto"/>
          <w:spacing w:val="-6"/>
        </w:rPr>
        <w:t xml:space="preserve"> </w:t>
      </w:r>
      <w:r>
        <w:rPr>
          <w:rFonts w:hint="eastAsia" w:hAnsi="宋体"/>
          <w:color w:val="auto"/>
          <w:spacing w:val="6"/>
        </w:rPr>
        <w:t>职职工人数是指与残疾人福利性单位建立劳动关系并依法</w:t>
      </w:r>
      <w:r>
        <w:rPr>
          <w:rFonts w:hAnsi="宋体"/>
          <w:color w:val="auto"/>
          <w:spacing w:val="6"/>
        </w:rPr>
        <w:t xml:space="preserve"> </w:t>
      </w:r>
      <w:r>
        <w:rPr>
          <w:rFonts w:hint="eastAsia" w:hAnsi="宋体"/>
          <w:color w:val="auto"/>
          <w:spacing w:val="6"/>
        </w:rPr>
        <w:t>签订劳动合同或服务协议的雇员人数。</w:t>
      </w:r>
    </w:p>
    <w:p w14:paraId="2E7DA50A">
      <w:pPr>
        <w:pStyle w:val="69"/>
        <w:numPr>
          <w:ilvl w:val="2"/>
          <w:numId w:val="10"/>
        </w:numPr>
        <w:tabs>
          <w:tab w:val="left" w:pos="2522"/>
        </w:tabs>
        <w:kinsoku w:val="0"/>
        <w:overflowPunct w:val="0"/>
        <w:spacing w:line="303" w:lineRule="exact"/>
        <w:ind w:hanging="901"/>
        <w:rPr>
          <w:rFonts w:hAnsi="宋体"/>
          <w:color w:val="auto"/>
          <w:spacing w:val="-5"/>
        </w:rPr>
      </w:pPr>
      <w:r>
        <w:rPr>
          <w:rFonts w:hint="eastAsia" w:hAnsi="宋体"/>
          <w:color w:val="auto"/>
          <w:spacing w:val="-5"/>
        </w:rPr>
        <w:t>本项目是否专门面向中小企业预留采购份额见第一章《采购邀请》。</w:t>
      </w:r>
    </w:p>
    <w:p w14:paraId="7AE9F805">
      <w:pPr>
        <w:pStyle w:val="69"/>
        <w:numPr>
          <w:ilvl w:val="2"/>
          <w:numId w:val="10"/>
        </w:numPr>
        <w:tabs>
          <w:tab w:val="left" w:pos="2522"/>
        </w:tabs>
        <w:kinsoku w:val="0"/>
        <w:overflowPunct w:val="0"/>
        <w:spacing w:before="157"/>
        <w:ind w:hanging="901"/>
        <w:rPr>
          <w:rFonts w:hAnsi="宋体"/>
          <w:color w:val="auto"/>
          <w:spacing w:val="-10"/>
        </w:rPr>
      </w:pPr>
      <w:r>
        <w:rPr>
          <w:rFonts w:hint="eastAsia" w:hAnsi="宋体"/>
          <w:color w:val="auto"/>
          <w:spacing w:val="-10"/>
        </w:rPr>
        <w:t>采购标的对应的中小企业划分标准所属行业见《供应商须知资料表》。</w:t>
      </w:r>
    </w:p>
    <w:p w14:paraId="7188F91C">
      <w:pPr>
        <w:pStyle w:val="69"/>
        <w:numPr>
          <w:ilvl w:val="2"/>
          <w:numId w:val="10"/>
        </w:numPr>
        <w:tabs>
          <w:tab w:val="left" w:pos="2522"/>
        </w:tabs>
        <w:kinsoku w:val="0"/>
        <w:overflowPunct w:val="0"/>
        <w:spacing w:before="72"/>
        <w:ind w:hanging="901"/>
        <w:rPr>
          <w:rFonts w:hAnsi="宋体"/>
          <w:color w:val="auto"/>
          <w:spacing w:val="-18"/>
        </w:rPr>
      </w:pPr>
      <w:r>
        <w:rPr>
          <w:rFonts w:hint="eastAsia" w:hAnsi="宋体"/>
          <w:color w:val="auto"/>
          <w:spacing w:val="-18"/>
        </w:rPr>
        <w:t>小微企业价格评审优惠的政策调整：见第三章《评审方法和评审标准》。</w:t>
      </w:r>
    </w:p>
    <w:p w14:paraId="6AA1A302">
      <w:pPr>
        <w:pStyle w:val="69"/>
        <w:numPr>
          <w:ilvl w:val="1"/>
          <w:numId w:val="10"/>
        </w:numPr>
        <w:tabs>
          <w:tab w:val="left" w:pos="1622"/>
        </w:tabs>
        <w:kinsoku w:val="0"/>
        <w:overflowPunct w:val="0"/>
        <w:spacing w:before="159"/>
        <w:ind w:hanging="721"/>
        <w:jc w:val="both"/>
        <w:rPr>
          <w:rFonts w:hAnsi="宋体"/>
          <w:color w:val="auto"/>
        </w:rPr>
      </w:pPr>
      <w:r>
        <w:rPr>
          <w:rFonts w:hint="eastAsia" w:hAnsi="宋体"/>
          <w:color w:val="auto"/>
        </w:rPr>
        <w:t>政府采购节能产品、环境标志产品</w:t>
      </w:r>
    </w:p>
    <w:p w14:paraId="6C3C56AC">
      <w:pPr>
        <w:pStyle w:val="69"/>
        <w:numPr>
          <w:ilvl w:val="2"/>
          <w:numId w:val="10"/>
        </w:numPr>
        <w:tabs>
          <w:tab w:val="left" w:pos="2522"/>
        </w:tabs>
        <w:kinsoku w:val="0"/>
        <w:overflowPunct w:val="0"/>
        <w:spacing w:before="160" w:line="364" w:lineRule="auto"/>
        <w:ind w:right="570"/>
        <w:jc w:val="both"/>
        <w:rPr>
          <w:rFonts w:hAnsi="宋体"/>
          <w:color w:val="auto"/>
        </w:rPr>
      </w:pPr>
      <w:r>
        <w:rPr>
          <w:rFonts w:hint="eastAsia" w:hAnsi="宋体"/>
          <w:color w:val="auto"/>
          <w:spacing w:val="-9"/>
        </w:rPr>
        <w:t>政府采购节能产品、环境标志产品实施品目清单管理。财政部、发展</w:t>
      </w:r>
      <w:r>
        <w:rPr>
          <w:rFonts w:hint="eastAsia" w:hAnsi="宋体"/>
          <w:color w:val="auto"/>
          <w:spacing w:val="-11"/>
        </w:rPr>
        <w:t>改革委、生态环境部等部门根据产品节能环保性能、技术水平和市场</w:t>
      </w:r>
      <w:r>
        <w:rPr>
          <w:rFonts w:hint="eastAsia" w:hAnsi="宋体"/>
          <w:color w:val="auto"/>
          <w:spacing w:val="-12"/>
        </w:rPr>
        <w:t>成熟程度等因素，确定实施政府优先采购和强制采购的产品类别及所</w:t>
      </w:r>
      <w:r>
        <w:rPr>
          <w:rFonts w:hint="eastAsia" w:hAnsi="宋体"/>
          <w:color w:val="auto"/>
          <w:spacing w:val="-9"/>
        </w:rPr>
        <w:t>依据的相关标准规范，以品目清单的形式发布并适时调整。依据品目</w:t>
      </w:r>
      <w:r>
        <w:rPr>
          <w:rFonts w:hint="eastAsia" w:hAnsi="宋体"/>
          <w:color w:val="auto"/>
        </w:rPr>
        <w:t>清单和认证证书实施政府优先采购和强制采购。</w:t>
      </w:r>
    </w:p>
    <w:p w14:paraId="50256CD1">
      <w:pPr>
        <w:pStyle w:val="69"/>
        <w:numPr>
          <w:ilvl w:val="2"/>
          <w:numId w:val="10"/>
        </w:numPr>
        <w:tabs>
          <w:tab w:val="left" w:pos="2522"/>
        </w:tabs>
        <w:kinsoku w:val="0"/>
        <w:overflowPunct w:val="0"/>
        <w:spacing w:line="364" w:lineRule="auto"/>
        <w:ind w:right="330"/>
        <w:rPr>
          <w:rFonts w:hAnsi="宋体"/>
          <w:color w:val="auto"/>
        </w:rPr>
      </w:pPr>
      <w:r>
        <w:rPr>
          <w:rFonts w:hint="eastAsia" w:hAnsi="宋体"/>
          <w:color w:val="auto"/>
          <w:spacing w:val="-6"/>
        </w:rPr>
        <w:t>采购人拟采购的产品属于品目清单范围的，采购人及其委托的采购代</w:t>
      </w:r>
      <w:r>
        <w:rPr>
          <w:rFonts w:hAnsi="宋体"/>
          <w:color w:val="auto"/>
          <w:spacing w:val="-6"/>
        </w:rPr>
        <w:t xml:space="preserve"> </w:t>
      </w:r>
      <w:r>
        <w:rPr>
          <w:rFonts w:hint="eastAsia" w:hAnsi="宋体"/>
          <w:color w:val="auto"/>
          <w:spacing w:val="-13"/>
        </w:rPr>
        <w:t>理机构依据国家确定的认证机构出具的、处于有效期之内的节能产品、</w:t>
      </w:r>
      <w:r>
        <w:rPr>
          <w:rFonts w:hint="eastAsia" w:hAnsi="宋体"/>
          <w:color w:val="auto"/>
          <w:spacing w:val="-10"/>
        </w:rPr>
        <w:t>环境标志产品认证证书，对获得证书的产品实施政府优先采购或强制</w:t>
      </w:r>
      <w:r>
        <w:rPr>
          <w:rFonts w:hAnsi="宋体"/>
          <w:color w:val="auto"/>
          <w:spacing w:val="-10"/>
        </w:rPr>
        <w:t xml:space="preserve"> </w:t>
      </w:r>
      <w:r>
        <w:rPr>
          <w:rFonts w:hint="eastAsia" w:hAnsi="宋体"/>
          <w:color w:val="auto"/>
          <w:spacing w:val="-11"/>
        </w:rPr>
        <w:t>采购。关于政府采购节能产品、环境标志产品的相关规定依据《关于</w:t>
      </w:r>
      <w:r>
        <w:rPr>
          <w:rFonts w:hAnsi="宋体"/>
          <w:color w:val="auto"/>
          <w:spacing w:val="-11"/>
        </w:rPr>
        <w:t xml:space="preserve"> </w:t>
      </w:r>
      <w:r>
        <w:rPr>
          <w:rFonts w:hint="eastAsia" w:hAnsi="宋体"/>
          <w:color w:val="auto"/>
          <w:spacing w:val="-16"/>
        </w:rPr>
        <w:t>调整优化节能产品、环境标志产品政府采购执行机制的通知》</w:t>
      </w:r>
      <w:r>
        <w:rPr>
          <w:rFonts w:hint="eastAsia" w:hAnsi="宋体"/>
          <w:color w:val="auto"/>
        </w:rPr>
        <w:t>（财库</w:t>
      </w:r>
    </w:p>
    <w:p w14:paraId="02195A1D">
      <w:pPr>
        <w:pStyle w:val="17"/>
        <w:kinsoku w:val="0"/>
        <w:overflowPunct w:val="0"/>
        <w:spacing w:line="303" w:lineRule="exact"/>
        <w:ind w:left="2521"/>
        <w:rPr>
          <w:rFonts w:hAnsi="宋体"/>
          <w:color w:val="auto"/>
          <w:w w:val="105"/>
        </w:rPr>
      </w:pPr>
      <w:r>
        <w:rPr>
          <w:rFonts w:hint="eastAsia" w:hAnsi="宋体"/>
          <w:color w:val="auto"/>
          <w:w w:val="105"/>
        </w:rPr>
        <w:t>〔</w:t>
      </w:r>
      <w:r>
        <w:rPr>
          <w:rFonts w:hAnsi="宋体" w:cs="Arial"/>
          <w:color w:val="auto"/>
          <w:w w:val="105"/>
        </w:rPr>
        <w:t>2019</w:t>
      </w:r>
      <w:r>
        <w:rPr>
          <w:rFonts w:hint="eastAsia" w:hAnsi="宋体"/>
          <w:color w:val="auto"/>
          <w:w w:val="105"/>
        </w:rPr>
        <w:t>〕</w:t>
      </w:r>
      <w:r>
        <w:rPr>
          <w:rFonts w:hAnsi="宋体" w:cs="Arial"/>
          <w:color w:val="auto"/>
          <w:w w:val="105"/>
        </w:rPr>
        <w:t xml:space="preserve">9 </w:t>
      </w:r>
      <w:r>
        <w:rPr>
          <w:rFonts w:hint="eastAsia" w:hAnsi="宋体"/>
          <w:color w:val="auto"/>
          <w:w w:val="105"/>
        </w:rPr>
        <w:t>号</w:t>
      </w:r>
      <w:r>
        <w:rPr>
          <w:rFonts w:hint="eastAsia" w:hAnsi="宋体"/>
          <w:color w:val="auto"/>
          <w:spacing w:val="-120"/>
          <w:w w:val="105"/>
        </w:rPr>
        <w:t>）</w:t>
      </w:r>
      <w:r>
        <w:rPr>
          <w:rFonts w:hint="eastAsia" w:hAnsi="宋体"/>
          <w:color w:val="auto"/>
          <w:w w:val="105"/>
        </w:rPr>
        <w:t>。</w:t>
      </w:r>
    </w:p>
    <w:p w14:paraId="04905BF5">
      <w:pPr>
        <w:pStyle w:val="69"/>
        <w:numPr>
          <w:ilvl w:val="2"/>
          <w:numId w:val="10"/>
        </w:numPr>
        <w:tabs>
          <w:tab w:val="left" w:pos="2522"/>
        </w:tabs>
        <w:kinsoku w:val="0"/>
        <w:overflowPunct w:val="0"/>
        <w:spacing w:before="159" w:line="364" w:lineRule="auto"/>
        <w:ind w:right="463"/>
        <w:rPr>
          <w:rFonts w:hAnsi="宋体"/>
          <w:color w:val="auto"/>
          <w:spacing w:val="-5"/>
        </w:rPr>
      </w:pPr>
      <w:r>
        <w:rPr>
          <w:rFonts w:hint="eastAsia" w:hAnsi="宋体"/>
          <w:color w:val="auto"/>
          <w:spacing w:val="-1"/>
        </w:rPr>
        <w:t>如本项目采购产品属于实施政府强制采购品目清单范围的节能产品，</w:t>
      </w:r>
      <w:r>
        <w:rPr>
          <w:rFonts w:hAnsi="宋体"/>
          <w:color w:val="auto"/>
          <w:spacing w:val="-1"/>
        </w:rPr>
        <w:t xml:space="preserve"> </w:t>
      </w:r>
      <w:r>
        <w:rPr>
          <w:rFonts w:hint="eastAsia" w:hAnsi="宋体"/>
          <w:color w:val="auto"/>
          <w:spacing w:val="-5"/>
        </w:rPr>
        <w:t>则供应商所报产品必须获得国家确定的认证机构出具的、处于有效期之内的节能产品认证证书，否则响应无效；</w:t>
      </w:r>
    </w:p>
    <w:p w14:paraId="66A9DC36">
      <w:pPr>
        <w:pStyle w:val="69"/>
        <w:numPr>
          <w:ilvl w:val="2"/>
          <w:numId w:val="10"/>
        </w:numPr>
        <w:tabs>
          <w:tab w:val="left" w:pos="2522"/>
        </w:tabs>
        <w:kinsoku w:val="0"/>
        <w:overflowPunct w:val="0"/>
        <w:spacing w:line="362" w:lineRule="auto"/>
        <w:ind w:right="570"/>
        <w:jc w:val="both"/>
        <w:rPr>
          <w:rFonts w:hAnsi="宋体"/>
          <w:color w:val="auto"/>
        </w:rPr>
      </w:pPr>
      <w:r>
        <w:rPr>
          <w:rFonts w:hint="eastAsia" w:hAnsi="宋体"/>
          <w:color w:val="auto"/>
          <w:spacing w:val="-7"/>
        </w:rPr>
        <w:t>非政府强制采购的节能产品或环境标志产品，依据品目清单和认证证</w:t>
      </w:r>
      <w:r>
        <w:rPr>
          <w:rFonts w:hint="eastAsia" w:hAnsi="宋体"/>
          <w:color w:val="auto"/>
          <w:spacing w:val="-10"/>
        </w:rPr>
        <w:t>书实施政府优先采购。优先采购的具体规定见第三章《评审方法和评</w:t>
      </w:r>
      <w:r>
        <w:rPr>
          <w:rFonts w:hint="eastAsia" w:hAnsi="宋体"/>
          <w:color w:val="auto"/>
          <w:spacing w:val="-30"/>
        </w:rPr>
        <w:t>审标准》</w:t>
      </w:r>
      <w:r>
        <w:rPr>
          <w:rFonts w:hint="eastAsia" w:hAnsi="宋体"/>
          <w:color w:val="auto"/>
        </w:rPr>
        <w:t>（如涉及</w:t>
      </w:r>
      <w:r>
        <w:rPr>
          <w:rFonts w:hint="eastAsia" w:hAnsi="宋体"/>
          <w:color w:val="auto"/>
          <w:spacing w:val="-120"/>
        </w:rPr>
        <w:t>）</w:t>
      </w:r>
      <w:r>
        <w:rPr>
          <w:rFonts w:hint="eastAsia" w:hAnsi="宋体"/>
          <w:color w:val="auto"/>
        </w:rPr>
        <w:t>。</w:t>
      </w:r>
    </w:p>
    <w:p w14:paraId="2B59610F">
      <w:pPr>
        <w:pStyle w:val="69"/>
        <w:numPr>
          <w:ilvl w:val="1"/>
          <w:numId w:val="10"/>
        </w:numPr>
        <w:tabs>
          <w:tab w:val="left" w:pos="1622"/>
        </w:tabs>
        <w:kinsoku w:val="0"/>
        <w:overflowPunct w:val="0"/>
        <w:spacing w:before="5"/>
        <w:ind w:hanging="721"/>
        <w:jc w:val="both"/>
        <w:rPr>
          <w:rFonts w:hAnsi="宋体"/>
          <w:color w:val="auto"/>
        </w:rPr>
      </w:pPr>
      <w:bookmarkStart w:id="24" w:name="_Hlk149134809"/>
      <w:r>
        <w:rPr>
          <w:rFonts w:hint="eastAsia" w:hAnsi="宋体"/>
          <w:color w:val="auto"/>
        </w:rPr>
        <w:t>正版软件</w:t>
      </w:r>
    </w:p>
    <w:p w14:paraId="6982BAC4">
      <w:pPr>
        <w:pStyle w:val="69"/>
        <w:numPr>
          <w:ilvl w:val="2"/>
          <w:numId w:val="10"/>
        </w:numPr>
        <w:tabs>
          <w:tab w:val="left" w:pos="2522"/>
        </w:tabs>
        <w:kinsoku w:val="0"/>
        <w:overflowPunct w:val="0"/>
        <w:spacing w:before="4" w:line="364" w:lineRule="auto"/>
        <w:ind w:right="448"/>
        <w:jc w:val="both"/>
        <w:rPr>
          <w:rFonts w:hint="eastAsia" w:ascii="宋体" w:hAnsi="宋体" w:eastAsia="宋体" w:cs="宋体"/>
          <w:color w:val="auto"/>
          <w:spacing w:val="-7"/>
        </w:rPr>
      </w:pPr>
      <w:r>
        <w:rPr>
          <w:rFonts w:hint="eastAsia" w:ascii="宋体" w:hAnsi="宋体" w:eastAsia="宋体" w:cs="宋体"/>
          <w:color w:val="auto"/>
          <w:spacing w:val="-7"/>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 号)。</w:t>
      </w:r>
    </w:p>
    <w:p w14:paraId="3337130D">
      <w:pPr>
        <w:pStyle w:val="69"/>
        <w:numPr>
          <w:ilvl w:val="1"/>
          <w:numId w:val="10"/>
        </w:numPr>
        <w:tabs>
          <w:tab w:val="left" w:pos="1622"/>
        </w:tabs>
        <w:kinsoku w:val="0"/>
        <w:overflowPunct w:val="0"/>
        <w:spacing w:before="5"/>
        <w:ind w:hanging="721"/>
        <w:rPr>
          <w:rFonts w:hAnsi="宋体"/>
          <w:color w:val="auto"/>
        </w:rPr>
      </w:pPr>
      <w:r>
        <w:rPr>
          <w:rFonts w:hint="eastAsia" w:hAnsi="宋体"/>
          <w:color w:val="auto"/>
        </w:rPr>
        <w:t>网络安全专用产品</w:t>
      </w:r>
    </w:p>
    <w:p w14:paraId="58B5EDE8">
      <w:pPr>
        <w:pStyle w:val="69"/>
        <w:numPr>
          <w:ilvl w:val="2"/>
          <w:numId w:val="10"/>
        </w:numPr>
        <w:tabs>
          <w:tab w:val="left" w:pos="2522"/>
        </w:tabs>
        <w:kinsoku w:val="0"/>
        <w:overflowPunct w:val="0"/>
        <w:spacing w:before="158" w:line="364" w:lineRule="auto"/>
        <w:ind w:right="463"/>
        <w:rPr>
          <w:rFonts w:hAnsi="宋体"/>
          <w:color w:val="auto"/>
          <w:spacing w:val="-11"/>
        </w:rPr>
      </w:pPr>
      <w:r>
        <w:rPr>
          <w:rFonts w:hint="eastAsia" w:hAnsi="宋体"/>
          <w:color w:val="auto"/>
          <w:spacing w:val="-11"/>
          <w:lang w:val="en-US" w:eastAsia="zh-CN"/>
        </w:rPr>
        <w:t>根据《关于调整网络安全专用产品安全管理有关事项的公告》（2023 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8D871CD">
      <w:pPr>
        <w:pStyle w:val="69"/>
        <w:numPr>
          <w:ilvl w:val="1"/>
          <w:numId w:val="10"/>
        </w:numPr>
        <w:tabs>
          <w:tab w:val="left" w:pos="1622"/>
        </w:tabs>
        <w:kinsoku w:val="0"/>
        <w:overflowPunct w:val="0"/>
        <w:ind w:hanging="721"/>
        <w:rPr>
          <w:rFonts w:hAnsi="宋体"/>
          <w:color w:val="auto"/>
        </w:rPr>
      </w:pPr>
      <w:r>
        <w:rPr>
          <w:rFonts w:hint="eastAsia" w:hAnsi="宋体"/>
          <w:color w:val="auto"/>
        </w:rPr>
        <w:t>推广使用低挥发性有机化合物（</w:t>
      </w:r>
      <w:r>
        <w:rPr>
          <w:rFonts w:hAnsi="宋体" w:cs="Arial"/>
          <w:color w:val="auto"/>
        </w:rPr>
        <w:t>VOCs</w:t>
      </w:r>
      <w:r>
        <w:rPr>
          <w:rFonts w:hint="eastAsia" w:hAnsi="宋体"/>
          <w:color w:val="auto"/>
        </w:rPr>
        <w:t>）</w:t>
      </w:r>
    </w:p>
    <w:p w14:paraId="2D7204DC">
      <w:pPr>
        <w:pStyle w:val="69"/>
        <w:numPr>
          <w:ilvl w:val="2"/>
          <w:numId w:val="10"/>
        </w:numPr>
        <w:tabs>
          <w:tab w:val="left" w:pos="2522"/>
        </w:tabs>
        <w:kinsoku w:val="0"/>
        <w:overflowPunct w:val="0"/>
        <w:spacing w:before="158" w:line="364" w:lineRule="auto"/>
        <w:ind w:right="444"/>
        <w:rPr>
          <w:rFonts w:hAnsi="宋体"/>
          <w:color w:val="auto"/>
          <w:spacing w:val="-22"/>
        </w:rPr>
      </w:pPr>
      <w:r>
        <w:rPr>
          <w:rFonts w:hint="eastAsia" w:hAnsi="宋体"/>
          <w:color w:val="auto"/>
          <w:spacing w:val="-1"/>
        </w:rPr>
        <w:t>为全面推进本市挥发性有机物</w:t>
      </w:r>
      <w:r>
        <w:rPr>
          <w:rFonts w:hint="eastAsia" w:hAnsi="宋体"/>
          <w:color w:val="auto"/>
          <w:spacing w:val="-3"/>
        </w:rPr>
        <w:t>（</w:t>
      </w:r>
      <w:r>
        <w:rPr>
          <w:rFonts w:hAnsi="宋体" w:cs="Arial"/>
          <w:color w:val="auto"/>
          <w:spacing w:val="-3"/>
        </w:rPr>
        <w:t>VOCs</w:t>
      </w:r>
      <w:r>
        <w:rPr>
          <w:rFonts w:hint="eastAsia" w:hAnsi="宋体"/>
          <w:color w:val="auto"/>
          <w:spacing w:val="-3"/>
        </w:rPr>
        <w:t>）治理，贯彻落实挥发性有机</w:t>
      </w:r>
      <w:r>
        <w:rPr>
          <w:rFonts w:hint="eastAsia" w:hAnsi="宋体"/>
          <w:color w:val="auto"/>
          <w:spacing w:val="-10"/>
        </w:rPr>
        <w:t>物污染治理专项行动有关要求，相关规定依据《北京市财政局北京市</w:t>
      </w:r>
      <w:r>
        <w:rPr>
          <w:rFonts w:hint="eastAsia" w:hAnsi="宋体"/>
          <w:color w:val="auto"/>
          <w:spacing w:val="-11"/>
        </w:rPr>
        <w:t>生态环境局关于政府采购推广使用低挥发性有机化合物</w:t>
      </w:r>
      <w:r>
        <w:rPr>
          <w:rFonts w:hint="eastAsia" w:hAnsi="宋体"/>
          <w:color w:val="auto"/>
          <w:spacing w:val="-4"/>
        </w:rPr>
        <w:t>（</w:t>
      </w:r>
      <w:r>
        <w:rPr>
          <w:rFonts w:hAnsi="宋体" w:cs="Arial"/>
          <w:color w:val="auto"/>
          <w:spacing w:val="-4"/>
        </w:rPr>
        <w:t>VOCs</w:t>
      </w:r>
      <w:r>
        <w:rPr>
          <w:rFonts w:hint="eastAsia" w:hAnsi="宋体"/>
          <w:color w:val="auto"/>
          <w:spacing w:val="-4"/>
        </w:rPr>
        <w:t>）</w:t>
      </w:r>
      <w:r>
        <w:rPr>
          <w:rFonts w:hint="eastAsia" w:hAnsi="宋体"/>
          <w:color w:val="auto"/>
        </w:rPr>
        <w:t>有</w:t>
      </w:r>
      <w:r>
        <w:rPr>
          <w:rFonts w:hint="eastAsia" w:hAnsi="宋体"/>
          <w:color w:val="auto"/>
          <w:spacing w:val="-1"/>
        </w:rPr>
        <w:t>关事项的通知</w:t>
      </w:r>
      <w:r>
        <w:rPr>
          <w:rFonts w:hint="eastAsia" w:hAnsi="宋体"/>
          <w:color w:val="auto"/>
          <w:spacing w:val="-151"/>
        </w:rPr>
        <w:t>》</w:t>
      </w:r>
      <w:r>
        <w:rPr>
          <w:rFonts w:hint="eastAsia" w:hAnsi="宋体"/>
          <w:color w:val="auto"/>
        </w:rPr>
        <w:t>（</w:t>
      </w:r>
      <w:r>
        <w:rPr>
          <w:rFonts w:hint="eastAsia" w:hAnsi="宋体"/>
          <w:color w:val="auto"/>
          <w:spacing w:val="-7"/>
        </w:rPr>
        <w:t>京财采购〔</w:t>
      </w:r>
      <w:r>
        <w:rPr>
          <w:rFonts w:hAnsi="宋体" w:cs="Arial"/>
          <w:color w:val="auto"/>
        </w:rPr>
        <w:t>2020</w:t>
      </w:r>
      <w:r>
        <w:rPr>
          <w:rFonts w:hint="eastAsia" w:hAnsi="宋体"/>
          <w:color w:val="auto"/>
          <w:spacing w:val="-32"/>
        </w:rPr>
        <w:t>〕</w:t>
      </w:r>
      <w:r>
        <w:rPr>
          <w:rFonts w:hAnsi="宋体" w:cs="Arial"/>
          <w:color w:val="auto"/>
        </w:rPr>
        <w:t>2381</w:t>
      </w:r>
      <w:r>
        <w:rPr>
          <w:rFonts w:hAnsi="宋体" w:cs="Arial"/>
          <w:color w:val="auto"/>
          <w:spacing w:val="55"/>
        </w:rPr>
        <w:t xml:space="preserve"> </w:t>
      </w:r>
      <w:r>
        <w:rPr>
          <w:rFonts w:hint="eastAsia" w:hAnsi="宋体"/>
          <w:color w:val="auto"/>
        </w:rPr>
        <w:t>号</w:t>
      </w:r>
      <w:r>
        <w:rPr>
          <w:rFonts w:hint="eastAsia" w:hAnsi="宋体"/>
          <w:color w:val="auto"/>
          <w:spacing w:val="-120"/>
        </w:rPr>
        <w:t>）</w:t>
      </w:r>
      <w:r>
        <w:rPr>
          <w:rFonts w:hint="eastAsia" w:hAnsi="宋体"/>
          <w:color w:val="auto"/>
          <w:spacing w:val="-6"/>
        </w:rPr>
        <w:t>。本项目中涉及涂料、胶黏剂、油墨、清洗剂等挥发性有机物产品的，属于强制性标准的，</w:t>
      </w:r>
      <w:r>
        <w:rPr>
          <w:rFonts w:hAnsi="宋体"/>
          <w:color w:val="auto"/>
          <w:spacing w:val="-6"/>
        </w:rPr>
        <w:t xml:space="preserve"> </w:t>
      </w:r>
      <w:r>
        <w:rPr>
          <w:rFonts w:hint="eastAsia" w:hAnsi="宋体"/>
          <w:color w:val="auto"/>
          <w:spacing w:val="-10"/>
        </w:rPr>
        <w:t>供应商应执行符合本市和国家的</w:t>
      </w:r>
      <w:r>
        <w:rPr>
          <w:rFonts w:hAnsi="宋体"/>
          <w:color w:val="auto"/>
          <w:spacing w:val="-10"/>
        </w:rPr>
        <w:t xml:space="preserve"> </w:t>
      </w:r>
      <w:r>
        <w:rPr>
          <w:rFonts w:hAnsi="宋体" w:cs="Arial"/>
          <w:color w:val="auto"/>
        </w:rPr>
        <w:t>VOCs</w:t>
      </w:r>
      <w:r>
        <w:rPr>
          <w:rFonts w:hAnsi="宋体" w:cs="Arial"/>
          <w:color w:val="auto"/>
          <w:spacing w:val="64"/>
        </w:rPr>
        <w:t xml:space="preserve"> </w:t>
      </w:r>
      <w:r>
        <w:rPr>
          <w:rFonts w:hint="eastAsia" w:hAnsi="宋体"/>
          <w:color w:val="auto"/>
        </w:rPr>
        <w:t>含量限制标准（具体标准见</w:t>
      </w:r>
      <w:r>
        <w:rPr>
          <w:rFonts w:hint="eastAsia" w:hAnsi="宋体"/>
          <w:color w:val="auto"/>
          <w:spacing w:val="-21"/>
        </w:rPr>
        <w:t>第四章《采购需求》</w:t>
      </w:r>
      <w:r>
        <w:rPr>
          <w:rFonts w:hint="eastAsia" w:hAnsi="宋体"/>
          <w:color w:val="auto"/>
          <w:spacing w:val="-89"/>
        </w:rPr>
        <w:t>）</w:t>
      </w:r>
      <w:r>
        <w:rPr>
          <w:rFonts w:hint="eastAsia" w:hAnsi="宋体"/>
          <w:color w:val="auto"/>
          <w:spacing w:val="-16"/>
        </w:rPr>
        <w:t>，否则响应无效；属于推荐性标准的，优先采购，</w:t>
      </w:r>
      <w:r>
        <w:rPr>
          <w:rFonts w:hAnsi="宋体"/>
          <w:color w:val="auto"/>
          <w:spacing w:val="-16"/>
        </w:rPr>
        <w:t xml:space="preserve"> </w:t>
      </w:r>
      <w:r>
        <w:rPr>
          <w:rFonts w:hint="eastAsia" w:hAnsi="宋体"/>
          <w:color w:val="auto"/>
          <w:spacing w:val="-22"/>
        </w:rPr>
        <w:t>具体见第三章《评审方法和评审标准》。</w:t>
      </w:r>
    </w:p>
    <w:p w14:paraId="4E1AAFB3">
      <w:pPr>
        <w:pStyle w:val="69"/>
        <w:numPr>
          <w:ilvl w:val="1"/>
          <w:numId w:val="10"/>
        </w:numPr>
        <w:tabs>
          <w:tab w:val="left" w:pos="1622"/>
        </w:tabs>
        <w:kinsoku w:val="0"/>
        <w:overflowPunct w:val="0"/>
        <w:spacing w:line="303" w:lineRule="exact"/>
        <w:ind w:hanging="514"/>
        <w:rPr>
          <w:rFonts w:hAnsi="宋体"/>
          <w:color w:val="auto"/>
        </w:rPr>
      </w:pPr>
      <w:r>
        <w:rPr>
          <w:rFonts w:hint="eastAsia" w:hAnsi="宋体"/>
          <w:color w:val="auto"/>
        </w:rPr>
        <w:t>采购需求标准</w:t>
      </w:r>
    </w:p>
    <w:p w14:paraId="1C2D0A3F">
      <w:pPr>
        <w:pStyle w:val="69"/>
        <w:numPr>
          <w:ilvl w:val="2"/>
          <w:numId w:val="10"/>
        </w:numPr>
        <w:tabs>
          <w:tab w:val="left" w:pos="2522"/>
        </w:tabs>
        <w:kinsoku w:val="0"/>
        <w:overflowPunct w:val="0"/>
        <w:spacing w:before="161"/>
        <w:ind w:hanging="901"/>
        <w:jc w:val="both"/>
        <w:rPr>
          <w:rFonts w:hAnsi="宋体"/>
          <w:color w:val="auto"/>
        </w:rPr>
      </w:pPr>
      <w:r>
        <w:rPr>
          <w:rFonts w:hint="eastAsia" w:hAnsi="宋体"/>
          <w:color w:val="auto"/>
        </w:rPr>
        <w:t>商品包装、快递包装政府采购需求标准（试行）</w:t>
      </w:r>
    </w:p>
    <w:p w14:paraId="70107CCF">
      <w:pPr>
        <w:pStyle w:val="17"/>
        <w:kinsoku w:val="0"/>
        <w:overflowPunct w:val="0"/>
        <w:spacing w:before="158" w:line="364" w:lineRule="auto"/>
        <w:ind w:left="2526" w:right="568"/>
        <w:jc w:val="both"/>
        <w:rPr>
          <w:rFonts w:hAnsi="宋体"/>
          <w:color w:val="auto"/>
          <w:spacing w:val="-5"/>
        </w:rPr>
      </w:pPr>
      <w:r>
        <w:rPr>
          <w:rFonts w:hint="eastAsia" w:hAnsi="宋体"/>
          <w:color w:val="auto"/>
          <w:spacing w:val="-9"/>
        </w:rPr>
        <w:t>为助力打好污染防治攻坚战，推广使用绿色包装，根据财政部关于印</w:t>
      </w:r>
      <w:r>
        <w:rPr>
          <w:rFonts w:hint="eastAsia" w:hAnsi="宋体"/>
          <w:color w:val="auto"/>
        </w:rPr>
        <w:t>发《商品包装政府采购需求标准（</w:t>
      </w:r>
      <w:r>
        <w:rPr>
          <w:rFonts w:hint="eastAsia" w:hAnsi="宋体"/>
          <w:color w:val="auto"/>
          <w:spacing w:val="-2"/>
        </w:rPr>
        <w:t>试行</w:t>
      </w:r>
      <w:r>
        <w:rPr>
          <w:rFonts w:hint="eastAsia" w:hAnsi="宋体"/>
          <w:color w:val="auto"/>
          <w:spacing w:val="-120"/>
        </w:rPr>
        <w:t>）</w:t>
      </w:r>
      <w:r>
        <w:rPr>
          <w:rFonts w:hint="eastAsia" w:hAnsi="宋体"/>
          <w:color w:val="auto"/>
          <w:spacing w:val="-22"/>
        </w:rPr>
        <w:t>》、《快递包装政府采购需求</w:t>
      </w:r>
      <w:r>
        <w:rPr>
          <w:rFonts w:hint="eastAsia" w:hAnsi="宋体"/>
          <w:color w:val="auto"/>
          <w:spacing w:val="-4"/>
        </w:rPr>
        <w:t>标准</w:t>
      </w:r>
      <w:r>
        <w:rPr>
          <w:rFonts w:hint="eastAsia" w:hAnsi="宋体"/>
          <w:color w:val="auto"/>
        </w:rPr>
        <w:t>（试行</w:t>
      </w:r>
      <w:r>
        <w:rPr>
          <w:rFonts w:hint="eastAsia" w:hAnsi="宋体"/>
          <w:color w:val="auto"/>
          <w:spacing w:val="-120"/>
        </w:rPr>
        <w:t>）</w:t>
      </w:r>
      <w:r>
        <w:rPr>
          <w:rFonts w:hint="eastAsia" w:hAnsi="宋体"/>
          <w:color w:val="auto"/>
          <w:spacing w:val="-4"/>
        </w:rPr>
        <w:t>》的通知</w:t>
      </w:r>
      <w:r>
        <w:rPr>
          <w:rFonts w:hint="eastAsia" w:hAnsi="宋体"/>
          <w:color w:val="auto"/>
        </w:rPr>
        <w:t>（</w:t>
      </w:r>
      <w:r>
        <w:rPr>
          <w:rFonts w:hint="eastAsia" w:hAnsi="宋体"/>
          <w:color w:val="auto"/>
          <w:spacing w:val="-3"/>
        </w:rPr>
        <w:t>财办库〔</w:t>
      </w:r>
      <w:r>
        <w:rPr>
          <w:rFonts w:hAnsi="宋体" w:cs="Arial"/>
          <w:color w:val="auto"/>
          <w:spacing w:val="-2"/>
          <w:w w:val="114"/>
        </w:rPr>
        <w:t>2</w:t>
      </w:r>
      <w:r>
        <w:rPr>
          <w:rFonts w:hAnsi="宋体" w:cs="Arial"/>
          <w:color w:val="auto"/>
          <w:w w:val="114"/>
        </w:rPr>
        <w:t>0</w:t>
      </w:r>
      <w:r>
        <w:rPr>
          <w:rFonts w:hAnsi="宋体" w:cs="Arial"/>
          <w:color w:val="auto"/>
          <w:spacing w:val="-2"/>
          <w:w w:val="114"/>
        </w:rPr>
        <w:t>2</w:t>
      </w:r>
      <w:r>
        <w:rPr>
          <w:rFonts w:hAnsi="宋体" w:cs="Arial"/>
          <w:color w:val="auto"/>
          <w:spacing w:val="3"/>
          <w:w w:val="114"/>
        </w:rPr>
        <w:t>0</w:t>
      </w:r>
      <w:r>
        <w:rPr>
          <w:rFonts w:hint="eastAsia" w:hAnsi="宋体"/>
          <w:color w:val="auto"/>
          <w:spacing w:val="-8"/>
        </w:rPr>
        <w:t>〕</w:t>
      </w:r>
      <w:r>
        <w:rPr>
          <w:rFonts w:hAnsi="宋体" w:cs="Arial"/>
          <w:color w:val="auto"/>
          <w:spacing w:val="-2"/>
          <w:w w:val="114"/>
        </w:rPr>
        <w:t>1</w:t>
      </w:r>
      <w:r>
        <w:rPr>
          <w:rFonts w:hAnsi="宋体" w:cs="Arial"/>
          <w:color w:val="auto"/>
          <w:w w:val="114"/>
        </w:rPr>
        <w:t>23</w:t>
      </w:r>
      <w:r>
        <w:rPr>
          <w:rFonts w:hAnsi="宋体" w:cs="Arial"/>
          <w:color w:val="auto"/>
        </w:rPr>
        <w:t xml:space="preserve"> </w:t>
      </w:r>
      <w:r>
        <w:rPr>
          <w:rFonts w:hint="eastAsia" w:hAnsi="宋体"/>
          <w:color w:val="auto"/>
        </w:rPr>
        <w:t>号</w:t>
      </w:r>
      <w:r>
        <w:rPr>
          <w:rFonts w:hint="eastAsia" w:hAnsi="宋体"/>
          <w:color w:val="auto"/>
          <w:spacing w:val="-120"/>
        </w:rPr>
        <w:t>）</w:t>
      </w:r>
      <w:r>
        <w:rPr>
          <w:rFonts w:hint="eastAsia" w:hAnsi="宋体"/>
          <w:color w:val="auto"/>
          <w:spacing w:val="-4"/>
        </w:rPr>
        <w:t>，本项目如涉及商</w:t>
      </w:r>
      <w:r>
        <w:rPr>
          <w:rFonts w:hint="eastAsia" w:hAnsi="宋体"/>
          <w:color w:val="auto"/>
          <w:spacing w:val="-5"/>
        </w:rPr>
        <w:t>品包装和快递包装的，则其具体要求见第四章《采购需求》。</w:t>
      </w:r>
    </w:p>
    <w:p w14:paraId="4EE02860">
      <w:pPr>
        <w:pStyle w:val="69"/>
        <w:numPr>
          <w:ilvl w:val="2"/>
          <w:numId w:val="10"/>
        </w:numPr>
        <w:spacing w:line="360" w:lineRule="auto"/>
        <w:ind w:hanging="901"/>
        <w:jc w:val="both"/>
        <w:rPr>
          <w:rFonts w:hAnsi="宋体"/>
          <w:color w:val="auto"/>
        </w:rPr>
      </w:pPr>
      <w:r>
        <w:rPr>
          <w:rFonts w:hint="eastAsia" w:hAnsi="宋体"/>
          <w:color w:val="auto"/>
        </w:rPr>
        <w:t>绿色数据中心政府采购需求标准（试行）为加快数据中心绿色转型，根据财政部</w:t>
      </w:r>
      <w:r>
        <w:rPr>
          <w:rFonts w:hAnsi="宋体"/>
          <w:color w:val="auto"/>
        </w:rPr>
        <w:t xml:space="preserve"> </w:t>
      </w:r>
      <w:r>
        <w:rPr>
          <w:rFonts w:hint="eastAsia" w:hAnsi="宋体"/>
          <w:color w:val="auto"/>
        </w:rPr>
        <w:t>生态环境部</w:t>
      </w:r>
      <w:r>
        <w:rPr>
          <w:rFonts w:hAnsi="宋体"/>
          <w:color w:val="auto"/>
        </w:rPr>
        <w:t xml:space="preserve"> </w:t>
      </w:r>
      <w:r>
        <w:rPr>
          <w:rFonts w:hint="eastAsia" w:hAnsi="宋体"/>
          <w:color w:val="auto"/>
        </w:rPr>
        <w:t>工业和信息化部关于印发《绿色数据中心政府采购需求标准（试行）》的通知（财库〔</w:t>
      </w:r>
      <w:r>
        <w:rPr>
          <w:rFonts w:hAnsi="宋体"/>
          <w:color w:val="auto"/>
        </w:rPr>
        <w:t>2023</w:t>
      </w:r>
      <w:r>
        <w:rPr>
          <w:rFonts w:hint="eastAsia" w:hAnsi="宋体"/>
          <w:color w:val="auto"/>
        </w:rPr>
        <w:t>〕</w:t>
      </w:r>
      <w:r>
        <w:rPr>
          <w:rFonts w:hAnsi="宋体"/>
          <w:color w:val="auto"/>
        </w:rPr>
        <w:t xml:space="preserve">7  </w:t>
      </w:r>
      <w:r>
        <w:rPr>
          <w:rFonts w:hint="eastAsia" w:hAnsi="宋体"/>
          <w:color w:val="auto"/>
        </w:rPr>
        <w:t>号），本项目如涉及绿色数据中心，则具体要求见第四章《采购需求》。</w:t>
      </w:r>
    </w:p>
    <w:p w14:paraId="64408257">
      <w:pPr>
        <w:pStyle w:val="69"/>
        <w:numPr>
          <w:ilvl w:val="0"/>
          <w:numId w:val="10"/>
        </w:numPr>
        <w:tabs>
          <w:tab w:val="left" w:pos="897"/>
        </w:tabs>
        <w:kinsoku w:val="0"/>
        <w:overflowPunct w:val="0"/>
        <w:spacing w:line="304" w:lineRule="exact"/>
        <w:ind w:left="796" w:leftChars="0" w:firstLineChars="0"/>
        <w:jc w:val="both"/>
        <w:rPr>
          <w:rFonts w:hint="eastAsia" w:hAnsi="宋体"/>
          <w:color w:val="auto"/>
        </w:rPr>
      </w:pPr>
      <w:r>
        <w:rPr>
          <w:rFonts w:hint="eastAsia" w:hAnsi="宋体"/>
          <w:color w:val="auto"/>
        </w:rPr>
        <w:t>响应费用</w:t>
      </w:r>
    </w:p>
    <w:bookmarkEnd w:id="24"/>
    <w:p w14:paraId="705F0969">
      <w:pPr>
        <w:pStyle w:val="69"/>
        <w:numPr>
          <w:ilvl w:val="1"/>
          <w:numId w:val="10"/>
        </w:numPr>
        <w:tabs>
          <w:tab w:val="left" w:pos="1622"/>
        </w:tabs>
        <w:kinsoku w:val="0"/>
        <w:overflowPunct w:val="0"/>
        <w:spacing w:before="160" w:line="362" w:lineRule="auto"/>
        <w:ind w:right="450"/>
        <w:rPr>
          <w:rFonts w:hAnsi="宋体"/>
          <w:color w:val="auto"/>
        </w:rPr>
      </w:pPr>
      <w:bookmarkStart w:id="25" w:name="_Hlk149134889"/>
      <w:r>
        <w:rPr>
          <w:rFonts w:hint="eastAsia" w:hAnsi="宋体"/>
          <w:color w:val="auto"/>
          <w:spacing w:val="-3"/>
        </w:rPr>
        <w:t>供应商应自行承担所有与准备和参加磋商有关的费用，无论磋商的结果如何，</w:t>
      </w:r>
      <w:r>
        <w:rPr>
          <w:rFonts w:hAnsi="宋体"/>
          <w:color w:val="auto"/>
          <w:spacing w:val="-3"/>
        </w:rPr>
        <w:t xml:space="preserve"> </w:t>
      </w:r>
      <w:r>
        <w:rPr>
          <w:rFonts w:hint="eastAsia" w:hAnsi="宋体"/>
          <w:color w:val="auto"/>
        </w:rPr>
        <w:t>采购人或采购代理机构在任何情况下均无承担这些费用的义务和责任。</w:t>
      </w:r>
    </w:p>
    <w:bookmarkEnd w:id="25"/>
    <w:p w14:paraId="68B8E69E">
      <w:pPr>
        <w:pStyle w:val="17"/>
        <w:kinsoku w:val="0"/>
        <w:overflowPunct w:val="0"/>
        <w:rPr>
          <w:rFonts w:hAnsi="宋体"/>
          <w:color w:val="auto"/>
          <w:sz w:val="20"/>
          <w:szCs w:val="20"/>
        </w:rPr>
      </w:pPr>
    </w:p>
    <w:p w14:paraId="39745666">
      <w:pPr>
        <w:pStyle w:val="4"/>
        <w:tabs>
          <w:tab w:val="left" w:pos="700"/>
        </w:tabs>
        <w:kinsoku w:val="0"/>
        <w:overflowPunct w:val="0"/>
        <w:spacing w:before="240"/>
        <w:rPr>
          <w:rFonts w:hAnsi="宋体"/>
          <w:color w:val="auto"/>
        </w:rPr>
      </w:pPr>
      <w:bookmarkStart w:id="26" w:name="_Toc149147544"/>
      <w:bookmarkStart w:id="27" w:name="_Toc149147477"/>
      <w:bookmarkStart w:id="28" w:name="_Toc149147699"/>
      <w:r>
        <w:rPr>
          <w:rFonts w:hint="eastAsia" w:hAnsi="宋体"/>
          <w:color w:val="auto"/>
        </w:rPr>
        <w:t>二</w:t>
      </w:r>
      <w:r>
        <w:rPr>
          <w:rFonts w:hAnsi="宋体"/>
          <w:color w:val="auto"/>
        </w:rPr>
        <w:tab/>
      </w:r>
      <w:r>
        <w:rPr>
          <w:rFonts w:hint="eastAsia" w:hAnsi="宋体"/>
          <w:color w:val="auto"/>
        </w:rPr>
        <w:t>竞争性磋商文件</w:t>
      </w:r>
      <w:bookmarkEnd w:id="26"/>
      <w:bookmarkEnd w:id="27"/>
      <w:bookmarkEnd w:id="28"/>
    </w:p>
    <w:p w14:paraId="7167E275">
      <w:pPr>
        <w:pStyle w:val="69"/>
        <w:numPr>
          <w:ilvl w:val="0"/>
          <w:numId w:val="10"/>
        </w:numPr>
        <w:tabs>
          <w:tab w:val="left" w:pos="897"/>
        </w:tabs>
        <w:kinsoku w:val="0"/>
        <w:overflowPunct w:val="0"/>
        <w:spacing w:before="182"/>
        <w:ind w:left="796" w:leftChars="0" w:firstLineChars="0"/>
        <w:rPr>
          <w:rFonts w:hAnsi="宋体"/>
          <w:color w:val="auto"/>
        </w:rPr>
      </w:pPr>
      <w:r>
        <w:rPr>
          <w:rFonts w:hint="eastAsia" w:hAnsi="宋体"/>
          <w:color w:val="auto"/>
        </w:rPr>
        <w:t>竞争性磋商文件构成</w:t>
      </w:r>
    </w:p>
    <w:p w14:paraId="2F3A6181">
      <w:pPr>
        <w:pStyle w:val="69"/>
        <w:numPr>
          <w:ilvl w:val="1"/>
          <w:numId w:val="10"/>
        </w:numPr>
        <w:tabs>
          <w:tab w:val="left" w:pos="1622"/>
          <w:tab w:val="left" w:pos="3061"/>
        </w:tabs>
        <w:kinsoku w:val="0"/>
        <w:overflowPunct w:val="0"/>
        <w:spacing w:before="161" w:line="362" w:lineRule="auto"/>
        <w:ind w:left="1986" w:right="5203" w:hanging="1085"/>
        <w:rPr>
          <w:rFonts w:hAnsi="宋体"/>
          <w:color w:val="auto"/>
        </w:rPr>
      </w:pPr>
      <w:r>
        <w:rPr>
          <w:rFonts w:hint="eastAsia" w:hAnsi="宋体"/>
          <w:color w:val="auto"/>
        </w:rPr>
        <w:t>竞争性磋商文件包括以下部分</w:t>
      </w:r>
      <w:r>
        <w:rPr>
          <w:rFonts w:hint="eastAsia" w:hAnsi="宋体"/>
          <w:color w:val="auto"/>
          <w:spacing w:val="-17"/>
        </w:rPr>
        <w:t>：</w:t>
      </w:r>
      <w:r>
        <w:rPr>
          <w:rFonts w:hAnsi="宋体"/>
          <w:color w:val="auto"/>
          <w:spacing w:val="-17"/>
        </w:rPr>
        <w:t xml:space="preserve"> </w:t>
      </w:r>
      <w:r>
        <w:rPr>
          <w:rFonts w:hint="eastAsia" w:hAnsi="宋体"/>
          <w:color w:val="auto"/>
        </w:rPr>
        <w:t>第一章</w:t>
      </w:r>
      <w:r>
        <w:rPr>
          <w:rFonts w:hAnsi="宋体"/>
          <w:color w:val="auto"/>
        </w:rPr>
        <w:tab/>
      </w:r>
      <w:r>
        <w:rPr>
          <w:rFonts w:hint="eastAsia" w:hAnsi="宋体"/>
          <w:color w:val="auto"/>
        </w:rPr>
        <w:t>采购邀请</w:t>
      </w:r>
    </w:p>
    <w:p w14:paraId="42FFF831">
      <w:pPr>
        <w:pStyle w:val="17"/>
        <w:tabs>
          <w:tab w:val="left" w:pos="3061"/>
        </w:tabs>
        <w:kinsoku w:val="0"/>
        <w:overflowPunct w:val="0"/>
        <w:spacing w:before="5"/>
        <w:ind w:left="1986"/>
        <w:rPr>
          <w:rFonts w:hAnsi="宋体"/>
          <w:color w:val="auto"/>
        </w:rPr>
      </w:pPr>
      <w:r>
        <w:rPr>
          <w:rFonts w:hint="eastAsia" w:hAnsi="宋体"/>
          <w:color w:val="auto"/>
        </w:rPr>
        <w:t>第二章</w:t>
      </w:r>
      <w:r>
        <w:rPr>
          <w:rFonts w:hAnsi="宋体"/>
          <w:color w:val="auto"/>
        </w:rPr>
        <w:tab/>
      </w:r>
      <w:r>
        <w:rPr>
          <w:rFonts w:hint="eastAsia" w:hAnsi="宋体"/>
          <w:color w:val="auto"/>
        </w:rPr>
        <w:t>供应商须知</w:t>
      </w:r>
    </w:p>
    <w:p w14:paraId="0A0BF137">
      <w:pPr>
        <w:pStyle w:val="17"/>
        <w:tabs>
          <w:tab w:val="left" w:pos="3061"/>
        </w:tabs>
        <w:kinsoku w:val="0"/>
        <w:overflowPunct w:val="0"/>
        <w:spacing w:before="160" w:line="362" w:lineRule="auto"/>
        <w:ind w:left="1986" w:right="4963"/>
        <w:rPr>
          <w:rFonts w:hAnsi="宋体"/>
          <w:color w:val="auto"/>
        </w:rPr>
      </w:pPr>
      <w:r>
        <w:rPr>
          <w:rFonts w:hint="eastAsia" w:hAnsi="宋体"/>
          <w:color w:val="auto"/>
        </w:rPr>
        <w:t>第三章</w:t>
      </w:r>
      <w:r>
        <w:rPr>
          <w:rFonts w:hAnsi="宋体"/>
          <w:color w:val="auto"/>
        </w:rPr>
        <w:tab/>
      </w:r>
      <w:r>
        <w:rPr>
          <w:rFonts w:hint="eastAsia" w:hAnsi="宋体"/>
          <w:color w:val="auto"/>
        </w:rPr>
        <w:t>评审方法和评审标</w:t>
      </w:r>
      <w:r>
        <w:rPr>
          <w:rFonts w:hint="eastAsia" w:hAnsi="宋体"/>
          <w:color w:val="auto"/>
          <w:spacing w:val="-17"/>
        </w:rPr>
        <w:t>准</w:t>
      </w:r>
      <w:r>
        <w:rPr>
          <w:rFonts w:hint="eastAsia" w:hAnsi="宋体"/>
          <w:color w:val="auto"/>
        </w:rPr>
        <w:t>第四章</w:t>
      </w:r>
      <w:r>
        <w:rPr>
          <w:rFonts w:hAnsi="宋体"/>
          <w:color w:val="auto"/>
        </w:rPr>
        <w:tab/>
      </w:r>
      <w:r>
        <w:rPr>
          <w:rFonts w:hint="eastAsia" w:hAnsi="宋体"/>
          <w:color w:val="auto"/>
        </w:rPr>
        <w:t>采购需求</w:t>
      </w:r>
    </w:p>
    <w:p w14:paraId="17442BDD">
      <w:pPr>
        <w:pStyle w:val="17"/>
        <w:tabs>
          <w:tab w:val="left" w:pos="3061"/>
        </w:tabs>
        <w:kinsoku w:val="0"/>
        <w:overflowPunct w:val="0"/>
        <w:spacing w:before="3" w:line="364" w:lineRule="auto"/>
        <w:ind w:left="1986" w:right="5683"/>
        <w:rPr>
          <w:rFonts w:hAnsi="宋体"/>
          <w:color w:val="auto"/>
          <w:spacing w:val="-17"/>
        </w:rPr>
      </w:pPr>
      <w:r>
        <w:rPr>
          <w:rFonts w:hint="eastAsia" w:hAnsi="宋体"/>
          <w:color w:val="auto"/>
        </w:rPr>
        <w:t>第五章</w:t>
      </w:r>
      <w:r>
        <w:rPr>
          <w:rFonts w:hAnsi="宋体"/>
          <w:color w:val="auto"/>
        </w:rPr>
        <w:tab/>
      </w:r>
      <w:r>
        <w:rPr>
          <w:rFonts w:hint="eastAsia" w:hAnsi="宋体"/>
          <w:color w:val="auto"/>
        </w:rPr>
        <w:t>合同草案条</w:t>
      </w:r>
      <w:r>
        <w:rPr>
          <w:rFonts w:hint="eastAsia" w:hAnsi="宋体"/>
          <w:color w:val="auto"/>
          <w:spacing w:val="-17"/>
        </w:rPr>
        <w:t>款</w:t>
      </w:r>
      <w:r>
        <w:rPr>
          <w:rFonts w:hint="eastAsia" w:hAnsi="宋体"/>
          <w:color w:val="auto"/>
        </w:rPr>
        <w:t>第六章</w:t>
      </w:r>
      <w:r>
        <w:rPr>
          <w:rFonts w:hAnsi="宋体"/>
          <w:color w:val="auto"/>
        </w:rPr>
        <w:tab/>
      </w:r>
      <w:r>
        <w:rPr>
          <w:rFonts w:hint="eastAsia" w:hAnsi="宋体"/>
          <w:color w:val="auto"/>
        </w:rPr>
        <w:t>响应文件格</w:t>
      </w:r>
      <w:r>
        <w:rPr>
          <w:rFonts w:hint="eastAsia" w:hAnsi="宋体"/>
          <w:color w:val="auto"/>
          <w:spacing w:val="-17"/>
        </w:rPr>
        <w:t>式</w:t>
      </w:r>
    </w:p>
    <w:p w14:paraId="3B2B2811">
      <w:pPr>
        <w:pStyle w:val="69"/>
        <w:numPr>
          <w:ilvl w:val="1"/>
          <w:numId w:val="10"/>
        </w:numPr>
        <w:tabs>
          <w:tab w:val="left" w:pos="1622"/>
        </w:tabs>
        <w:kinsoku w:val="0"/>
        <w:overflowPunct w:val="0"/>
        <w:spacing w:before="1" w:line="364" w:lineRule="auto"/>
        <w:ind w:right="571"/>
        <w:jc w:val="both"/>
        <w:rPr>
          <w:rFonts w:hAnsi="宋体"/>
          <w:color w:val="auto"/>
        </w:rPr>
      </w:pPr>
      <w:r>
        <w:rPr>
          <w:rFonts w:hint="eastAsia" w:hAnsi="宋体"/>
          <w:color w:val="auto"/>
        </w:rPr>
        <w:t>供应商应认真阅读竞争性磋商文件的全部内容。供应商应按照竞争性磋商文件要求提交响应文件并保证所提供的全部资料的真实性，并对竞争性磋商文件做出实质性响应，否则</w:t>
      </w:r>
      <w:r>
        <w:rPr>
          <w:rFonts w:hint="eastAsia" w:hAnsi="宋体"/>
          <w:b/>
          <w:bCs/>
          <w:color w:val="auto"/>
        </w:rPr>
        <w:t>响应无效</w:t>
      </w:r>
      <w:r>
        <w:rPr>
          <w:rFonts w:hint="eastAsia" w:hAnsi="宋体"/>
          <w:color w:val="auto"/>
        </w:rPr>
        <w:t>。</w:t>
      </w:r>
    </w:p>
    <w:p w14:paraId="7FC45F4E">
      <w:pPr>
        <w:pStyle w:val="69"/>
        <w:numPr>
          <w:ilvl w:val="0"/>
          <w:numId w:val="10"/>
        </w:numPr>
        <w:tabs>
          <w:tab w:val="left" w:pos="897"/>
        </w:tabs>
        <w:kinsoku w:val="0"/>
        <w:overflowPunct w:val="0"/>
        <w:spacing w:line="304" w:lineRule="exact"/>
        <w:ind w:left="796" w:leftChars="0" w:firstLineChars="0"/>
        <w:jc w:val="both"/>
        <w:rPr>
          <w:rFonts w:hAnsi="宋体"/>
          <w:color w:val="auto"/>
        </w:rPr>
      </w:pPr>
      <w:bookmarkStart w:id="29" w:name="_Hlk149134983"/>
      <w:r>
        <w:rPr>
          <w:rFonts w:hint="eastAsia" w:hAnsi="宋体"/>
          <w:color w:val="auto"/>
        </w:rPr>
        <w:t>对竞争性磋商文件的澄清或修改</w:t>
      </w:r>
    </w:p>
    <w:p w14:paraId="7CB08D5B">
      <w:pPr>
        <w:pStyle w:val="69"/>
        <w:numPr>
          <w:ilvl w:val="1"/>
          <w:numId w:val="10"/>
        </w:numPr>
        <w:tabs>
          <w:tab w:val="left" w:pos="1622"/>
        </w:tabs>
        <w:kinsoku w:val="0"/>
        <w:overflowPunct w:val="0"/>
        <w:spacing w:before="161" w:line="364" w:lineRule="auto"/>
        <w:ind w:right="571"/>
        <w:jc w:val="both"/>
        <w:rPr>
          <w:rFonts w:hAnsi="宋体"/>
          <w:color w:val="auto"/>
        </w:rPr>
      </w:pPr>
      <w:r>
        <w:rPr>
          <w:rFonts w:hint="eastAsia" w:hAnsi="宋体"/>
          <w:color w:val="auto"/>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6815105C">
      <w:pPr>
        <w:pStyle w:val="69"/>
        <w:numPr>
          <w:ilvl w:val="1"/>
          <w:numId w:val="10"/>
        </w:numPr>
        <w:tabs>
          <w:tab w:val="left" w:pos="1622"/>
        </w:tabs>
        <w:kinsoku w:val="0"/>
        <w:overflowPunct w:val="0"/>
        <w:spacing w:line="360" w:lineRule="auto"/>
        <w:ind w:right="451"/>
        <w:rPr>
          <w:rFonts w:hAnsi="宋体"/>
          <w:color w:val="auto"/>
        </w:rPr>
      </w:pPr>
      <w:r>
        <w:rPr>
          <w:rFonts w:hint="eastAsia" w:hAnsi="宋体"/>
          <w:color w:val="auto"/>
          <w:spacing w:val="-8"/>
        </w:rPr>
        <w:t>上述书面通知，按照获取竞争性磋商文件的潜在供应商提供的联系方式发出，</w:t>
      </w:r>
      <w:r>
        <w:rPr>
          <w:rFonts w:hAnsi="宋体"/>
          <w:color w:val="auto"/>
          <w:spacing w:val="-8"/>
        </w:rPr>
        <w:t xml:space="preserve"> </w:t>
      </w:r>
      <w:r>
        <w:rPr>
          <w:rFonts w:hint="eastAsia" w:hAnsi="宋体"/>
          <w:color w:val="auto"/>
        </w:rPr>
        <w:t>因提供的信息有误导致通知延迟或无法通知的，采购人或采购代理机构不承担责任。</w:t>
      </w:r>
    </w:p>
    <w:p w14:paraId="5F5E7DF3">
      <w:pPr>
        <w:pStyle w:val="17"/>
        <w:kinsoku w:val="0"/>
        <w:overflowPunct w:val="0"/>
        <w:spacing w:before="72" w:line="360" w:lineRule="auto"/>
        <w:ind w:left="1552" w:leftChars="400" w:hanging="672" w:hangingChars="300"/>
        <w:rPr>
          <w:rFonts w:hAnsi="宋体"/>
          <w:color w:val="auto"/>
        </w:rPr>
      </w:pPr>
      <w:r>
        <w:rPr>
          <w:rFonts w:hAnsi="宋体"/>
          <w:color w:val="auto"/>
          <w:spacing w:val="-8"/>
        </w:rPr>
        <w:t xml:space="preserve">7.3   </w:t>
      </w:r>
      <w:r>
        <w:rPr>
          <w:rFonts w:hint="eastAsia" w:hAnsi="宋体"/>
          <w:color w:val="auto"/>
          <w:spacing w:val="-8"/>
        </w:rPr>
        <w:t>澄清或者修改的内容为竞争性磋商文件的组成部分，并对所有获取竞争性磋商文件的潜在供应商具有约束力。澄清或者修改的内容可能影响响应文件编制的，将在提交首次响应文件截止之日</w:t>
      </w:r>
      <w:r>
        <w:rPr>
          <w:rFonts w:hAnsi="宋体"/>
          <w:color w:val="auto"/>
          <w:spacing w:val="-8"/>
        </w:rPr>
        <w:t xml:space="preserve"> 3 </w:t>
      </w:r>
      <w:r>
        <w:rPr>
          <w:rFonts w:hint="eastAsia" w:hAnsi="宋体"/>
          <w:color w:val="auto"/>
          <w:spacing w:val="-8"/>
        </w:rPr>
        <w:t>个工作日前，以书面形式通知所有获取磋商文件的供应商；不足上述时间的，将顺延提交响应文件截止时间。</w:t>
      </w:r>
    </w:p>
    <w:bookmarkEnd w:id="29"/>
    <w:p w14:paraId="4DEF6C28">
      <w:pPr>
        <w:pStyle w:val="17"/>
        <w:kinsoku w:val="0"/>
        <w:overflowPunct w:val="0"/>
        <w:spacing w:before="8"/>
        <w:rPr>
          <w:rFonts w:hAnsi="宋体"/>
          <w:color w:val="auto"/>
          <w:sz w:val="26"/>
          <w:szCs w:val="26"/>
        </w:rPr>
      </w:pPr>
    </w:p>
    <w:p w14:paraId="6A02A595">
      <w:pPr>
        <w:pStyle w:val="4"/>
        <w:tabs>
          <w:tab w:val="left" w:pos="700"/>
        </w:tabs>
        <w:kinsoku w:val="0"/>
        <w:overflowPunct w:val="0"/>
        <w:spacing w:before="0"/>
        <w:rPr>
          <w:rFonts w:hAnsi="宋体"/>
          <w:color w:val="auto"/>
        </w:rPr>
      </w:pPr>
      <w:bookmarkStart w:id="30" w:name="_Toc149147478"/>
      <w:bookmarkStart w:id="31" w:name="_Toc149147700"/>
      <w:bookmarkStart w:id="32" w:name="_Toc149147545"/>
      <w:r>
        <w:rPr>
          <w:rFonts w:hint="eastAsia" w:hAnsi="宋体"/>
          <w:color w:val="auto"/>
        </w:rPr>
        <w:t>三</w:t>
      </w:r>
      <w:r>
        <w:rPr>
          <w:rFonts w:hAnsi="宋体"/>
          <w:color w:val="auto"/>
        </w:rPr>
        <w:tab/>
      </w:r>
      <w:r>
        <w:rPr>
          <w:rFonts w:hint="eastAsia" w:hAnsi="宋体"/>
          <w:color w:val="auto"/>
        </w:rPr>
        <w:t>响应文件的编制</w:t>
      </w:r>
      <w:bookmarkEnd w:id="30"/>
      <w:bookmarkEnd w:id="31"/>
      <w:bookmarkEnd w:id="32"/>
    </w:p>
    <w:p w14:paraId="7C253538">
      <w:pPr>
        <w:pStyle w:val="69"/>
        <w:numPr>
          <w:ilvl w:val="0"/>
          <w:numId w:val="10"/>
        </w:numPr>
        <w:tabs>
          <w:tab w:val="left" w:pos="897"/>
        </w:tabs>
        <w:kinsoku w:val="0"/>
        <w:overflowPunct w:val="0"/>
        <w:spacing w:before="186"/>
        <w:ind w:left="796" w:leftChars="0" w:firstLineChars="0"/>
        <w:jc w:val="both"/>
        <w:rPr>
          <w:rFonts w:hAnsi="宋体"/>
          <w:color w:val="auto"/>
        </w:rPr>
      </w:pPr>
      <w:r>
        <w:rPr>
          <w:rFonts w:hint="eastAsia" w:hAnsi="宋体"/>
          <w:color w:val="auto"/>
        </w:rPr>
        <w:t>响应范围、竞争性磋商文件中计量单位的使用及磋商语言</w:t>
      </w:r>
    </w:p>
    <w:p w14:paraId="51704AC1">
      <w:pPr>
        <w:pStyle w:val="69"/>
        <w:numPr>
          <w:ilvl w:val="1"/>
          <w:numId w:val="10"/>
        </w:numPr>
        <w:tabs>
          <w:tab w:val="left" w:pos="1622"/>
        </w:tabs>
        <w:kinsoku w:val="0"/>
        <w:overflowPunct w:val="0"/>
        <w:spacing w:before="160" w:line="364" w:lineRule="auto"/>
        <w:ind w:right="571"/>
        <w:jc w:val="both"/>
        <w:rPr>
          <w:rFonts w:hAnsi="宋体"/>
          <w:color w:val="auto"/>
        </w:rPr>
      </w:pPr>
      <w:r>
        <w:rPr>
          <w:rFonts w:hint="eastAsia" w:hAnsi="宋体"/>
          <w:color w:val="auto"/>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w:t>
      </w:r>
      <w:r>
        <w:rPr>
          <w:rFonts w:hAnsi="宋体"/>
          <w:color w:val="auto"/>
        </w:rPr>
        <w:t xml:space="preserve"> </w:t>
      </w:r>
      <w:r>
        <w:rPr>
          <w:rFonts w:hint="eastAsia" w:hAnsi="宋体"/>
          <w:color w:val="auto"/>
        </w:rPr>
        <w:t>否则其对该采购包的响应将被认定为无效响应。</w:t>
      </w:r>
    </w:p>
    <w:p w14:paraId="53774164">
      <w:pPr>
        <w:pStyle w:val="69"/>
        <w:numPr>
          <w:ilvl w:val="1"/>
          <w:numId w:val="10"/>
        </w:numPr>
        <w:tabs>
          <w:tab w:val="left" w:pos="1622"/>
        </w:tabs>
        <w:kinsoku w:val="0"/>
        <w:overflowPunct w:val="0"/>
        <w:spacing w:line="362" w:lineRule="auto"/>
        <w:ind w:right="571"/>
        <w:jc w:val="both"/>
        <w:rPr>
          <w:rFonts w:hAnsi="宋体"/>
          <w:color w:val="auto"/>
        </w:rPr>
      </w:pPr>
      <w:r>
        <w:rPr>
          <w:rFonts w:hint="eastAsia" w:hAnsi="宋体"/>
          <w:color w:val="auto"/>
        </w:rPr>
        <w:t>除竞争性磋商文件有特殊要求外，本项目磋商所使用的计量单位，应采用中华人民共和国法定计量单位。</w:t>
      </w:r>
    </w:p>
    <w:p w14:paraId="04819359">
      <w:pPr>
        <w:pStyle w:val="69"/>
        <w:numPr>
          <w:ilvl w:val="1"/>
          <w:numId w:val="10"/>
        </w:numPr>
        <w:tabs>
          <w:tab w:val="left" w:pos="1622"/>
        </w:tabs>
        <w:kinsoku w:val="0"/>
        <w:overflowPunct w:val="0"/>
        <w:spacing w:before="3" w:line="364" w:lineRule="auto"/>
        <w:ind w:right="571"/>
        <w:jc w:val="both"/>
        <w:rPr>
          <w:rFonts w:hAnsi="宋体"/>
          <w:color w:val="auto"/>
        </w:rPr>
      </w:pPr>
      <w:r>
        <w:rPr>
          <w:rFonts w:hint="eastAsia" w:hAnsi="宋体"/>
          <w:color w:val="auto"/>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CC78EED">
      <w:pPr>
        <w:pStyle w:val="69"/>
        <w:numPr>
          <w:ilvl w:val="0"/>
          <w:numId w:val="10"/>
        </w:numPr>
        <w:tabs>
          <w:tab w:val="left" w:pos="897"/>
        </w:tabs>
        <w:kinsoku w:val="0"/>
        <w:overflowPunct w:val="0"/>
        <w:spacing w:line="303" w:lineRule="exact"/>
        <w:ind w:left="796" w:leftChars="0" w:firstLineChars="0"/>
        <w:jc w:val="both"/>
        <w:rPr>
          <w:rFonts w:hAnsi="宋体"/>
          <w:color w:val="auto"/>
        </w:rPr>
      </w:pPr>
      <w:r>
        <w:rPr>
          <w:rFonts w:hint="eastAsia" w:hAnsi="宋体"/>
          <w:color w:val="auto"/>
        </w:rPr>
        <w:t>响应文件构成</w:t>
      </w:r>
    </w:p>
    <w:p w14:paraId="5A5594D9">
      <w:pPr>
        <w:pStyle w:val="69"/>
        <w:numPr>
          <w:ilvl w:val="1"/>
          <w:numId w:val="10"/>
        </w:numPr>
        <w:tabs>
          <w:tab w:val="left" w:pos="1617"/>
        </w:tabs>
        <w:kinsoku w:val="0"/>
        <w:overflowPunct w:val="0"/>
        <w:spacing w:before="160" w:line="364" w:lineRule="auto"/>
        <w:ind w:left="1616" w:right="568"/>
        <w:jc w:val="both"/>
        <w:rPr>
          <w:rFonts w:hAnsi="宋体"/>
          <w:color w:val="auto"/>
          <w:spacing w:val="-18"/>
        </w:rPr>
      </w:pPr>
      <w:r>
        <w:rPr>
          <w:rFonts w:hint="eastAsia" w:hAnsi="宋体"/>
          <w:color w:val="auto"/>
        </w:rPr>
        <w:t>供应商应当按照竞争性磋商文件的要求编制响应文件，并对其提交的响应文</w:t>
      </w:r>
      <w:r>
        <w:rPr>
          <w:rFonts w:hint="eastAsia" w:hAnsi="宋体"/>
          <w:color w:val="auto"/>
          <w:spacing w:val="-13"/>
        </w:rPr>
        <w:t>件的真实性、合法性承担法律责任。响应文件的部分格式要求，见第六章《响</w:t>
      </w:r>
      <w:r>
        <w:rPr>
          <w:rFonts w:hint="eastAsia" w:hAnsi="宋体"/>
          <w:color w:val="auto"/>
          <w:spacing w:val="-18"/>
        </w:rPr>
        <w:t>应文件格式》。</w:t>
      </w:r>
    </w:p>
    <w:p w14:paraId="3977ECB4">
      <w:pPr>
        <w:pStyle w:val="69"/>
        <w:numPr>
          <w:ilvl w:val="1"/>
          <w:numId w:val="10"/>
        </w:numPr>
        <w:tabs>
          <w:tab w:val="left" w:pos="1617"/>
        </w:tabs>
        <w:kinsoku w:val="0"/>
        <w:overflowPunct w:val="0"/>
        <w:spacing w:line="364" w:lineRule="auto"/>
        <w:ind w:left="1616" w:right="566"/>
        <w:jc w:val="both"/>
        <w:rPr>
          <w:rFonts w:hAnsi="宋体"/>
          <w:color w:val="auto"/>
        </w:rPr>
      </w:pPr>
      <w:r>
        <w:rPr>
          <w:rFonts w:hint="eastAsia" w:hAnsi="宋体"/>
          <w:color w:val="auto"/>
        </w:rPr>
        <w:t>对于竞争性磋商文件中标记了</w:t>
      </w:r>
      <w:r>
        <w:rPr>
          <w:rFonts w:hAnsi="宋体" w:cs="Arial"/>
          <w:color w:val="auto"/>
          <w:w w:val="135"/>
        </w:rPr>
        <w:t>“</w:t>
      </w:r>
      <w:r>
        <w:rPr>
          <w:rFonts w:hint="eastAsia" w:hAnsi="宋体"/>
          <w:color w:val="auto"/>
        </w:rPr>
        <w:t>实质性格式</w:t>
      </w:r>
      <w:r>
        <w:rPr>
          <w:rFonts w:hAnsi="宋体" w:cs="Arial"/>
          <w:color w:val="auto"/>
          <w:w w:val="135"/>
        </w:rPr>
        <w:t>”</w:t>
      </w:r>
      <w:r>
        <w:rPr>
          <w:rFonts w:hint="eastAsia" w:hAnsi="宋体"/>
          <w:color w:val="auto"/>
        </w:rPr>
        <w:t>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Ansi="宋体" w:cs="Arial"/>
          <w:color w:val="auto"/>
          <w:w w:val="135"/>
        </w:rPr>
        <w:t>“</w:t>
      </w:r>
      <w:r>
        <w:rPr>
          <w:rFonts w:hint="eastAsia" w:hAnsi="宋体"/>
          <w:color w:val="auto"/>
        </w:rPr>
        <w:t>实质性格式</w:t>
      </w:r>
      <w:r>
        <w:rPr>
          <w:rFonts w:hAnsi="宋体" w:cs="Arial"/>
          <w:color w:val="auto"/>
          <w:w w:val="135"/>
        </w:rPr>
        <w:t>”</w:t>
      </w:r>
      <w:r>
        <w:rPr>
          <w:rFonts w:hint="eastAsia" w:hAnsi="宋体"/>
          <w:color w:val="auto"/>
        </w:rPr>
        <w:t>的文件和竞争性磋商文件未提供格式的内容，可由供应商自行编写。</w:t>
      </w:r>
    </w:p>
    <w:p w14:paraId="7BF2BA4A">
      <w:pPr>
        <w:pStyle w:val="69"/>
        <w:numPr>
          <w:ilvl w:val="1"/>
          <w:numId w:val="10"/>
        </w:numPr>
        <w:tabs>
          <w:tab w:val="left" w:pos="1617"/>
        </w:tabs>
        <w:kinsoku w:val="0"/>
        <w:overflowPunct w:val="0"/>
        <w:spacing w:line="303" w:lineRule="exact"/>
        <w:ind w:left="1616" w:hanging="721"/>
        <w:jc w:val="both"/>
        <w:rPr>
          <w:rFonts w:hAnsi="宋体"/>
          <w:color w:val="auto"/>
        </w:rPr>
      </w:pPr>
      <w:r>
        <w:rPr>
          <w:rFonts w:hint="eastAsia" w:hAnsi="宋体"/>
          <w:color w:val="auto"/>
        </w:rPr>
        <w:t>第三章《评审方法和评审标准》中涉及的证明文件。</w:t>
      </w:r>
    </w:p>
    <w:p w14:paraId="044C0A95">
      <w:pPr>
        <w:pStyle w:val="69"/>
        <w:numPr>
          <w:ilvl w:val="1"/>
          <w:numId w:val="10"/>
        </w:numPr>
        <w:tabs>
          <w:tab w:val="left" w:pos="1617"/>
        </w:tabs>
        <w:kinsoku w:val="0"/>
        <w:overflowPunct w:val="0"/>
        <w:spacing w:before="160" w:line="364" w:lineRule="auto"/>
        <w:ind w:left="1616" w:right="568"/>
        <w:jc w:val="both"/>
        <w:rPr>
          <w:rFonts w:hAnsi="宋体"/>
          <w:color w:val="auto"/>
        </w:rPr>
      </w:pPr>
      <w:r>
        <w:rPr>
          <w:rFonts w:hint="eastAsia" w:hAnsi="宋体"/>
          <w:color w:val="auto"/>
          <w:spacing w:val="-13"/>
        </w:rPr>
        <w:t>对照第四章《采购需求》，说明所提供货物和服务已对第四章《采购需求》做</w:t>
      </w:r>
      <w:r>
        <w:rPr>
          <w:rFonts w:hint="eastAsia" w:hAnsi="宋体"/>
          <w:color w:val="auto"/>
        </w:rPr>
        <w:t>出了响应，或申明与第四章《采购需求》的偏差和例外。如第四章《采购需求》中要求提供证明文件的，供应商应当按具体要求提供证明文件。</w:t>
      </w:r>
    </w:p>
    <w:p w14:paraId="276440D3">
      <w:pPr>
        <w:pStyle w:val="69"/>
        <w:numPr>
          <w:ilvl w:val="1"/>
          <w:numId w:val="10"/>
        </w:numPr>
        <w:tabs>
          <w:tab w:val="left" w:pos="1617"/>
        </w:tabs>
        <w:kinsoku w:val="0"/>
        <w:overflowPunct w:val="0"/>
        <w:spacing w:line="307" w:lineRule="exact"/>
        <w:ind w:left="1616" w:hanging="721"/>
        <w:jc w:val="both"/>
        <w:rPr>
          <w:rFonts w:hAnsi="宋体"/>
          <w:color w:val="auto"/>
        </w:rPr>
      </w:pPr>
      <w:r>
        <w:rPr>
          <w:rFonts w:hint="eastAsia" w:hAnsi="宋体"/>
          <w:color w:val="auto"/>
        </w:rPr>
        <w:t>供应商认为应附的其他材料。</w:t>
      </w:r>
    </w:p>
    <w:p w14:paraId="380D8AE7">
      <w:pPr>
        <w:pStyle w:val="69"/>
        <w:numPr>
          <w:ilvl w:val="0"/>
          <w:numId w:val="10"/>
        </w:numPr>
        <w:tabs>
          <w:tab w:val="left" w:pos="897"/>
        </w:tabs>
        <w:kinsoku w:val="0"/>
        <w:overflowPunct w:val="0"/>
        <w:spacing w:before="158"/>
        <w:ind w:left="796" w:leftChars="0" w:firstLineChars="0"/>
        <w:rPr>
          <w:rFonts w:hAnsi="宋体"/>
          <w:color w:val="auto"/>
        </w:rPr>
      </w:pPr>
      <w:r>
        <w:rPr>
          <w:rFonts w:hint="eastAsia" w:hAnsi="宋体"/>
          <w:color w:val="auto"/>
        </w:rPr>
        <w:t>报价</w:t>
      </w:r>
    </w:p>
    <w:p w14:paraId="7E11D280">
      <w:pPr>
        <w:pStyle w:val="69"/>
        <w:numPr>
          <w:ilvl w:val="1"/>
          <w:numId w:val="10"/>
        </w:numPr>
        <w:tabs>
          <w:tab w:val="left" w:pos="1617"/>
        </w:tabs>
        <w:kinsoku w:val="0"/>
        <w:overflowPunct w:val="0"/>
        <w:spacing w:before="73"/>
        <w:ind w:left="1616" w:hanging="721"/>
        <w:jc w:val="both"/>
        <w:rPr>
          <w:rFonts w:hAnsi="宋体"/>
          <w:color w:val="auto"/>
        </w:rPr>
      </w:pPr>
      <w:r>
        <w:rPr>
          <w:rFonts w:hint="eastAsia" w:hAnsi="宋体"/>
          <w:color w:val="auto"/>
        </w:rPr>
        <w:t>所有响应均以人民币报价。</w:t>
      </w:r>
    </w:p>
    <w:p w14:paraId="3F61D66F">
      <w:pPr>
        <w:pStyle w:val="69"/>
        <w:numPr>
          <w:ilvl w:val="1"/>
          <w:numId w:val="10"/>
        </w:numPr>
        <w:tabs>
          <w:tab w:val="left" w:pos="2008"/>
        </w:tabs>
        <w:kinsoku w:val="0"/>
        <w:overflowPunct w:val="0"/>
        <w:spacing w:before="158" w:line="364" w:lineRule="auto"/>
        <w:ind w:left="2007" w:right="571" w:hanging="900"/>
        <w:jc w:val="both"/>
        <w:rPr>
          <w:rFonts w:hAnsi="宋体"/>
          <w:color w:val="auto"/>
        </w:rPr>
      </w:pPr>
      <w:r>
        <w:rPr>
          <w:rFonts w:hint="eastAsia" w:hAnsi="宋体"/>
          <w:color w:val="auto"/>
          <w:spacing w:val="-4"/>
        </w:rPr>
        <w:t>供应商的报价应包括为完成本项目所发生的一切费用和税费，采购人将不</w:t>
      </w:r>
      <w:r>
        <w:rPr>
          <w:rFonts w:hint="eastAsia" w:hAnsi="宋体"/>
          <w:color w:val="auto"/>
          <w:spacing w:val="-8"/>
        </w:rPr>
        <w:t>再支付报价以外的任何费用。供应商的报价应包括但不限于下列内容</w:t>
      </w:r>
      <w:r>
        <w:rPr>
          <w:rFonts w:hint="eastAsia" w:hAnsi="宋体"/>
          <w:color w:val="auto"/>
          <w:spacing w:val="-79"/>
        </w:rPr>
        <w:t>，《供</w:t>
      </w:r>
      <w:r>
        <w:rPr>
          <w:rFonts w:hint="eastAsia" w:hAnsi="宋体"/>
          <w:color w:val="auto"/>
        </w:rPr>
        <w:t>应商须知资料表》中有特殊规定的，从其规定。</w:t>
      </w:r>
    </w:p>
    <w:p w14:paraId="10CE4C55">
      <w:pPr>
        <w:pStyle w:val="69"/>
        <w:numPr>
          <w:ilvl w:val="2"/>
          <w:numId w:val="10"/>
        </w:numPr>
        <w:tabs>
          <w:tab w:val="left" w:pos="2522"/>
        </w:tabs>
        <w:kinsoku w:val="0"/>
        <w:overflowPunct w:val="0"/>
        <w:spacing w:line="364" w:lineRule="auto"/>
        <w:ind w:right="463"/>
        <w:rPr>
          <w:rFonts w:hAnsi="宋体"/>
          <w:color w:val="auto"/>
        </w:rPr>
      </w:pPr>
      <w:r>
        <w:rPr>
          <w:rFonts w:hint="eastAsia" w:hAnsi="宋体"/>
          <w:color w:val="auto"/>
          <w:spacing w:val="-9"/>
        </w:rPr>
        <w:t>响应货物及标准附件、备品备件、专用工具等的出厂价</w:t>
      </w:r>
      <w:r>
        <w:rPr>
          <w:rFonts w:hint="eastAsia" w:hAnsi="宋体"/>
          <w:color w:val="auto"/>
        </w:rPr>
        <w:t>（包括已在中国国内的进口货物完税后的仓库交货价、展室交货价或货架交货价</w:t>
      </w:r>
      <w:r>
        <w:rPr>
          <w:rFonts w:hint="eastAsia" w:hAnsi="宋体"/>
          <w:color w:val="auto"/>
          <w:spacing w:val="-17"/>
        </w:rPr>
        <w:t>）</w:t>
      </w:r>
      <w:r>
        <w:rPr>
          <w:rFonts w:hAnsi="宋体"/>
          <w:color w:val="auto"/>
          <w:spacing w:val="-17"/>
        </w:rPr>
        <w:t xml:space="preserve"> </w:t>
      </w:r>
      <w:r>
        <w:rPr>
          <w:rFonts w:hint="eastAsia" w:hAnsi="宋体"/>
          <w:color w:val="auto"/>
          <w:spacing w:val="-1"/>
        </w:rPr>
        <w:t>和运至最终目的地的运输费和保险费，安装调试、检验、技术服务、</w:t>
      </w:r>
      <w:r>
        <w:rPr>
          <w:rFonts w:hint="eastAsia" w:hAnsi="宋体"/>
          <w:color w:val="auto"/>
        </w:rPr>
        <w:t>培训、质量保证、售后服务、税费等全部费用；</w:t>
      </w:r>
    </w:p>
    <w:p w14:paraId="7BFD9358">
      <w:pPr>
        <w:pStyle w:val="69"/>
        <w:numPr>
          <w:ilvl w:val="2"/>
          <w:numId w:val="10"/>
        </w:numPr>
        <w:tabs>
          <w:tab w:val="left" w:pos="2522"/>
        </w:tabs>
        <w:kinsoku w:val="0"/>
        <w:overflowPunct w:val="0"/>
        <w:spacing w:line="305" w:lineRule="exact"/>
        <w:ind w:hanging="901"/>
        <w:rPr>
          <w:rFonts w:hAnsi="宋体"/>
          <w:color w:val="auto"/>
        </w:rPr>
      </w:pPr>
      <w:r>
        <w:rPr>
          <w:rFonts w:hint="eastAsia" w:hAnsi="宋体"/>
          <w:color w:val="auto"/>
        </w:rPr>
        <w:t>按照竞争性磋商文件要求完成本项目的全部相关费用。</w:t>
      </w:r>
    </w:p>
    <w:p w14:paraId="0889A9D5">
      <w:pPr>
        <w:pStyle w:val="69"/>
        <w:numPr>
          <w:ilvl w:val="1"/>
          <w:numId w:val="10"/>
        </w:numPr>
        <w:tabs>
          <w:tab w:val="left" w:pos="1617"/>
        </w:tabs>
        <w:kinsoku w:val="0"/>
        <w:overflowPunct w:val="0"/>
        <w:spacing w:before="159" w:line="362" w:lineRule="auto"/>
        <w:ind w:left="1616" w:right="573"/>
        <w:rPr>
          <w:rFonts w:hAnsi="宋体"/>
          <w:color w:val="auto"/>
        </w:rPr>
      </w:pPr>
      <w:r>
        <w:rPr>
          <w:rFonts w:hint="eastAsia" w:hAnsi="宋体"/>
          <w:color w:val="auto"/>
        </w:rPr>
        <w:t>采购人不得向供应商索要或者接受其给予的赠品、回扣或者与采购无关的其他商品、服务。</w:t>
      </w:r>
    </w:p>
    <w:p w14:paraId="0F0B0EBB">
      <w:pPr>
        <w:pStyle w:val="69"/>
        <w:numPr>
          <w:ilvl w:val="1"/>
          <w:numId w:val="10"/>
        </w:numPr>
        <w:tabs>
          <w:tab w:val="left" w:pos="1622"/>
        </w:tabs>
        <w:kinsoku w:val="0"/>
        <w:overflowPunct w:val="0"/>
        <w:spacing w:before="5" w:line="362" w:lineRule="auto"/>
        <w:ind w:right="570"/>
        <w:rPr>
          <w:rFonts w:hAnsi="宋体"/>
          <w:color w:val="auto"/>
          <w:spacing w:val="-1"/>
        </w:rPr>
      </w:pPr>
      <w:r>
        <w:rPr>
          <w:rFonts w:hint="eastAsia" w:hAnsi="宋体"/>
          <w:color w:val="auto"/>
        </w:rPr>
        <w:t>供应商不能提供任何有选择性或可调整的最后报价（竞争性磋商文件另有规定的除外</w:t>
      </w:r>
      <w:r>
        <w:rPr>
          <w:rFonts w:hint="eastAsia" w:hAnsi="宋体"/>
          <w:color w:val="auto"/>
          <w:spacing w:val="-120"/>
        </w:rPr>
        <w:t>）</w:t>
      </w:r>
      <w:r>
        <w:rPr>
          <w:rFonts w:hint="eastAsia" w:hAnsi="宋体"/>
          <w:color w:val="auto"/>
          <w:spacing w:val="-1"/>
        </w:rPr>
        <w:t>，否则其响应无效。</w:t>
      </w:r>
    </w:p>
    <w:p w14:paraId="02AF2FD5">
      <w:pPr>
        <w:pStyle w:val="69"/>
        <w:numPr>
          <w:ilvl w:val="0"/>
          <w:numId w:val="10"/>
        </w:numPr>
        <w:tabs>
          <w:tab w:val="left" w:pos="897"/>
        </w:tabs>
        <w:kinsoku w:val="0"/>
        <w:overflowPunct w:val="0"/>
        <w:spacing w:before="5"/>
        <w:ind w:left="796" w:leftChars="0" w:firstLineChars="0"/>
        <w:rPr>
          <w:rFonts w:hAnsi="宋体"/>
          <w:color w:val="auto"/>
        </w:rPr>
      </w:pPr>
      <w:r>
        <w:rPr>
          <w:rFonts w:hint="eastAsia" w:hAnsi="宋体"/>
          <w:color w:val="auto"/>
        </w:rPr>
        <w:t>磋商保证金（本项目不适用）</w:t>
      </w:r>
    </w:p>
    <w:p w14:paraId="6D987951">
      <w:pPr>
        <w:pStyle w:val="69"/>
        <w:numPr>
          <w:ilvl w:val="1"/>
          <w:numId w:val="10"/>
        </w:numPr>
        <w:tabs>
          <w:tab w:val="left" w:pos="1617"/>
        </w:tabs>
        <w:kinsoku w:val="0"/>
        <w:overflowPunct w:val="0"/>
        <w:spacing w:before="161"/>
        <w:ind w:left="1616" w:hanging="721"/>
        <w:jc w:val="both"/>
        <w:rPr>
          <w:rFonts w:hAnsi="宋体"/>
          <w:color w:val="auto"/>
        </w:rPr>
      </w:pPr>
      <w:r>
        <w:rPr>
          <w:rFonts w:hint="eastAsia" w:hAnsi="宋体"/>
          <w:color w:val="auto"/>
        </w:rPr>
        <w:t>供应商应按《供应商须知资料表》中规定的金额及要求交纳磋商保证金。</w:t>
      </w:r>
    </w:p>
    <w:p w14:paraId="114F2AD1">
      <w:pPr>
        <w:pStyle w:val="69"/>
        <w:numPr>
          <w:ilvl w:val="1"/>
          <w:numId w:val="10"/>
        </w:numPr>
        <w:tabs>
          <w:tab w:val="left" w:pos="1617"/>
        </w:tabs>
        <w:kinsoku w:val="0"/>
        <w:overflowPunct w:val="0"/>
        <w:spacing w:before="158" w:line="364" w:lineRule="auto"/>
        <w:ind w:left="1616" w:right="451"/>
        <w:jc w:val="both"/>
        <w:rPr>
          <w:rFonts w:hAnsi="宋体"/>
          <w:color w:val="auto"/>
        </w:rPr>
      </w:pPr>
      <w:r>
        <w:rPr>
          <w:rFonts w:hint="eastAsia" w:hAnsi="宋体"/>
          <w:color w:val="auto"/>
          <w:spacing w:val="-5"/>
        </w:rPr>
        <w:t>交纳磋商保证金可采用的形式：政府采购法律法规接受的支票、汇票、本票、</w:t>
      </w:r>
      <w:r>
        <w:rPr>
          <w:rFonts w:hint="eastAsia" w:hAnsi="宋体"/>
          <w:color w:val="auto"/>
        </w:rPr>
        <w:t>网上银行支付或者金融机构、担保机构出具的保函等非现金形式。</w:t>
      </w:r>
    </w:p>
    <w:p w14:paraId="458717A0">
      <w:pPr>
        <w:pStyle w:val="69"/>
        <w:numPr>
          <w:ilvl w:val="1"/>
          <w:numId w:val="10"/>
        </w:numPr>
        <w:tabs>
          <w:tab w:val="left" w:pos="1617"/>
        </w:tabs>
        <w:kinsoku w:val="0"/>
        <w:overflowPunct w:val="0"/>
        <w:spacing w:line="364" w:lineRule="auto"/>
        <w:ind w:left="1616" w:right="570"/>
        <w:jc w:val="both"/>
        <w:rPr>
          <w:rFonts w:hAnsi="宋体"/>
          <w:color w:val="auto"/>
        </w:rPr>
      </w:pPr>
      <w:r>
        <w:rPr>
          <w:rFonts w:hint="eastAsia" w:hAnsi="宋体"/>
          <w:color w:val="auto"/>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w:t>
      </w:r>
      <w:r>
        <w:rPr>
          <w:rFonts w:hAnsi="宋体"/>
          <w:color w:val="auto"/>
        </w:rPr>
        <w:t xml:space="preserve"> </w:t>
      </w:r>
      <w:r>
        <w:rPr>
          <w:rFonts w:hint="eastAsia" w:hAnsi="宋体"/>
          <w:color w:val="auto"/>
        </w:rPr>
        <w:t>由于到账时间晚于首次响应文件提交截止时间的，或者票据错误、印鉴不清等原因导致不能到账的，其响应无效。</w:t>
      </w:r>
    </w:p>
    <w:p w14:paraId="3BCACBEB">
      <w:pPr>
        <w:pStyle w:val="69"/>
        <w:numPr>
          <w:ilvl w:val="1"/>
          <w:numId w:val="10"/>
        </w:numPr>
        <w:tabs>
          <w:tab w:val="left" w:pos="1617"/>
        </w:tabs>
        <w:kinsoku w:val="0"/>
        <w:overflowPunct w:val="0"/>
        <w:spacing w:line="364" w:lineRule="auto"/>
        <w:ind w:left="1616" w:right="570"/>
        <w:jc w:val="both"/>
        <w:rPr>
          <w:rFonts w:hAnsi="宋体"/>
          <w:color w:val="auto"/>
        </w:rPr>
      </w:pPr>
      <w:r>
        <w:rPr>
          <w:rFonts w:hAnsi="宋体"/>
          <w:color w:val="auto"/>
          <w:lang w:val="en-US" w:eastAsia="zh-CN"/>
        </w:rPr>
        <w:t>供应商除需在响应文件中提供“磋商保证金凭证</w:t>
      </w:r>
      <w:r>
        <w:rPr>
          <w:rFonts w:hint="default" w:hAnsi="宋体"/>
          <w:color w:val="auto"/>
          <w:lang w:val="en-US" w:eastAsia="zh-CN"/>
        </w:rPr>
        <w:t>/交款单据电子件”，还需在 首次响应文件提交截止时间前，通过电子交易平台上传“磋商保证金凭证/交款单据电子件”。</w:t>
      </w:r>
    </w:p>
    <w:p w14:paraId="506C8771">
      <w:pPr>
        <w:pStyle w:val="69"/>
        <w:numPr>
          <w:ilvl w:val="1"/>
          <w:numId w:val="10"/>
        </w:numPr>
        <w:tabs>
          <w:tab w:val="left" w:pos="1617"/>
        </w:tabs>
        <w:kinsoku w:val="0"/>
        <w:overflowPunct w:val="0"/>
        <w:spacing w:line="304" w:lineRule="exact"/>
        <w:ind w:left="1616" w:hanging="721"/>
        <w:jc w:val="both"/>
        <w:rPr>
          <w:rFonts w:hAnsi="宋体"/>
          <w:color w:val="auto"/>
        </w:rPr>
      </w:pPr>
      <w:r>
        <w:rPr>
          <w:rFonts w:hint="eastAsia" w:hAnsi="宋体"/>
          <w:color w:val="auto"/>
        </w:rPr>
        <w:t>磋商保证金有效期同响应有效期。</w:t>
      </w:r>
    </w:p>
    <w:p w14:paraId="137E2FD9">
      <w:pPr>
        <w:pStyle w:val="69"/>
        <w:numPr>
          <w:ilvl w:val="1"/>
          <w:numId w:val="10"/>
        </w:numPr>
        <w:tabs>
          <w:tab w:val="left" w:pos="1617"/>
        </w:tabs>
        <w:kinsoku w:val="0"/>
        <w:overflowPunct w:val="0"/>
        <w:spacing w:before="159" w:line="362" w:lineRule="auto"/>
        <w:ind w:left="1616" w:right="573"/>
        <w:jc w:val="both"/>
        <w:rPr>
          <w:rFonts w:hAnsi="宋体"/>
          <w:color w:val="auto"/>
        </w:rPr>
      </w:pPr>
      <w:r>
        <w:rPr>
          <w:rFonts w:hint="eastAsia" w:hAnsi="宋体"/>
          <w:color w:val="auto"/>
        </w:rPr>
        <w:t>供应商为联合体的，可以由联合体中的一方或者多方共同交纳磋商保证金，</w:t>
      </w:r>
      <w:r>
        <w:rPr>
          <w:rFonts w:hAnsi="宋体"/>
          <w:color w:val="auto"/>
        </w:rPr>
        <w:t xml:space="preserve"> </w:t>
      </w:r>
      <w:r>
        <w:rPr>
          <w:rFonts w:hint="eastAsia" w:hAnsi="宋体"/>
          <w:color w:val="auto"/>
        </w:rPr>
        <w:t>其交纳的保证金对联合体各方均具有约束力。</w:t>
      </w:r>
    </w:p>
    <w:p w14:paraId="57AA24F7">
      <w:pPr>
        <w:pStyle w:val="69"/>
        <w:numPr>
          <w:ilvl w:val="1"/>
          <w:numId w:val="10"/>
        </w:numPr>
        <w:tabs>
          <w:tab w:val="left" w:pos="1617"/>
        </w:tabs>
        <w:kinsoku w:val="0"/>
        <w:overflowPunct w:val="0"/>
        <w:spacing w:before="5" w:line="364" w:lineRule="auto"/>
        <w:ind w:left="1616" w:right="573"/>
        <w:jc w:val="both"/>
        <w:rPr>
          <w:rFonts w:hAnsi="宋体"/>
          <w:color w:val="auto"/>
        </w:rPr>
      </w:pPr>
      <w:r>
        <w:rPr>
          <w:rFonts w:hint="eastAsia" w:hAnsi="宋体"/>
          <w:color w:val="auto"/>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DCEAAC0">
      <w:pPr>
        <w:pStyle w:val="69"/>
        <w:numPr>
          <w:ilvl w:val="2"/>
          <w:numId w:val="10"/>
        </w:numPr>
        <w:tabs>
          <w:tab w:val="left" w:pos="2522"/>
        </w:tabs>
        <w:kinsoku w:val="0"/>
        <w:overflowPunct w:val="0"/>
        <w:spacing w:line="304" w:lineRule="exact"/>
        <w:ind w:hanging="901"/>
        <w:jc w:val="both"/>
        <w:rPr>
          <w:rFonts w:hAnsi="宋体"/>
          <w:color w:val="auto"/>
          <w:spacing w:val="-8"/>
        </w:rPr>
      </w:pPr>
      <w:r>
        <w:rPr>
          <w:rFonts w:hint="eastAsia" w:hAnsi="宋体"/>
          <w:color w:val="auto"/>
          <w:spacing w:val="-8"/>
        </w:rPr>
        <w:t>已提交响应文件的供应商，在提交最后报价之前，可以根据磋商情况</w:t>
      </w:r>
    </w:p>
    <w:p w14:paraId="34987E30">
      <w:pPr>
        <w:pStyle w:val="17"/>
        <w:kinsoku w:val="0"/>
        <w:overflowPunct w:val="0"/>
        <w:spacing w:before="73" w:line="362" w:lineRule="auto"/>
        <w:ind w:left="2521" w:right="570"/>
        <w:rPr>
          <w:rFonts w:hAnsi="宋体"/>
          <w:color w:val="auto"/>
        </w:rPr>
      </w:pPr>
      <w:r>
        <w:rPr>
          <w:rFonts w:hint="eastAsia" w:hAnsi="宋体"/>
          <w:color w:val="auto"/>
          <w:spacing w:val="-12"/>
        </w:rPr>
        <w:t>退出磋商。采购人、采购代理机构将退还退出磋商的供应商的磋商保</w:t>
      </w:r>
      <w:r>
        <w:rPr>
          <w:rFonts w:hint="eastAsia" w:hAnsi="宋体"/>
          <w:color w:val="auto"/>
        </w:rPr>
        <w:t>证金；</w:t>
      </w:r>
    </w:p>
    <w:p w14:paraId="71D09BBE">
      <w:pPr>
        <w:pStyle w:val="69"/>
        <w:numPr>
          <w:ilvl w:val="2"/>
          <w:numId w:val="10"/>
        </w:numPr>
        <w:tabs>
          <w:tab w:val="left" w:pos="2522"/>
        </w:tabs>
        <w:kinsoku w:val="0"/>
        <w:overflowPunct w:val="0"/>
        <w:spacing w:before="4" w:line="364" w:lineRule="auto"/>
        <w:ind w:right="573"/>
        <w:rPr>
          <w:rFonts w:hAnsi="宋体"/>
          <w:color w:val="auto"/>
        </w:rPr>
      </w:pPr>
      <w:r>
        <w:rPr>
          <w:rFonts w:hint="eastAsia" w:hAnsi="宋体"/>
          <w:color w:val="auto"/>
          <w:spacing w:val="-2"/>
        </w:rPr>
        <w:t>成交供应商的磋商保证金，在采购合同签订后</w:t>
      </w:r>
      <w:r>
        <w:rPr>
          <w:rFonts w:hAnsi="宋体"/>
          <w:color w:val="auto"/>
          <w:spacing w:val="-2"/>
        </w:rPr>
        <w:t xml:space="preserve"> </w:t>
      </w:r>
      <w:r>
        <w:rPr>
          <w:rFonts w:hAnsi="宋体" w:cs="Arial"/>
          <w:color w:val="auto"/>
        </w:rPr>
        <w:t>5</w:t>
      </w:r>
      <w:r>
        <w:rPr>
          <w:rFonts w:hAnsi="宋体" w:cs="Arial"/>
          <w:color w:val="auto"/>
          <w:spacing w:val="16"/>
        </w:rPr>
        <w:t xml:space="preserve"> </w:t>
      </w:r>
      <w:r>
        <w:rPr>
          <w:rFonts w:hint="eastAsia" w:hAnsi="宋体"/>
          <w:color w:val="auto"/>
        </w:rPr>
        <w:t>个工作日内退还成交供应商；</w:t>
      </w:r>
    </w:p>
    <w:p w14:paraId="07CCD1EC">
      <w:pPr>
        <w:pStyle w:val="69"/>
        <w:numPr>
          <w:ilvl w:val="2"/>
          <w:numId w:val="10"/>
        </w:numPr>
        <w:tabs>
          <w:tab w:val="left" w:pos="2522"/>
        </w:tabs>
        <w:kinsoku w:val="0"/>
        <w:overflowPunct w:val="0"/>
        <w:spacing w:line="364" w:lineRule="auto"/>
        <w:ind w:right="573"/>
        <w:rPr>
          <w:rFonts w:hAnsi="宋体"/>
          <w:color w:val="auto"/>
        </w:rPr>
      </w:pPr>
      <w:r>
        <w:rPr>
          <w:rFonts w:hint="eastAsia" w:hAnsi="宋体"/>
          <w:color w:val="auto"/>
          <w:spacing w:val="-2"/>
        </w:rPr>
        <w:t>未成交供应商的磋商保证金，在成交通知书发出后</w:t>
      </w:r>
      <w:r>
        <w:rPr>
          <w:rFonts w:hAnsi="宋体"/>
          <w:color w:val="auto"/>
          <w:spacing w:val="-2"/>
        </w:rPr>
        <w:t xml:space="preserve"> </w:t>
      </w:r>
      <w:r>
        <w:rPr>
          <w:rFonts w:hAnsi="宋体" w:cs="Arial"/>
          <w:color w:val="auto"/>
        </w:rPr>
        <w:t>5</w:t>
      </w:r>
      <w:r>
        <w:rPr>
          <w:rFonts w:hAnsi="宋体" w:cs="Arial"/>
          <w:color w:val="auto"/>
          <w:spacing w:val="16"/>
        </w:rPr>
        <w:t xml:space="preserve"> </w:t>
      </w:r>
      <w:r>
        <w:rPr>
          <w:rFonts w:hint="eastAsia" w:hAnsi="宋体"/>
          <w:color w:val="auto"/>
        </w:rPr>
        <w:t>个工作日内退还。</w:t>
      </w:r>
    </w:p>
    <w:p w14:paraId="082931B0">
      <w:pPr>
        <w:pStyle w:val="69"/>
        <w:numPr>
          <w:ilvl w:val="1"/>
          <w:numId w:val="10"/>
        </w:numPr>
        <w:tabs>
          <w:tab w:val="left" w:pos="1617"/>
        </w:tabs>
        <w:kinsoku w:val="0"/>
        <w:overflowPunct w:val="0"/>
        <w:spacing w:line="306" w:lineRule="exact"/>
        <w:ind w:left="1616" w:hanging="721"/>
        <w:rPr>
          <w:rFonts w:hAnsi="宋体"/>
          <w:color w:val="auto"/>
        </w:rPr>
      </w:pPr>
      <w:r>
        <w:rPr>
          <w:rFonts w:hint="eastAsia" w:hAnsi="宋体"/>
          <w:color w:val="auto"/>
        </w:rPr>
        <w:t>有下列情形之一的，采购人或采购代理机构不予退还磋商保证金：</w:t>
      </w:r>
    </w:p>
    <w:p w14:paraId="1ED6CA7C">
      <w:pPr>
        <w:pStyle w:val="69"/>
        <w:numPr>
          <w:ilvl w:val="2"/>
          <w:numId w:val="10"/>
        </w:numPr>
        <w:tabs>
          <w:tab w:val="left" w:pos="2522"/>
        </w:tabs>
        <w:kinsoku w:val="0"/>
        <w:overflowPunct w:val="0"/>
        <w:spacing w:before="160"/>
        <w:ind w:hanging="901"/>
        <w:rPr>
          <w:rFonts w:hAnsi="宋体"/>
          <w:color w:val="auto"/>
        </w:rPr>
      </w:pPr>
      <w:r>
        <w:rPr>
          <w:rFonts w:hint="eastAsia" w:hAnsi="宋体"/>
          <w:color w:val="auto"/>
        </w:rPr>
        <w:t>供应商在提交响应文件截止时间后撤回响应文件的；</w:t>
      </w:r>
    </w:p>
    <w:p w14:paraId="500C9319">
      <w:pPr>
        <w:pStyle w:val="69"/>
        <w:numPr>
          <w:ilvl w:val="2"/>
          <w:numId w:val="10"/>
        </w:numPr>
        <w:tabs>
          <w:tab w:val="left" w:pos="2522"/>
        </w:tabs>
        <w:kinsoku w:val="0"/>
        <w:overflowPunct w:val="0"/>
        <w:spacing w:before="158"/>
        <w:ind w:hanging="901"/>
        <w:rPr>
          <w:rFonts w:hAnsi="宋体"/>
          <w:color w:val="auto"/>
        </w:rPr>
      </w:pPr>
      <w:r>
        <w:rPr>
          <w:rFonts w:hint="eastAsia" w:hAnsi="宋体"/>
          <w:color w:val="auto"/>
        </w:rPr>
        <w:t>供应商在响应文件中提供虚假材料的；</w:t>
      </w:r>
    </w:p>
    <w:p w14:paraId="7B508F0E">
      <w:pPr>
        <w:pStyle w:val="69"/>
        <w:numPr>
          <w:ilvl w:val="2"/>
          <w:numId w:val="10"/>
        </w:numPr>
        <w:tabs>
          <w:tab w:val="left" w:pos="2522"/>
        </w:tabs>
        <w:kinsoku w:val="0"/>
        <w:overflowPunct w:val="0"/>
        <w:spacing w:before="160" w:line="362" w:lineRule="auto"/>
        <w:ind w:right="570"/>
        <w:rPr>
          <w:rFonts w:hAnsi="宋体"/>
          <w:color w:val="auto"/>
        </w:rPr>
      </w:pPr>
      <w:r>
        <w:rPr>
          <w:rFonts w:hint="eastAsia" w:hAnsi="宋体"/>
          <w:color w:val="auto"/>
          <w:spacing w:val="-7"/>
        </w:rPr>
        <w:t>除因不可抗力或磋商文件认可的情形以外，成交供应商不与采购人签</w:t>
      </w:r>
      <w:r>
        <w:rPr>
          <w:rFonts w:hint="eastAsia" w:hAnsi="宋体"/>
          <w:color w:val="auto"/>
        </w:rPr>
        <w:t>订合同的；</w:t>
      </w:r>
    </w:p>
    <w:p w14:paraId="6BACF458">
      <w:pPr>
        <w:pStyle w:val="69"/>
        <w:numPr>
          <w:ilvl w:val="2"/>
          <w:numId w:val="10"/>
        </w:numPr>
        <w:tabs>
          <w:tab w:val="left" w:pos="2522"/>
        </w:tabs>
        <w:kinsoku w:val="0"/>
        <w:overflowPunct w:val="0"/>
        <w:spacing w:before="5"/>
        <w:ind w:hanging="901"/>
        <w:rPr>
          <w:rFonts w:hAnsi="宋体"/>
          <w:color w:val="auto"/>
        </w:rPr>
      </w:pPr>
      <w:r>
        <w:rPr>
          <w:rFonts w:hint="eastAsia" w:hAnsi="宋体"/>
          <w:color w:val="auto"/>
        </w:rPr>
        <w:t>供应商与采购人、其他供应商或者采购代理机构恶意串通的；</w:t>
      </w:r>
    </w:p>
    <w:p w14:paraId="56311902">
      <w:pPr>
        <w:pStyle w:val="69"/>
        <w:numPr>
          <w:ilvl w:val="2"/>
          <w:numId w:val="10"/>
        </w:numPr>
        <w:tabs>
          <w:tab w:val="left" w:pos="2522"/>
        </w:tabs>
        <w:kinsoku w:val="0"/>
        <w:overflowPunct w:val="0"/>
        <w:spacing w:before="158"/>
        <w:ind w:hanging="901"/>
        <w:rPr>
          <w:rFonts w:hAnsi="宋体"/>
          <w:color w:val="auto"/>
        </w:rPr>
      </w:pPr>
      <w:r>
        <w:rPr>
          <w:rFonts w:hint="eastAsia" w:hAnsi="宋体"/>
          <w:color w:val="auto"/>
        </w:rPr>
        <w:t>《供应商须知资料表》规定的其他情形。</w:t>
      </w:r>
    </w:p>
    <w:p w14:paraId="17446881">
      <w:pPr>
        <w:pStyle w:val="69"/>
        <w:numPr>
          <w:ilvl w:val="0"/>
          <w:numId w:val="10"/>
        </w:numPr>
        <w:tabs>
          <w:tab w:val="left" w:pos="897"/>
        </w:tabs>
        <w:kinsoku w:val="0"/>
        <w:overflowPunct w:val="0"/>
        <w:spacing w:before="161"/>
        <w:ind w:left="796" w:leftChars="0" w:firstLineChars="0"/>
        <w:jc w:val="both"/>
        <w:rPr>
          <w:rFonts w:hAnsi="宋体"/>
          <w:color w:val="auto"/>
        </w:rPr>
      </w:pPr>
      <w:r>
        <w:rPr>
          <w:rFonts w:hint="eastAsia" w:hAnsi="宋体"/>
          <w:color w:val="auto"/>
        </w:rPr>
        <w:t>响应有效期</w:t>
      </w:r>
    </w:p>
    <w:p w14:paraId="7DA7EA8F">
      <w:pPr>
        <w:pStyle w:val="69"/>
        <w:numPr>
          <w:ilvl w:val="1"/>
          <w:numId w:val="10"/>
        </w:numPr>
        <w:tabs>
          <w:tab w:val="left" w:pos="1617"/>
        </w:tabs>
        <w:kinsoku w:val="0"/>
        <w:overflowPunct w:val="0"/>
        <w:spacing w:before="160" w:line="362" w:lineRule="auto"/>
        <w:ind w:left="1616" w:right="573"/>
        <w:jc w:val="both"/>
        <w:rPr>
          <w:rFonts w:hAnsi="宋体"/>
          <w:color w:val="auto"/>
        </w:rPr>
      </w:pPr>
      <w:r>
        <w:rPr>
          <w:rFonts w:hint="eastAsia" w:hAnsi="宋体"/>
          <w:color w:val="auto"/>
        </w:rPr>
        <w:t>响应文件应在本竞争性磋商文件《供应商须知资料表》中规定的响应有效期内保持有效，响应有效期少于竞争性磋商文件规定期限的，其响应无效。</w:t>
      </w:r>
    </w:p>
    <w:p w14:paraId="5618B8C3">
      <w:pPr>
        <w:pStyle w:val="69"/>
        <w:numPr>
          <w:ilvl w:val="0"/>
          <w:numId w:val="10"/>
        </w:numPr>
        <w:tabs>
          <w:tab w:val="left" w:pos="897"/>
        </w:tabs>
        <w:kinsoku w:val="0"/>
        <w:overflowPunct w:val="0"/>
        <w:spacing w:before="5"/>
        <w:ind w:left="796" w:leftChars="0" w:firstLineChars="0"/>
        <w:jc w:val="both"/>
        <w:rPr>
          <w:rFonts w:hAnsi="宋体"/>
          <w:color w:val="auto"/>
        </w:rPr>
      </w:pPr>
      <w:r>
        <w:rPr>
          <w:rFonts w:hint="eastAsia" w:hAnsi="宋体"/>
          <w:color w:val="auto"/>
        </w:rPr>
        <w:t>响应文件的签署、盖章</w:t>
      </w:r>
    </w:p>
    <w:p w14:paraId="62C47C91">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1170AD3">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竞争性磋商文件要求盖章的内容，一般通过投标文件编制工具加盖电子签</w:t>
      </w:r>
      <w:r>
        <w:rPr>
          <w:rFonts w:hint="eastAsia" w:hAnsi="宋体" w:cs="宋体"/>
          <w:color w:val="auto"/>
          <w:lang w:val="en-US" w:eastAsia="zh-CN"/>
        </w:rPr>
        <w:t>章</w:t>
      </w:r>
      <w:r>
        <w:rPr>
          <w:rFonts w:hint="eastAsia" w:ascii="宋体" w:hAnsi="宋体" w:eastAsia="宋体" w:cs="宋体"/>
          <w:color w:val="auto"/>
        </w:rPr>
        <w:t>。</w:t>
      </w:r>
    </w:p>
    <w:p w14:paraId="4105C7B6">
      <w:pPr>
        <w:pStyle w:val="4"/>
        <w:tabs>
          <w:tab w:val="left" w:pos="700"/>
        </w:tabs>
        <w:kinsoku w:val="0"/>
        <w:overflowPunct w:val="0"/>
        <w:spacing w:before="61"/>
        <w:rPr>
          <w:rFonts w:hint="eastAsia" w:hAnsi="宋体"/>
          <w:color w:val="auto"/>
        </w:rPr>
      </w:pPr>
      <w:bookmarkStart w:id="33" w:name="_Toc149147701"/>
      <w:bookmarkStart w:id="34" w:name="_Toc149147546"/>
      <w:bookmarkStart w:id="35" w:name="_Toc149147479"/>
      <w:r>
        <w:rPr>
          <w:rFonts w:hint="eastAsia" w:hAnsi="宋体"/>
          <w:color w:val="auto"/>
        </w:rPr>
        <w:t>四</w:t>
      </w:r>
      <w:r>
        <w:rPr>
          <w:rFonts w:hAnsi="宋体"/>
          <w:color w:val="auto"/>
        </w:rPr>
        <w:tab/>
      </w:r>
      <w:r>
        <w:rPr>
          <w:rFonts w:hint="eastAsia" w:hAnsi="宋体"/>
          <w:color w:val="auto"/>
        </w:rPr>
        <w:t>响应文件的提交</w:t>
      </w:r>
      <w:bookmarkEnd w:id="33"/>
      <w:bookmarkEnd w:id="34"/>
      <w:bookmarkEnd w:id="35"/>
    </w:p>
    <w:p w14:paraId="32A4B3D8">
      <w:pPr>
        <w:rPr>
          <w:rFonts w:hint="eastAsia" w:hAnsi="宋体"/>
          <w:color w:val="auto"/>
        </w:rPr>
      </w:pPr>
    </w:p>
    <w:p w14:paraId="464C597C">
      <w:pPr>
        <w:pStyle w:val="69"/>
        <w:numPr>
          <w:ilvl w:val="0"/>
          <w:numId w:val="10"/>
        </w:numPr>
        <w:tabs>
          <w:tab w:val="left" w:pos="897"/>
        </w:tabs>
        <w:kinsoku w:val="0"/>
        <w:overflowPunct w:val="0"/>
        <w:spacing w:before="161"/>
        <w:ind w:left="796" w:leftChars="0" w:firstLineChars="0"/>
        <w:jc w:val="both"/>
        <w:rPr>
          <w:rFonts w:hint="eastAsia" w:ascii="宋体" w:hAnsi="宋体" w:eastAsia="宋体" w:cs="宋体"/>
          <w:color w:val="auto"/>
        </w:rPr>
      </w:pPr>
      <w:r>
        <w:rPr>
          <w:rFonts w:hint="eastAsia" w:ascii="宋体" w:hAnsi="宋体" w:eastAsia="宋体" w:cs="宋体"/>
          <w:color w:val="auto"/>
        </w:rPr>
        <w:t>响应文件的提交</w:t>
      </w:r>
    </w:p>
    <w:p w14:paraId="3CAD16A4">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本项目使用北京市政府采购电子交易平台。供应商根据竞争性磋商文件及电子交易平台供应商操作手册要求编制、生成并提交电子响应文件。</w:t>
      </w:r>
    </w:p>
    <w:p w14:paraId="1DF1055C">
      <w:pPr>
        <w:rPr>
          <w:rFonts w:hint="eastAsia" w:hAnsi="宋体"/>
          <w:color w:val="auto"/>
        </w:rPr>
      </w:pPr>
    </w:p>
    <w:p w14:paraId="2D73A085">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采购人及采购代理机构拒绝接受通过电子交易平台以外任何形式提交的响应文件，磋商保证金及现场递交的纸质版响应文件（如要求）除外。</w:t>
      </w:r>
    </w:p>
    <w:p w14:paraId="7676E4F7">
      <w:pPr>
        <w:pStyle w:val="69"/>
        <w:numPr>
          <w:ilvl w:val="0"/>
          <w:numId w:val="10"/>
        </w:numPr>
        <w:tabs>
          <w:tab w:val="left" w:pos="897"/>
        </w:tabs>
        <w:kinsoku w:val="0"/>
        <w:overflowPunct w:val="0"/>
        <w:spacing w:before="161"/>
        <w:ind w:left="796" w:leftChars="0" w:firstLineChars="0"/>
        <w:jc w:val="both"/>
        <w:rPr>
          <w:rFonts w:hint="eastAsia" w:ascii="宋体" w:hAnsi="宋体" w:eastAsia="宋体" w:cs="宋体"/>
          <w:color w:val="auto"/>
        </w:rPr>
      </w:pPr>
      <w:r>
        <w:rPr>
          <w:rFonts w:hint="eastAsia" w:ascii="宋体" w:hAnsi="宋体" w:eastAsia="宋体" w:cs="宋体"/>
          <w:color w:val="auto"/>
        </w:rPr>
        <w:t>响应文件提交截止时间</w:t>
      </w:r>
    </w:p>
    <w:p w14:paraId="51CF466F">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供应商应在竞争性磋商文件要求响应文件提交截止时间前，将电子响应文件提交至电子交易平台。</w:t>
      </w:r>
    </w:p>
    <w:p w14:paraId="679A293A">
      <w:pPr>
        <w:pStyle w:val="69"/>
        <w:numPr>
          <w:ilvl w:val="0"/>
          <w:numId w:val="10"/>
        </w:numPr>
        <w:tabs>
          <w:tab w:val="left" w:pos="897"/>
        </w:tabs>
        <w:kinsoku w:val="0"/>
        <w:overflowPunct w:val="0"/>
        <w:spacing w:before="161"/>
        <w:ind w:left="796" w:leftChars="0" w:firstLineChars="0"/>
        <w:jc w:val="both"/>
        <w:rPr>
          <w:rFonts w:hint="eastAsia" w:ascii="宋体" w:hAnsi="宋体" w:eastAsia="宋体" w:cs="宋体"/>
          <w:color w:val="auto"/>
        </w:rPr>
      </w:pPr>
      <w:r>
        <w:rPr>
          <w:rFonts w:hint="eastAsia" w:ascii="宋体" w:hAnsi="宋体" w:eastAsia="宋体" w:cs="宋体"/>
          <w:color w:val="auto"/>
        </w:rPr>
        <w:t>响应文件的修改与撤回</w:t>
      </w:r>
    </w:p>
    <w:p w14:paraId="09C177EE">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D71D0ED">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供应商对响应文件的补充、修改的内容应当按照竞争性磋商文件要求签署、盖章，作为响应文件的组成部分。补充、修改的内容与响应文件不一致的，以补充、修改的内容为准。</w:t>
      </w:r>
    </w:p>
    <w:p w14:paraId="4DEDB4FD">
      <w:pPr>
        <w:pStyle w:val="4"/>
        <w:tabs>
          <w:tab w:val="left" w:pos="700"/>
        </w:tabs>
        <w:kinsoku w:val="0"/>
        <w:overflowPunct w:val="0"/>
        <w:spacing w:before="61"/>
        <w:rPr>
          <w:rFonts w:hint="eastAsia" w:ascii="宋体" w:hAnsi="宋体" w:eastAsia="宋体" w:cs="宋体"/>
          <w:color w:val="auto"/>
        </w:rPr>
      </w:pPr>
      <w:r>
        <w:rPr>
          <w:rFonts w:hint="eastAsia" w:ascii="宋体" w:hAnsi="宋体" w:eastAsia="宋体" w:cs="宋体"/>
          <w:color w:val="auto"/>
        </w:rPr>
        <w:t>五</w:t>
      </w:r>
      <w:r>
        <w:rPr>
          <w:rFonts w:hint="eastAsia" w:ascii="宋体" w:hAnsi="宋体" w:eastAsia="宋体" w:cs="宋体"/>
          <w:color w:val="auto"/>
          <w:lang w:val="en-US" w:eastAsia="zh-CN"/>
        </w:rPr>
        <w:t xml:space="preserve">  </w:t>
      </w:r>
      <w:r>
        <w:rPr>
          <w:rFonts w:hint="eastAsia" w:ascii="宋体" w:hAnsi="宋体" w:eastAsia="宋体" w:cs="宋体"/>
          <w:color w:val="auto"/>
        </w:rPr>
        <w:t>评审</w:t>
      </w:r>
    </w:p>
    <w:p w14:paraId="2303A62E">
      <w:pPr>
        <w:rPr>
          <w:rFonts w:hint="eastAsia" w:ascii="宋体" w:hAnsi="宋体" w:eastAsia="宋体" w:cs="宋体"/>
          <w:color w:val="auto"/>
        </w:rPr>
      </w:pPr>
    </w:p>
    <w:p w14:paraId="134D8187">
      <w:pPr>
        <w:pStyle w:val="69"/>
        <w:numPr>
          <w:ilvl w:val="0"/>
          <w:numId w:val="10"/>
        </w:numPr>
        <w:tabs>
          <w:tab w:val="left" w:pos="897"/>
        </w:tabs>
        <w:kinsoku w:val="0"/>
        <w:overflowPunct w:val="0"/>
        <w:spacing w:before="161" w:line="360" w:lineRule="auto"/>
        <w:ind w:left="796" w:leftChars="0" w:firstLineChars="0"/>
        <w:jc w:val="both"/>
        <w:rPr>
          <w:rFonts w:hint="eastAsia" w:ascii="宋体" w:hAnsi="宋体" w:eastAsia="宋体" w:cs="宋体"/>
          <w:color w:val="auto"/>
        </w:rPr>
      </w:pPr>
      <w:r>
        <w:rPr>
          <w:rFonts w:hint="eastAsia" w:ascii="宋体" w:hAnsi="宋体" w:eastAsia="宋体" w:cs="宋体"/>
          <w:color w:val="auto"/>
        </w:rPr>
        <w:t>响应文件的解密与开启</w:t>
      </w:r>
    </w:p>
    <w:p w14:paraId="02346A5B">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采购人或采购代理机构将按竞争性磋商文件的规定，在响应文件提交截止时间的同一时间和竞争性磋商文件预先确定的地点开启响应文件。</w:t>
      </w:r>
    </w:p>
    <w:p w14:paraId="5B2C6DD5">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本项目解密使用北京市政府采购电子交易平台。供应商应在规定的时间内对响应文件进行解密，因非系统原因导致的解密失败，视为无效响应。</w:t>
      </w:r>
    </w:p>
    <w:p w14:paraId="2AA39498">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709B5C6">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供应商不足3 家的，不予解密。</w:t>
      </w:r>
    </w:p>
    <w:p w14:paraId="6DBA2D8B">
      <w:pPr>
        <w:pStyle w:val="69"/>
        <w:numPr>
          <w:ilvl w:val="1"/>
          <w:numId w:val="10"/>
        </w:numPr>
        <w:tabs>
          <w:tab w:val="left" w:pos="1617"/>
        </w:tabs>
        <w:kinsoku w:val="0"/>
        <w:overflowPunct w:val="0"/>
        <w:spacing w:before="160" w:line="362" w:lineRule="auto"/>
        <w:ind w:left="1616" w:right="573"/>
        <w:jc w:val="both"/>
        <w:rPr>
          <w:rFonts w:hint="eastAsia" w:ascii="宋体" w:hAnsi="宋体" w:eastAsia="宋体" w:cs="宋体"/>
          <w:color w:val="auto"/>
        </w:rPr>
      </w:pPr>
      <w:r>
        <w:rPr>
          <w:rFonts w:hint="eastAsia" w:ascii="宋体" w:hAnsi="宋体" w:eastAsia="宋体" w:cs="宋体"/>
          <w:color w:val="auto"/>
        </w:rPr>
        <w:t>本项目不公开报价。</w:t>
      </w:r>
    </w:p>
    <w:p w14:paraId="36BBCEAC">
      <w:pPr>
        <w:pStyle w:val="69"/>
        <w:numPr>
          <w:ilvl w:val="0"/>
          <w:numId w:val="10"/>
        </w:numPr>
        <w:tabs>
          <w:tab w:val="left" w:pos="897"/>
        </w:tabs>
        <w:kinsoku w:val="0"/>
        <w:overflowPunct w:val="0"/>
        <w:spacing w:before="161"/>
        <w:ind w:left="796" w:leftChars="0" w:firstLineChars="0"/>
        <w:jc w:val="both"/>
        <w:rPr>
          <w:rFonts w:hAnsi="宋体"/>
          <w:color w:val="auto"/>
        </w:rPr>
      </w:pPr>
      <w:r>
        <w:rPr>
          <w:rFonts w:hint="eastAsia" w:hAnsi="宋体"/>
          <w:color w:val="auto"/>
        </w:rPr>
        <w:t>磋商小组</w:t>
      </w:r>
    </w:p>
    <w:p w14:paraId="5E54B35A">
      <w:pPr>
        <w:pStyle w:val="69"/>
        <w:numPr>
          <w:ilvl w:val="1"/>
          <w:numId w:val="10"/>
        </w:numPr>
        <w:tabs>
          <w:tab w:val="left" w:pos="1617"/>
        </w:tabs>
        <w:kinsoku w:val="0"/>
        <w:overflowPunct w:val="0"/>
        <w:spacing w:before="158" w:line="364" w:lineRule="auto"/>
        <w:ind w:left="1616" w:right="573"/>
        <w:jc w:val="both"/>
        <w:rPr>
          <w:rFonts w:hAnsi="宋体"/>
          <w:color w:val="auto"/>
        </w:rPr>
      </w:pPr>
      <w:r>
        <w:rPr>
          <w:rFonts w:hint="eastAsia" w:hAnsi="宋体"/>
          <w:color w:val="auto"/>
        </w:rPr>
        <w:t>磋商小组根据政府采购有关规定和本次采购项目的特点进行组建，并负责具体评审与磋商事务，独立履行职责。</w:t>
      </w:r>
    </w:p>
    <w:p w14:paraId="7871346D">
      <w:pPr>
        <w:pStyle w:val="69"/>
        <w:numPr>
          <w:ilvl w:val="1"/>
          <w:numId w:val="10"/>
        </w:numPr>
        <w:tabs>
          <w:tab w:val="left" w:pos="1617"/>
        </w:tabs>
        <w:kinsoku w:val="0"/>
        <w:overflowPunct w:val="0"/>
        <w:spacing w:line="364" w:lineRule="auto"/>
        <w:ind w:left="1616" w:right="566"/>
        <w:jc w:val="both"/>
        <w:rPr>
          <w:rFonts w:hAnsi="宋体"/>
          <w:color w:val="auto"/>
        </w:rPr>
      </w:pPr>
      <w:r>
        <w:rPr>
          <w:rFonts w:hint="eastAsia" w:hAnsi="宋体"/>
          <w:color w:val="auto"/>
        </w:rPr>
        <w:t>评审专家须符合《财政部关于在政府采购活动中查询及使用信用记录有关问</w:t>
      </w:r>
      <w:r>
        <w:rPr>
          <w:rFonts w:hint="eastAsia" w:hAnsi="宋体"/>
          <w:color w:val="auto"/>
          <w:spacing w:val="-24"/>
        </w:rPr>
        <w:t>题的通知》</w:t>
      </w:r>
      <w:r>
        <w:rPr>
          <w:rFonts w:hint="eastAsia" w:hAnsi="宋体"/>
          <w:color w:val="auto"/>
        </w:rPr>
        <w:t>（财库〔</w:t>
      </w:r>
      <w:r>
        <w:rPr>
          <w:rFonts w:hAnsi="宋体" w:cs="Arial"/>
          <w:color w:val="auto"/>
        </w:rPr>
        <w:t>2016</w:t>
      </w:r>
      <w:r>
        <w:rPr>
          <w:rFonts w:hint="eastAsia" w:hAnsi="宋体"/>
          <w:color w:val="auto"/>
        </w:rPr>
        <w:t>〕</w:t>
      </w:r>
      <w:r>
        <w:rPr>
          <w:rFonts w:hAnsi="宋体" w:cs="Arial"/>
          <w:color w:val="auto"/>
        </w:rPr>
        <w:t>125</w:t>
      </w:r>
      <w:r>
        <w:rPr>
          <w:rFonts w:hAnsi="宋体" w:cs="Arial"/>
          <w:color w:val="auto"/>
          <w:spacing w:val="50"/>
        </w:rPr>
        <w:t xml:space="preserve"> </w:t>
      </w:r>
      <w:r>
        <w:rPr>
          <w:rFonts w:hint="eastAsia" w:hAnsi="宋体"/>
          <w:color w:val="auto"/>
        </w:rPr>
        <w:t>号）的规定。依法自行选定评审专家的，采购人和采购代理机构将查询有关信用记录，对具有行贿、受贿、欺诈等不良信用记录的人员，拒绝其参与政府采购活动。</w:t>
      </w:r>
    </w:p>
    <w:p w14:paraId="70427FFE">
      <w:pPr>
        <w:pStyle w:val="69"/>
        <w:numPr>
          <w:ilvl w:val="0"/>
          <w:numId w:val="10"/>
        </w:numPr>
        <w:tabs>
          <w:tab w:val="left" w:pos="902"/>
        </w:tabs>
        <w:kinsoku w:val="0"/>
        <w:overflowPunct w:val="0"/>
        <w:spacing w:line="305" w:lineRule="exact"/>
        <w:ind w:left="801" w:leftChars="0" w:hanging="361" w:firstLineChars="0"/>
        <w:jc w:val="both"/>
        <w:rPr>
          <w:rFonts w:hAnsi="宋体"/>
          <w:color w:val="auto"/>
        </w:rPr>
      </w:pPr>
      <w:r>
        <w:rPr>
          <w:rFonts w:hint="eastAsia" w:hAnsi="宋体"/>
          <w:color w:val="auto"/>
        </w:rPr>
        <w:t>评审方法和评审标准</w:t>
      </w:r>
    </w:p>
    <w:p w14:paraId="6B0F502E">
      <w:pPr>
        <w:pStyle w:val="69"/>
        <w:numPr>
          <w:ilvl w:val="1"/>
          <w:numId w:val="10"/>
        </w:numPr>
        <w:tabs>
          <w:tab w:val="left" w:pos="1617"/>
        </w:tabs>
        <w:kinsoku w:val="0"/>
        <w:overflowPunct w:val="0"/>
        <w:spacing w:before="159"/>
        <w:ind w:left="1616" w:hanging="721"/>
        <w:rPr>
          <w:rFonts w:hAnsi="宋体"/>
          <w:color w:val="auto"/>
          <w:spacing w:val="-8"/>
        </w:rPr>
      </w:pPr>
      <w:r>
        <w:rPr>
          <w:rFonts w:hint="eastAsia" w:hAnsi="宋体"/>
          <w:color w:val="auto"/>
          <w:spacing w:val="-8"/>
        </w:rPr>
        <w:t>见第三章《评审方法和评审标准》。</w:t>
      </w:r>
    </w:p>
    <w:p w14:paraId="3FED5D15">
      <w:pPr>
        <w:pStyle w:val="4"/>
        <w:tabs>
          <w:tab w:val="left" w:pos="700"/>
        </w:tabs>
        <w:kinsoku w:val="0"/>
        <w:overflowPunct w:val="0"/>
        <w:spacing w:before="237"/>
        <w:ind w:right="33"/>
        <w:rPr>
          <w:rFonts w:hAnsi="宋体"/>
          <w:color w:val="auto"/>
        </w:rPr>
      </w:pPr>
      <w:bookmarkStart w:id="36" w:name="_Toc149147703"/>
      <w:bookmarkStart w:id="37" w:name="_Toc149147548"/>
      <w:bookmarkStart w:id="38" w:name="_Toc149147481"/>
      <w:r>
        <w:rPr>
          <w:rFonts w:hint="eastAsia" w:hAnsi="宋体"/>
          <w:color w:val="auto"/>
        </w:rPr>
        <w:t>六</w:t>
      </w:r>
      <w:r>
        <w:rPr>
          <w:rFonts w:hAnsi="宋体"/>
          <w:color w:val="auto"/>
        </w:rPr>
        <w:tab/>
      </w:r>
      <w:r>
        <w:rPr>
          <w:rFonts w:hint="eastAsia" w:hAnsi="宋体"/>
          <w:color w:val="auto"/>
        </w:rPr>
        <w:t>确定成交</w:t>
      </w:r>
      <w:bookmarkEnd w:id="36"/>
      <w:bookmarkEnd w:id="37"/>
      <w:bookmarkEnd w:id="38"/>
    </w:p>
    <w:p w14:paraId="7D64F243">
      <w:pPr>
        <w:pStyle w:val="69"/>
        <w:numPr>
          <w:ilvl w:val="0"/>
          <w:numId w:val="10"/>
        </w:numPr>
        <w:tabs>
          <w:tab w:val="left" w:pos="897"/>
        </w:tabs>
        <w:kinsoku w:val="0"/>
        <w:overflowPunct w:val="0"/>
        <w:spacing w:before="183"/>
        <w:ind w:left="796" w:leftChars="0" w:firstLineChars="0"/>
        <w:rPr>
          <w:rFonts w:hAnsi="宋体"/>
          <w:color w:val="auto"/>
        </w:rPr>
      </w:pPr>
      <w:r>
        <w:rPr>
          <w:rFonts w:hint="eastAsia" w:hAnsi="宋体"/>
          <w:color w:val="auto"/>
        </w:rPr>
        <w:t>确定成交供应商</w:t>
      </w:r>
    </w:p>
    <w:p w14:paraId="5E1F418A">
      <w:pPr>
        <w:pStyle w:val="69"/>
        <w:numPr>
          <w:ilvl w:val="1"/>
          <w:numId w:val="10"/>
        </w:numPr>
        <w:tabs>
          <w:tab w:val="left" w:pos="1617"/>
        </w:tabs>
        <w:kinsoku w:val="0"/>
        <w:overflowPunct w:val="0"/>
        <w:spacing w:before="160" w:line="364" w:lineRule="auto"/>
        <w:ind w:left="1616" w:right="570"/>
        <w:jc w:val="both"/>
        <w:rPr>
          <w:rFonts w:hAnsi="宋体"/>
          <w:color w:val="auto"/>
        </w:rPr>
      </w:pPr>
      <w:r>
        <w:rPr>
          <w:rFonts w:hint="eastAsia" w:hAnsi="宋体"/>
          <w:color w:val="auto"/>
        </w:rPr>
        <w:t>采购人将在收到评审报告后，从评审报告提出的成交候选供应商中，按照排序由高到低的原则确定成交供应商。采购人是否授权磋商小组直接确定成交</w:t>
      </w:r>
      <w:r>
        <w:rPr>
          <w:rFonts w:hint="eastAsia" w:hAnsi="宋体"/>
          <w:color w:val="auto"/>
          <w:spacing w:val="-13"/>
        </w:rPr>
        <w:t>供应商，见《供应商须知资料表》。成交候选人并列的，按照《供应商须知资</w:t>
      </w:r>
      <w:r>
        <w:rPr>
          <w:rFonts w:hint="eastAsia" w:hAnsi="宋体"/>
          <w:color w:val="auto"/>
        </w:rPr>
        <w:t>料表》要求确定成交供应商。</w:t>
      </w:r>
    </w:p>
    <w:p w14:paraId="5FD4B154">
      <w:pPr>
        <w:pStyle w:val="69"/>
        <w:numPr>
          <w:ilvl w:val="0"/>
          <w:numId w:val="10"/>
        </w:numPr>
        <w:tabs>
          <w:tab w:val="left" w:pos="897"/>
        </w:tabs>
        <w:kinsoku w:val="0"/>
        <w:overflowPunct w:val="0"/>
        <w:spacing w:line="305" w:lineRule="exact"/>
        <w:ind w:left="796" w:leftChars="0" w:firstLineChars="0"/>
        <w:jc w:val="both"/>
        <w:rPr>
          <w:rFonts w:hAnsi="宋体"/>
          <w:color w:val="auto"/>
        </w:rPr>
      </w:pPr>
      <w:r>
        <w:rPr>
          <w:rFonts w:hint="eastAsia" w:hAnsi="宋体"/>
          <w:color w:val="auto"/>
        </w:rPr>
        <w:t>成交公告与成交通知书</w:t>
      </w:r>
    </w:p>
    <w:p w14:paraId="564F84CB">
      <w:pPr>
        <w:pStyle w:val="69"/>
        <w:numPr>
          <w:ilvl w:val="1"/>
          <w:numId w:val="10"/>
        </w:numPr>
        <w:tabs>
          <w:tab w:val="left" w:pos="1617"/>
        </w:tabs>
        <w:kinsoku w:val="0"/>
        <w:overflowPunct w:val="0"/>
        <w:spacing w:before="161" w:line="364" w:lineRule="auto"/>
        <w:ind w:left="1616" w:right="571"/>
        <w:jc w:val="both"/>
        <w:rPr>
          <w:rFonts w:hAnsi="宋体"/>
          <w:color w:val="auto"/>
        </w:rPr>
      </w:pPr>
      <w:r>
        <w:rPr>
          <w:rFonts w:hint="eastAsia" w:hAnsi="宋体"/>
          <w:color w:val="auto"/>
          <w:spacing w:val="-2"/>
        </w:rPr>
        <w:t>采购人或采购代理机构将在成交供应商确定后</w:t>
      </w:r>
      <w:r>
        <w:rPr>
          <w:rFonts w:hAnsi="宋体"/>
          <w:color w:val="auto"/>
          <w:spacing w:val="-2"/>
        </w:rPr>
        <w:t xml:space="preserve"> </w:t>
      </w:r>
      <w:r>
        <w:rPr>
          <w:rFonts w:hAnsi="宋体" w:cs="Arial"/>
          <w:color w:val="auto"/>
        </w:rPr>
        <w:t>2</w:t>
      </w:r>
      <w:r>
        <w:rPr>
          <w:rFonts w:hAnsi="宋体" w:cs="Arial"/>
          <w:color w:val="auto"/>
          <w:spacing w:val="16"/>
        </w:rPr>
        <w:t xml:space="preserve"> </w:t>
      </w:r>
      <w:r>
        <w:rPr>
          <w:rFonts w:hint="eastAsia" w:hAnsi="宋体"/>
          <w:color w:val="auto"/>
        </w:rPr>
        <w:t>个工作日内，在北京市政府</w:t>
      </w:r>
      <w:r>
        <w:rPr>
          <w:rFonts w:hint="eastAsia" w:hAnsi="宋体"/>
          <w:color w:val="auto"/>
          <w:spacing w:val="-12"/>
        </w:rPr>
        <w:t>采购网公告成交结果，同时向成交供应商发出成交通知书，成交公告期限为</w:t>
      </w:r>
      <w:r>
        <w:rPr>
          <w:rFonts w:hAnsi="宋体"/>
          <w:color w:val="auto"/>
          <w:spacing w:val="-12"/>
        </w:rPr>
        <w:t xml:space="preserve"> </w:t>
      </w:r>
      <w:r>
        <w:rPr>
          <w:rFonts w:hAnsi="宋体" w:cs="Arial"/>
          <w:color w:val="auto"/>
          <w:spacing w:val="-14"/>
        </w:rPr>
        <w:t xml:space="preserve">1 </w:t>
      </w:r>
      <w:r>
        <w:rPr>
          <w:rFonts w:hint="eastAsia" w:hAnsi="宋体"/>
          <w:color w:val="auto"/>
        </w:rPr>
        <w:t>个工作日。</w:t>
      </w:r>
    </w:p>
    <w:p w14:paraId="5C3C1D60">
      <w:pPr>
        <w:pStyle w:val="69"/>
        <w:numPr>
          <w:ilvl w:val="1"/>
          <w:numId w:val="10"/>
        </w:numPr>
        <w:tabs>
          <w:tab w:val="left" w:pos="1622"/>
        </w:tabs>
        <w:kinsoku w:val="0"/>
        <w:overflowPunct w:val="0"/>
        <w:spacing w:line="364" w:lineRule="auto"/>
        <w:ind w:right="571"/>
        <w:jc w:val="both"/>
        <w:rPr>
          <w:rFonts w:hAnsi="宋体"/>
          <w:color w:val="auto"/>
        </w:rPr>
      </w:pPr>
      <w:r>
        <w:rPr>
          <w:rFonts w:hint="eastAsia" w:hAnsi="宋体"/>
          <w:color w:val="auto"/>
        </w:rPr>
        <w:t>成交通知书对采购人和成交供应商均具有法律效力。成交通知书发出后，采购人改变成交结果的，或者成交供应商放弃成交项目的，应当依法承担法律责任。</w:t>
      </w:r>
    </w:p>
    <w:p w14:paraId="125ED9F2">
      <w:pPr>
        <w:pStyle w:val="69"/>
        <w:numPr>
          <w:ilvl w:val="0"/>
          <w:numId w:val="10"/>
        </w:numPr>
        <w:tabs>
          <w:tab w:val="left" w:pos="897"/>
        </w:tabs>
        <w:kinsoku w:val="0"/>
        <w:overflowPunct w:val="0"/>
        <w:spacing w:line="304" w:lineRule="exact"/>
        <w:ind w:left="796" w:leftChars="0" w:firstLineChars="0"/>
        <w:rPr>
          <w:rFonts w:hAnsi="宋体"/>
          <w:color w:val="auto"/>
        </w:rPr>
      </w:pPr>
      <w:r>
        <w:rPr>
          <w:rFonts w:hint="eastAsia" w:hAnsi="宋体"/>
          <w:color w:val="auto"/>
        </w:rPr>
        <w:t>终止</w:t>
      </w:r>
    </w:p>
    <w:p w14:paraId="2E428553">
      <w:pPr>
        <w:pStyle w:val="69"/>
        <w:numPr>
          <w:ilvl w:val="1"/>
          <w:numId w:val="10"/>
        </w:numPr>
        <w:tabs>
          <w:tab w:val="left" w:pos="1617"/>
        </w:tabs>
        <w:kinsoku w:val="0"/>
        <w:overflowPunct w:val="0"/>
        <w:spacing w:before="160" w:line="362" w:lineRule="auto"/>
        <w:ind w:left="1616" w:right="573"/>
        <w:rPr>
          <w:rFonts w:hAnsi="宋体"/>
          <w:color w:val="auto"/>
        </w:rPr>
      </w:pPr>
      <w:r>
        <w:rPr>
          <w:rFonts w:hint="eastAsia" w:hAnsi="宋体"/>
          <w:color w:val="auto"/>
        </w:rPr>
        <w:t>出现下列情形之一的，采购人或采购代理机构将终止竞争性磋商采购活动，</w:t>
      </w:r>
      <w:r>
        <w:rPr>
          <w:rFonts w:hAnsi="宋体"/>
          <w:color w:val="auto"/>
        </w:rPr>
        <w:t xml:space="preserve"> </w:t>
      </w:r>
      <w:r>
        <w:rPr>
          <w:rFonts w:hint="eastAsia" w:hAnsi="宋体"/>
          <w:color w:val="auto"/>
        </w:rPr>
        <w:t>发布项目终止公告并说明原因，重新开展采购活动：</w:t>
      </w:r>
    </w:p>
    <w:p w14:paraId="3DAA960B">
      <w:pPr>
        <w:pStyle w:val="69"/>
        <w:numPr>
          <w:ilvl w:val="2"/>
          <w:numId w:val="10"/>
        </w:numPr>
        <w:tabs>
          <w:tab w:val="left" w:pos="2522"/>
        </w:tabs>
        <w:kinsoku w:val="0"/>
        <w:overflowPunct w:val="0"/>
        <w:spacing w:before="3"/>
        <w:ind w:hanging="901"/>
        <w:jc w:val="both"/>
        <w:rPr>
          <w:rFonts w:hAnsi="宋体"/>
          <w:color w:val="auto"/>
        </w:rPr>
      </w:pPr>
      <w:r>
        <w:rPr>
          <w:rFonts w:hint="eastAsia" w:hAnsi="宋体"/>
          <w:color w:val="auto"/>
        </w:rPr>
        <w:t>因情况变化，不再符合规定的竞争性磋商采购方式适用情形的；</w:t>
      </w:r>
    </w:p>
    <w:p w14:paraId="44CD2D4A">
      <w:pPr>
        <w:pStyle w:val="69"/>
        <w:numPr>
          <w:ilvl w:val="2"/>
          <w:numId w:val="10"/>
        </w:numPr>
        <w:tabs>
          <w:tab w:val="left" w:pos="2522"/>
        </w:tabs>
        <w:kinsoku w:val="0"/>
        <w:overflowPunct w:val="0"/>
        <w:spacing w:before="160"/>
        <w:ind w:hanging="901"/>
        <w:jc w:val="both"/>
        <w:rPr>
          <w:rFonts w:hAnsi="宋体"/>
          <w:color w:val="auto"/>
        </w:rPr>
      </w:pPr>
      <w:r>
        <w:rPr>
          <w:rFonts w:hint="eastAsia" w:hAnsi="宋体"/>
          <w:color w:val="auto"/>
        </w:rPr>
        <w:t>出现影响采购公正的违法、违规行为的；</w:t>
      </w:r>
    </w:p>
    <w:p w14:paraId="0B29C296">
      <w:pPr>
        <w:pStyle w:val="69"/>
        <w:numPr>
          <w:ilvl w:val="2"/>
          <w:numId w:val="10"/>
        </w:numPr>
        <w:tabs>
          <w:tab w:val="left" w:pos="2522"/>
        </w:tabs>
        <w:kinsoku w:val="0"/>
        <w:overflowPunct w:val="0"/>
        <w:spacing w:before="161" w:line="364" w:lineRule="auto"/>
        <w:ind w:right="568"/>
        <w:jc w:val="both"/>
        <w:rPr>
          <w:rFonts w:hAnsi="宋体"/>
          <w:color w:val="auto"/>
        </w:rPr>
      </w:pPr>
      <w:r>
        <w:rPr>
          <w:rFonts w:hint="eastAsia" w:hAnsi="宋体"/>
          <w:color w:val="auto"/>
        </w:rPr>
        <w:t>除了</w:t>
      </w:r>
      <w:r>
        <w:rPr>
          <w:rFonts w:hAnsi="宋体" w:cs="Arial"/>
          <w:color w:val="auto"/>
          <w:w w:val="135"/>
        </w:rPr>
        <w:t>“</w:t>
      </w:r>
      <w:r>
        <w:rPr>
          <w:rFonts w:hint="eastAsia" w:hAnsi="宋体"/>
          <w:color w:val="auto"/>
        </w:rPr>
        <w:t>市场竞争不充分的科研项目，以及需要扶持的科技成果转化项</w:t>
      </w:r>
      <w:r>
        <w:rPr>
          <w:rFonts w:hint="eastAsia" w:hAnsi="宋体"/>
          <w:color w:val="auto"/>
          <w:spacing w:val="-3"/>
        </w:rPr>
        <w:t>目，提交最后报价的供应商可以为</w:t>
      </w:r>
      <w:r>
        <w:rPr>
          <w:rFonts w:hAnsi="宋体"/>
          <w:color w:val="auto"/>
          <w:spacing w:val="-3"/>
        </w:rPr>
        <w:t xml:space="preserve"> </w:t>
      </w:r>
      <w:r>
        <w:rPr>
          <w:rFonts w:hAnsi="宋体" w:cs="Arial"/>
          <w:color w:val="auto"/>
        </w:rPr>
        <w:t>2</w:t>
      </w:r>
      <w:r>
        <w:rPr>
          <w:rFonts w:hAnsi="宋体" w:cs="Arial"/>
          <w:color w:val="auto"/>
          <w:spacing w:val="15"/>
        </w:rPr>
        <w:t xml:space="preserve"> </w:t>
      </w:r>
      <w:r>
        <w:rPr>
          <w:rFonts w:hint="eastAsia" w:hAnsi="宋体"/>
          <w:color w:val="auto"/>
        </w:rPr>
        <w:t>家；政府购买服务项目（</w:t>
      </w:r>
      <w:r>
        <w:rPr>
          <w:rFonts w:hint="eastAsia" w:hAnsi="宋体"/>
          <w:color w:val="auto"/>
          <w:spacing w:val="2"/>
        </w:rPr>
        <w:t>含政府和社会资本合作项目</w:t>
      </w:r>
      <w:r>
        <w:rPr>
          <w:rFonts w:hint="eastAsia" w:hAnsi="宋体"/>
          <w:color w:val="auto"/>
          <w:spacing w:val="-36"/>
        </w:rPr>
        <w:t>），</w:t>
      </w:r>
      <w:r>
        <w:rPr>
          <w:rFonts w:hint="eastAsia" w:hAnsi="宋体"/>
          <w:color w:val="auto"/>
          <w:spacing w:val="-3"/>
        </w:rPr>
        <w:t>在采购过程中符合要求的供应商</w:t>
      </w:r>
      <w:r>
        <w:rPr>
          <w:rFonts w:hint="eastAsia" w:hAnsi="宋体"/>
          <w:color w:val="auto"/>
        </w:rPr>
        <w:t>（</w:t>
      </w:r>
      <w:r>
        <w:rPr>
          <w:rFonts w:hint="eastAsia" w:hAnsi="宋体"/>
          <w:color w:val="auto"/>
          <w:spacing w:val="-5"/>
        </w:rPr>
        <w:t>社会资</w:t>
      </w:r>
      <w:r>
        <w:rPr>
          <w:rFonts w:hint="eastAsia" w:hAnsi="宋体"/>
          <w:color w:val="auto"/>
        </w:rPr>
        <w:t>本</w:t>
      </w:r>
      <w:r>
        <w:rPr>
          <w:rFonts w:hint="eastAsia" w:hAnsi="宋体"/>
          <w:color w:val="auto"/>
          <w:spacing w:val="-10"/>
        </w:rPr>
        <w:t>）</w:t>
      </w:r>
      <w:r>
        <w:rPr>
          <w:rFonts w:hint="eastAsia" w:hAnsi="宋体"/>
          <w:color w:val="auto"/>
          <w:spacing w:val="-16"/>
        </w:rPr>
        <w:t>只有</w:t>
      </w:r>
      <w:r>
        <w:rPr>
          <w:rFonts w:hAnsi="宋体"/>
          <w:color w:val="auto"/>
          <w:spacing w:val="-16"/>
        </w:rPr>
        <w:t xml:space="preserve"> </w:t>
      </w:r>
      <w:r>
        <w:rPr>
          <w:rFonts w:hAnsi="宋体" w:cs="Arial"/>
          <w:color w:val="auto"/>
        </w:rPr>
        <w:t>2</w:t>
      </w:r>
      <w:r>
        <w:rPr>
          <w:rFonts w:hAnsi="宋体" w:cs="Arial"/>
          <w:color w:val="auto"/>
          <w:spacing w:val="9"/>
        </w:rPr>
        <w:t xml:space="preserve"> </w:t>
      </w:r>
      <w:r>
        <w:rPr>
          <w:rFonts w:hint="eastAsia" w:hAnsi="宋体"/>
          <w:color w:val="auto"/>
          <w:spacing w:val="-3"/>
        </w:rPr>
        <w:t>家的，竞争性磋商采购活动可以继续进行</w:t>
      </w:r>
      <w:r>
        <w:rPr>
          <w:rFonts w:hAnsi="宋体" w:cs="Arial"/>
          <w:color w:val="auto"/>
          <w:w w:val="135"/>
        </w:rPr>
        <w:t>”</w:t>
      </w:r>
      <w:r>
        <w:rPr>
          <w:rFonts w:hint="eastAsia" w:hAnsi="宋体"/>
          <w:color w:val="auto"/>
          <w:spacing w:val="-4"/>
        </w:rPr>
        <w:t>的情形外，在</w:t>
      </w:r>
      <w:r>
        <w:rPr>
          <w:rFonts w:hint="eastAsia" w:hAnsi="宋体"/>
          <w:color w:val="auto"/>
          <w:spacing w:val="2"/>
        </w:rPr>
        <w:t>采购过程中符合要求的供应商或者报价未超过采购预算的供应商不</w:t>
      </w:r>
      <w:r>
        <w:rPr>
          <w:rFonts w:hint="eastAsia" w:hAnsi="宋体"/>
          <w:color w:val="auto"/>
          <w:spacing w:val="-30"/>
        </w:rPr>
        <w:t>足</w:t>
      </w:r>
      <w:r>
        <w:rPr>
          <w:rFonts w:hAnsi="宋体"/>
          <w:color w:val="auto"/>
          <w:spacing w:val="-30"/>
        </w:rPr>
        <w:t xml:space="preserve"> </w:t>
      </w:r>
      <w:r>
        <w:rPr>
          <w:rFonts w:hAnsi="宋体" w:cs="Arial"/>
          <w:color w:val="auto"/>
        </w:rPr>
        <w:t>3</w:t>
      </w:r>
      <w:r>
        <w:rPr>
          <w:rFonts w:hAnsi="宋体" w:cs="Arial"/>
          <w:color w:val="auto"/>
          <w:spacing w:val="-9"/>
        </w:rPr>
        <w:t xml:space="preserve"> </w:t>
      </w:r>
      <w:r>
        <w:rPr>
          <w:rFonts w:hint="eastAsia" w:hAnsi="宋体"/>
          <w:color w:val="auto"/>
        </w:rPr>
        <w:t>家的。</w:t>
      </w:r>
    </w:p>
    <w:p w14:paraId="4798AFC0">
      <w:pPr>
        <w:pStyle w:val="69"/>
        <w:numPr>
          <w:ilvl w:val="0"/>
          <w:numId w:val="10"/>
        </w:numPr>
        <w:tabs>
          <w:tab w:val="left" w:pos="897"/>
        </w:tabs>
        <w:kinsoku w:val="0"/>
        <w:overflowPunct w:val="0"/>
        <w:spacing w:line="304" w:lineRule="exact"/>
        <w:ind w:left="796" w:leftChars="0" w:firstLineChars="0"/>
        <w:jc w:val="both"/>
        <w:rPr>
          <w:rFonts w:hAnsi="宋体"/>
          <w:color w:val="auto"/>
        </w:rPr>
      </w:pPr>
      <w:r>
        <w:rPr>
          <w:rFonts w:hint="eastAsia" w:hAnsi="宋体"/>
          <w:color w:val="auto"/>
        </w:rPr>
        <w:t>签订合同</w:t>
      </w:r>
    </w:p>
    <w:p w14:paraId="1333D9A2">
      <w:pPr>
        <w:pStyle w:val="69"/>
        <w:numPr>
          <w:ilvl w:val="1"/>
          <w:numId w:val="10"/>
        </w:numPr>
        <w:tabs>
          <w:tab w:val="left" w:pos="1617"/>
        </w:tabs>
        <w:kinsoku w:val="0"/>
        <w:overflowPunct w:val="0"/>
        <w:spacing w:before="158" w:line="364" w:lineRule="auto"/>
        <w:ind w:left="1616" w:right="571"/>
        <w:jc w:val="both"/>
        <w:rPr>
          <w:rFonts w:hAnsi="宋体"/>
          <w:color w:val="auto"/>
        </w:rPr>
      </w:pPr>
      <w:r>
        <w:rPr>
          <w:rFonts w:hint="eastAsia" w:hAnsi="宋体"/>
          <w:color w:val="auto"/>
          <w:spacing w:val="-2"/>
        </w:rPr>
        <w:t>采购人与成交供应商应当在成交通知书发出之日起</w:t>
      </w:r>
      <w:r>
        <w:rPr>
          <w:rFonts w:hAnsi="宋体"/>
          <w:color w:val="auto"/>
          <w:spacing w:val="-2"/>
        </w:rPr>
        <w:t xml:space="preserve"> </w:t>
      </w:r>
      <w:r>
        <w:rPr>
          <w:rFonts w:hAnsi="宋体" w:cs="Arial"/>
          <w:color w:val="auto"/>
        </w:rPr>
        <w:t>30</w:t>
      </w:r>
      <w:r>
        <w:rPr>
          <w:rFonts w:hAnsi="宋体" w:cs="Arial"/>
          <w:color w:val="auto"/>
          <w:spacing w:val="11"/>
        </w:rPr>
        <w:t xml:space="preserve"> </w:t>
      </w:r>
      <w:r>
        <w:rPr>
          <w:rFonts w:hint="eastAsia" w:hAnsi="宋体"/>
          <w:color w:val="auto"/>
          <w:spacing w:val="-15"/>
        </w:rPr>
        <w:t>日内，按照磋商文件确</w:t>
      </w:r>
      <w:r>
        <w:rPr>
          <w:rFonts w:hint="eastAsia" w:hAnsi="宋体"/>
          <w:color w:val="auto"/>
        </w:rPr>
        <w:t>定的合同文本以及采购标的、规格型号、采购金额、采购数量、技术和服务要求等事项签订政府采购合同。</w:t>
      </w:r>
    </w:p>
    <w:p w14:paraId="17946132">
      <w:pPr>
        <w:pStyle w:val="69"/>
        <w:numPr>
          <w:ilvl w:val="1"/>
          <w:numId w:val="10"/>
        </w:numPr>
        <w:tabs>
          <w:tab w:val="left" w:pos="1617"/>
        </w:tabs>
        <w:kinsoku w:val="0"/>
        <w:overflowPunct w:val="0"/>
        <w:spacing w:line="307" w:lineRule="exact"/>
        <w:ind w:left="1616" w:hanging="721"/>
        <w:jc w:val="both"/>
        <w:rPr>
          <w:rFonts w:hAnsi="宋体"/>
          <w:color w:val="auto"/>
        </w:rPr>
      </w:pPr>
      <w:r>
        <w:rPr>
          <w:rFonts w:hint="eastAsia" w:hAnsi="宋体"/>
          <w:color w:val="auto"/>
        </w:rPr>
        <w:t>成交供应商拒绝签订政府采购合同的，采购人可以按照评审报告推荐的成交</w:t>
      </w:r>
    </w:p>
    <w:p w14:paraId="1B2931FF">
      <w:pPr>
        <w:pStyle w:val="17"/>
        <w:kinsoku w:val="0"/>
        <w:overflowPunct w:val="0"/>
        <w:spacing w:before="72" w:line="362" w:lineRule="auto"/>
        <w:ind w:left="1616" w:right="407"/>
        <w:rPr>
          <w:rFonts w:hAnsi="宋体"/>
          <w:color w:val="auto"/>
        </w:rPr>
      </w:pPr>
      <w:r>
        <w:rPr>
          <w:rFonts w:hint="eastAsia" w:hAnsi="宋体"/>
          <w:color w:val="auto"/>
        </w:rPr>
        <w:t>候选人名单排序，确定下一候选人为成交供应商，也可以重新开展采购活动。拒绝签订政府采购合同的成交供应商不得参加对该项目重新开展的采购活动。</w:t>
      </w:r>
    </w:p>
    <w:p w14:paraId="466ED1EB">
      <w:pPr>
        <w:pStyle w:val="69"/>
        <w:numPr>
          <w:ilvl w:val="1"/>
          <w:numId w:val="10"/>
        </w:numPr>
        <w:tabs>
          <w:tab w:val="left" w:pos="1617"/>
        </w:tabs>
        <w:kinsoku w:val="0"/>
        <w:overflowPunct w:val="0"/>
        <w:spacing w:before="5" w:line="364" w:lineRule="auto"/>
        <w:ind w:left="1616" w:right="573"/>
        <w:rPr>
          <w:rFonts w:hAnsi="宋体"/>
          <w:color w:val="auto"/>
        </w:rPr>
      </w:pPr>
      <w:r>
        <w:rPr>
          <w:rFonts w:hint="eastAsia" w:hAnsi="宋体"/>
          <w:color w:val="auto"/>
        </w:rPr>
        <w:t>联合体成交的，联合体各方应当共同与采购人签订合同，就采购合同约定的事项向采购人承担连带责任。</w:t>
      </w:r>
    </w:p>
    <w:p w14:paraId="2ECE40AA">
      <w:pPr>
        <w:pStyle w:val="69"/>
        <w:numPr>
          <w:ilvl w:val="1"/>
          <w:numId w:val="10"/>
        </w:numPr>
        <w:tabs>
          <w:tab w:val="left" w:pos="1617"/>
        </w:tabs>
        <w:kinsoku w:val="0"/>
        <w:overflowPunct w:val="0"/>
        <w:spacing w:line="306" w:lineRule="exact"/>
        <w:ind w:left="1616" w:hanging="721"/>
        <w:rPr>
          <w:rFonts w:hAnsi="宋体"/>
          <w:color w:val="auto"/>
        </w:rPr>
      </w:pPr>
      <w:r>
        <w:rPr>
          <w:rFonts w:hint="eastAsia" w:hAnsi="宋体"/>
          <w:color w:val="auto"/>
        </w:rPr>
        <w:t>政府采购合同不能转包。</w:t>
      </w:r>
    </w:p>
    <w:p w14:paraId="5026DFF6">
      <w:pPr>
        <w:pStyle w:val="69"/>
        <w:numPr>
          <w:ilvl w:val="1"/>
          <w:numId w:val="10"/>
        </w:numPr>
        <w:tabs>
          <w:tab w:val="left" w:pos="1617"/>
        </w:tabs>
        <w:kinsoku w:val="0"/>
        <w:overflowPunct w:val="0"/>
        <w:spacing w:before="161" w:line="364" w:lineRule="auto"/>
        <w:ind w:left="1616" w:right="566"/>
        <w:jc w:val="both"/>
        <w:rPr>
          <w:rFonts w:hAnsi="宋体"/>
          <w:color w:val="auto"/>
        </w:rPr>
      </w:pPr>
      <w:r>
        <w:rPr>
          <w:rFonts w:hint="eastAsia" w:hAnsi="宋体"/>
          <w:color w:val="auto"/>
        </w:rPr>
        <w:t>采购人允许采用分包方式履行合同的，成交供应商可以依法采取分包方式履</w:t>
      </w:r>
      <w:r>
        <w:rPr>
          <w:rFonts w:hint="eastAsia" w:hAnsi="宋体"/>
          <w:color w:val="auto"/>
          <w:spacing w:val="-11"/>
        </w:rPr>
        <w:t>行合同。本项目是否允许分包，见《供应商须知资料表》。政府采购合同分包</w:t>
      </w:r>
      <w:r>
        <w:rPr>
          <w:rFonts w:hint="eastAsia" w:hAnsi="宋体"/>
          <w:color w:val="auto"/>
        </w:rPr>
        <w:t>履行的，应当在响应文件中载明分包承担主体，分包承担主体应当具备相应资质条件且不得再次分包，否则响应无效。成交供应商就采购项目和分包项目向采购人负责，分包供应商就分包项目承担责任。</w:t>
      </w:r>
    </w:p>
    <w:p w14:paraId="3C94C7C6">
      <w:pPr>
        <w:pStyle w:val="69"/>
        <w:numPr>
          <w:ilvl w:val="1"/>
          <w:numId w:val="10"/>
        </w:numPr>
        <w:tabs>
          <w:tab w:val="left" w:pos="1617"/>
        </w:tabs>
        <w:kinsoku w:val="0"/>
        <w:overflowPunct w:val="0"/>
        <w:spacing w:before="161" w:line="364" w:lineRule="auto"/>
        <w:ind w:left="1616" w:right="566"/>
        <w:jc w:val="both"/>
        <w:rPr>
          <w:rFonts w:hAnsi="宋体"/>
          <w:color w:val="auto"/>
        </w:rPr>
      </w:pPr>
      <w:r>
        <w:rPr>
          <w:rFonts w:hAnsi="宋体"/>
          <w:color w:val="auto"/>
          <w:lang w:val="en-US" w:eastAsia="zh-CN"/>
        </w:rPr>
        <w:t>“政采贷”融资指引：详见《供应商须知资料表》。</w:t>
      </w:r>
    </w:p>
    <w:p w14:paraId="1032F526">
      <w:pPr>
        <w:pStyle w:val="69"/>
        <w:numPr>
          <w:ilvl w:val="0"/>
          <w:numId w:val="10"/>
        </w:numPr>
        <w:tabs>
          <w:tab w:val="left" w:pos="897"/>
        </w:tabs>
        <w:kinsoku w:val="0"/>
        <w:overflowPunct w:val="0"/>
        <w:spacing w:line="303" w:lineRule="exact"/>
        <w:ind w:left="796" w:leftChars="0" w:firstLineChars="0"/>
        <w:jc w:val="both"/>
        <w:rPr>
          <w:rFonts w:hAnsi="宋体"/>
          <w:color w:val="auto"/>
        </w:rPr>
      </w:pPr>
      <w:r>
        <w:rPr>
          <w:rFonts w:hint="eastAsia" w:hAnsi="宋体"/>
          <w:color w:val="auto"/>
        </w:rPr>
        <w:t>询问与质疑</w:t>
      </w:r>
    </w:p>
    <w:p w14:paraId="5A1E0BBB">
      <w:pPr>
        <w:pStyle w:val="69"/>
        <w:numPr>
          <w:ilvl w:val="1"/>
          <w:numId w:val="10"/>
        </w:numPr>
        <w:tabs>
          <w:tab w:val="left" w:pos="1617"/>
        </w:tabs>
        <w:kinsoku w:val="0"/>
        <w:overflowPunct w:val="0"/>
        <w:spacing w:before="160"/>
        <w:ind w:left="1616" w:hanging="721"/>
        <w:rPr>
          <w:rFonts w:hAnsi="宋体"/>
          <w:color w:val="auto"/>
        </w:rPr>
      </w:pPr>
      <w:r>
        <w:rPr>
          <w:rFonts w:hint="eastAsia" w:hAnsi="宋体"/>
          <w:color w:val="auto"/>
        </w:rPr>
        <w:t>询问</w:t>
      </w:r>
    </w:p>
    <w:p w14:paraId="06C4DBD7">
      <w:pPr>
        <w:pStyle w:val="69"/>
        <w:numPr>
          <w:ilvl w:val="2"/>
          <w:numId w:val="10"/>
        </w:numPr>
        <w:tabs>
          <w:tab w:val="left" w:pos="2522"/>
        </w:tabs>
        <w:kinsoku w:val="0"/>
        <w:overflowPunct w:val="0"/>
        <w:spacing w:before="159" w:line="364" w:lineRule="auto"/>
        <w:ind w:right="570"/>
        <w:rPr>
          <w:rFonts w:hAnsi="宋体"/>
          <w:color w:val="auto"/>
        </w:rPr>
      </w:pPr>
      <w:r>
        <w:rPr>
          <w:rFonts w:hint="eastAsia" w:hAnsi="宋体"/>
          <w:color w:val="auto"/>
          <w:lang w:val="en-US" w:eastAsia="zh-CN"/>
        </w:rPr>
        <w:t>供应商对政府采购活动事项有疑问的，可依法向采购人或采购代理机构提出询问，提出形式见《供应商须知资料表》。</w:t>
      </w:r>
    </w:p>
    <w:p w14:paraId="75BEE5D8">
      <w:pPr>
        <w:pStyle w:val="69"/>
        <w:numPr>
          <w:ilvl w:val="2"/>
          <w:numId w:val="10"/>
        </w:numPr>
        <w:tabs>
          <w:tab w:val="left" w:pos="2522"/>
        </w:tabs>
        <w:kinsoku w:val="0"/>
        <w:overflowPunct w:val="0"/>
        <w:spacing w:before="1" w:line="362" w:lineRule="auto"/>
        <w:ind w:right="571"/>
        <w:rPr>
          <w:rFonts w:hAnsi="宋体"/>
          <w:color w:val="auto"/>
        </w:rPr>
      </w:pPr>
      <w:r>
        <w:rPr>
          <w:rFonts w:hint="eastAsia" w:hAnsi="宋体"/>
          <w:color w:val="auto"/>
          <w:spacing w:val="-2"/>
        </w:rPr>
        <w:t>采购人或采购代理机构对供应商依法提出的询问，在</w:t>
      </w:r>
      <w:r>
        <w:rPr>
          <w:rFonts w:hAnsi="宋体"/>
          <w:color w:val="auto"/>
          <w:spacing w:val="-2"/>
        </w:rPr>
        <w:t xml:space="preserve"> </w:t>
      </w:r>
      <w:r>
        <w:rPr>
          <w:rFonts w:hAnsi="宋体" w:cs="Arial"/>
          <w:color w:val="auto"/>
        </w:rPr>
        <w:t>3</w:t>
      </w:r>
      <w:r>
        <w:rPr>
          <w:rFonts w:hAnsi="宋体" w:cs="Arial"/>
          <w:color w:val="auto"/>
          <w:spacing w:val="15"/>
        </w:rPr>
        <w:t xml:space="preserve"> </w:t>
      </w:r>
      <w:r>
        <w:rPr>
          <w:rFonts w:hint="eastAsia" w:hAnsi="宋体"/>
          <w:color w:val="auto"/>
        </w:rPr>
        <w:t>个工作日内作出答复，但答复的内容不得涉及商业秘密。</w:t>
      </w:r>
    </w:p>
    <w:p w14:paraId="3FDB291D">
      <w:pPr>
        <w:pStyle w:val="69"/>
        <w:numPr>
          <w:ilvl w:val="1"/>
          <w:numId w:val="10"/>
        </w:numPr>
        <w:tabs>
          <w:tab w:val="left" w:pos="1617"/>
        </w:tabs>
        <w:kinsoku w:val="0"/>
        <w:overflowPunct w:val="0"/>
        <w:spacing w:before="5"/>
        <w:ind w:left="1616" w:hanging="721"/>
        <w:rPr>
          <w:rFonts w:hAnsi="宋体"/>
          <w:color w:val="auto"/>
        </w:rPr>
      </w:pPr>
      <w:r>
        <w:rPr>
          <w:rFonts w:hint="eastAsia" w:hAnsi="宋体"/>
          <w:color w:val="auto"/>
        </w:rPr>
        <w:t>质疑</w:t>
      </w:r>
    </w:p>
    <w:p w14:paraId="029B78A9">
      <w:pPr>
        <w:pStyle w:val="69"/>
        <w:numPr>
          <w:ilvl w:val="2"/>
          <w:numId w:val="10"/>
        </w:numPr>
        <w:tabs>
          <w:tab w:val="left" w:pos="2522"/>
        </w:tabs>
        <w:kinsoku w:val="0"/>
        <w:overflowPunct w:val="0"/>
        <w:spacing w:before="158" w:line="364" w:lineRule="auto"/>
        <w:ind w:right="451"/>
        <w:rPr>
          <w:rFonts w:hAnsi="宋体"/>
          <w:color w:val="auto"/>
        </w:rPr>
      </w:pPr>
      <w:r>
        <w:rPr>
          <w:rFonts w:hint="eastAsia" w:hAnsi="宋体"/>
          <w:color w:val="auto"/>
          <w:spacing w:val="-8"/>
        </w:rPr>
        <w:t>供应商认为竞争性磋商文件、采购过程、成交结果使自己的权益受到</w:t>
      </w:r>
      <w:r>
        <w:rPr>
          <w:rFonts w:hint="eastAsia" w:hAnsi="宋体"/>
          <w:color w:val="auto"/>
          <w:spacing w:val="-9"/>
        </w:rPr>
        <w:t>损害的，可以在知道或者应知其权益受到损害之日起</w:t>
      </w:r>
      <w:r>
        <w:rPr>
          <w:rFonts w:hAnsi="宋体"/>
          <w:color w:val="auto"/>
          <w:spacing w:val="-9"/>
        </w:rPr>
        <w:t xml:space="preserve"> </w:t>
      </w:r>
      <w:r>
        <w:rPr>
          <w:rFonts w:hAnsi="宋体" w:cs="Arial"/>
          <w:color w:val="auto"/>
        </w:rPr>
        <w:t>7</w:t>
      </w:r>
      <w:r>
        <w:rPr>
          <w:rFonts w:hAnsi="宋体" w:cs="Arial"/>
          <w:color w:val="auto"/>
          <w:spacing w:val="2"/>
        </w:rPr>
        <w:t xml:space="preserve"> </w:t>
      </w:r>
      <w:r>
        <w:rPr>
          <w:rFonts w:hint="eastAsia" w:hAnsi="宋体"/>
          <w:color w:val="auto"/>
          <w:spacing w:val="-3"/>
        </w:rPr>
        <w:t>个工作日内，</w:t>
      </w:r>
      <w:r>
        <w:rPr>
          <w:rFonts w:hAnsi="宋体"/>
          <w:color w:val="auto"/>
          <w:spacing w:val="-3"/>
        </w:rPr>
        <w:t xml:space="preserve"> </w:t>
      </w:r>
      <w:r>
        <w:rPr>
          <w:rFonts w:hint="eastAsia" w:hAnsi="宋体"/>
          <w:color w:val="auto"/>
          <w:spacing w:val="-8"/>
        </w:rPr>
        <w:t>以书面形式向采购人、采购代理机构提出质疑。采购人、采购代理机</w:t>
      </w:r>
      <w:r>
        <w:rPr>
          <w:rFonts w:hint="eastAsia" w:hAnsi="宋体"/>
          <w:color w:val="auto"/>
          <w:spacing w:val="-14"/>
        </w:rPr>
        <w:t>构在收到质疑函后</w:t>
      </w:r>
      <w:r>
        <w:rPr>
          <w:rFonts w:hAnsi="宋体"/>
          <w:color w:val="auto"/>
          <w:spacing w:val="-14"/>
        </w:rPr>
        <w:t xml:space="preserve"> </w:t>
      </w:r>
      <w:r>
        <w:rPr>
          <w:rFonts w:hAnsi="宋体" w:cs="Arial"/>
          <w:color w:val="auto"/>
        </w:rPr>
        <w:t>7</w:t>
      </w:r>
      <w:r>
        <w:rPr>
          <w:rFonts w:hAnsi="宋体" w:cs="Arial"/>
          <w:color w:val="auto"/>
          <w:spacing w:val="-9"/>
        </w:rPr>
        <w:t xml:space="preserve"> </w:t>
      </w:r>
      <w:r>
        <w:rPr>
          <w:rFonts w:hint="eastAsia" w:hAnsi="宋体"/>
          <w:color w:val="auto"/>
        </w:rPr>
        <w:t>个工作日内作出答复。</w:t>
      </w:r>
    </w:p>
    <w:p w14:paraId="3BC2F871">
      <w:pPr>
        <w:pStyle w:val="69"/>
        <w:numPr>
          <w:ilvl w:val="2"/>
          <w:numId w:val="10"/>
        </w:numPr>
        <w:tabs>
          <w:tab w:val="left" w:pos="2522"/>
        </w:tabs>
        <w:kinsoku w:val="0"/>
        <w:overflowPunct w:val="0"/>
        <w:spacing w:line="364" w:lineRule="auto"/>
        <w:ind w:right="570"/>
        <w:jc w:val="both"/>
        <w:rPr>
          <w:rFonts w:hAnsi="宋体"/>
          <w:color w:val="auto"/>
        </w:rPr>
      </w:pPr>
      <w:r>
        <w:rPr>
          <w:rFonts w:hint="eastAsia" w:hAnsi="宋体"/>
          <w:color w:val="auto"/>
          <w:spacing w:val="-7"/>
        </w:rPr>
        <w:t>质疑函须使用财政部制定的范本文件。供应商为自然人的，质疑函应</w:t>
      </w:r>
      <w:r>
        <w:rPr>
          <w:rFonts w:hint="eastAsia" w:hAnsi="宋体"/>
          <w:color w:val="auto"/>
          <w:spacing w:val="-11"/>
        </w:rPr>
        <w:t>当由本人签字；供应商为法人或者其他组织的，质疑函应当由法定代</w:t>
      </w:r>
      <w:r>
        <w:rPr>
          <w:rFonts w:hint="eastAsia" w:hAnsi="宋体"/>
          <w:color w:val="auto"/>
        </w:rPr>
        <w:t>表人、主要负责人，或者其授权代表签字或者盖章，并加盖公章。</w:t>
      </w:r>
    </w:p>
    <w:p w14:paraId="770203AC">
      <w:pPr>
        <w:pStyle w:val="69"/>
        <w:numPr>
          <w:ilvl w:val="2"/>
          <w:numId w:val="10"/>
        </w:numPr>
        <w:tabs>
          <w:tab w:val="left" w:pos="2522"/>
        </w:tabs>
        <w:kinsoku w:val="0"/>
        <w:overflowPunct w:val="0"/>
        <w:spacing w:line="364" w:lineRule="auto"/>
        <w:ind w:right="450"/>
        <w:rPr>
          <w:rFonts w:hAnsi="宋体"/>
          <w:color w:val="auto"/>
          <w:spacing w:val="-7"/>
        </w:rPr>
      </w:pPr>
      <w:r>
        <w:rPr>
          <w:rFonts w:hint="eastAsia" w:hAnsi="宋体"/>
          <w:color w:val="auto"/>
          <w:spacing w:val="-8"/>
        </w:rPr>
        <w:t>供应商委托代理人进行质疑的，应当随质疑函同时提交供应商签署的</w:t>
      </w:r>
      <w:r>
        <w:rPr>
          <w:rFonts w:hint="eastAsia" w:hAnsi="宋体"/>
          <w:color w:val="auto"/>
          <w:spacing w:val="-18"/>
        </w:rPr>
        <w:t>授权委托书。授权委托书应当载明代理人的姓名或者名称、代理事项、</w:t>
      </w:r>
      <w:r>
        <w:rPr>
          <w:rFonts w:hint="eastAsia" w:hAnsi="宋体"/>
          <w:color w:val="auto"/>
        </w:rPr>
        <w:t>具体权限、期限和相关事项。供应商为自然人的，应当由本人签字；</w:t>
      </w:r>
      <w:r>
        <w:rPr>
          <w:rFonts w:hAnsi="宋体"/>
          <w:color w:val="auto"/>
        </w:rPr>
        <w:t xml:space="preserve"> </w:t>
      </w:r>
      <w:r>
        <w:rPr>
          <w:rFonts w:hint="eastAsia" w:hAnsi="宋体"/>
          <w:color w:val="auto"/>
          <w:spacing w:val="-7"/>
        </w:rPr>
        <w:t>供应商为法人或者其他组织的，应当由法定代表人、主要负责人签字或者盖章，并加盖公章。</w:t>
      </w:r>
    </w:p>
    <w:p w14:paraId="20E6A230">
      <w:pPr>
        <w:pStyle w:val="69"/>
        <w:numPr>
          <w:ilvl w:val="2"/>
          <w:numId w:val="10"/>
        </w:numPr>
        <w:tabs>
          <w:tab w:val="left" w:pos="2522"/>
        </w:tabs>
        <w:kinsoku w:val="0"/>
        <w:overflowPunct w:val="0"/>
        <w:spacing w:line="303" w:lineRule="exact"/>
        <w:ind w:hanging="901"/>
        <w:rPr>
          <w:rFonts w:hAnsi="宋体"/>
          <w:color w:val="auto"/>
        </w:rPr>
      </w:pPr>
      <w:r>
        <w:rPr>
          <w:rFonts w:hint="eastAsia" w:hAnsi="宋体"/>
          <w:color w:val="auto"/>
        </w:rPr>
        <w:t>供应商应在法定质疑期内一次性提出针对同一采购程序环节的质疑，</w:t>
      </w:r>
    </w:p>
    <w:p w14:paraId="39B6EAC0">
      <w:pPr>
        <w:pStyle w:val="17"/>
        <w:kinsoku w:val="0"/>
        <w:overflowPunct w:val="0"/>
        <w:spacing w:before="72" w:line="362" w:lineRule="auto"/>
        <w:ind w:left="2521" w:right="570"/>
        <w:rPr>
          <w:rFonts w:hAnsi="宋体"/>
          <w:color w:val="auto"/>
        </w:rPr>
      </w:pPr>
      <w:r>
        <w:rPr>
          <w:rFonts w:hint="eastAsia" w:hAnsi="宋体"/>
          <w:color w:val="auto"/>
          <w:spacing w:val="-6"/>
        </w:rPr>
        <w:t>法定质疑期内针对同一采购程序环节再次提出的质疑，采购人、采购</w:t>
      </w:r>
      <w:r>
        <w:rPr>
          <w:rFonts w:hint="eastAsia" w:hAnsi="宋体"/>
          <w:color w:val="auto"/>
        </w:rPr>
        <w:t>代理机构有权不予答复。</w:t>
      </w:r>
    </w:p>
    <w:p w14:paraId="42547CE2">
      <w:pPr>
        <w:pStyle w:val="69"/>
        <w:numPr>
          <w:ilvl w:val="1"/>
          <w:numId w:val="10"/>
        </w:numPr>
        <w:tabs>
          <w:tab w:val="left" w:pos="1617"/>
        </w:tabs>
        <w:kinsoku w:val="0"/>
        <w:overflowPunct w:val="0"/>
        <w:spacing w:before="5"/>
        <w:ind w:left="1616" w:hanging="721"/>
        <w:rPr>
          <w:rFonts w:hAnsi="宋体"/>
          <w:color w:val="auto"/>
          <w:spacing w:val="-4"/>
        </w:rPr>
      </w:pPr>
      <w:r>
        <w:rPr>
          <w:rFonts w:hint="eastAsia" w:hAnsi="宋体"/>
          <w:color w:val="auto"/>
          <w:spacing w:val="-4"/>
        </w:rPr>
        <w:t>接收询问和质疑的联系部门、联系电话和通讯地址见《供应商须知资料表》。</w:t>
      </w:r>
    </w:p>
    <w:p w14:paraId="017E76EC">
      <w:pPr>
        <w:pStyle w:val="69"/>
        <w:numPr>
          <w:ilvl w:val="0"/>
          <w:numId w:val="10"/>
        </w:numPr>
        <w:tabs>
          <w:tab w:val="left" w:pos="897"/>
        </w:tabs>
        <w:kinsoku w:val="0"/>
        <w:overflowPunct w:val="0"/>
        <w:spacing w:before="161"/>
        <w:ind w:left="796" w:leftChars="0" w:firstLineChars="0"/>
        <w:rPr>
          <w:rFonts w:hAnsi="宋体"/>
          <w:color w:val="auto"/>
        </w:rPr>
      </w:pPr>
      <w:r>
        <w:rPr>
          <w:rFonts w:hint="eastAsia" w:hAnsi="宋体"/>
          <w:color w:val="auto"/>
        </w:rPr>
        <w:t>代理费</w:t>
      </w:r>
    </w:p>
    <w:p w14:paraId="31D0C99C">
      <w:pPr>
        <w:pStyle w:val="69"/>
        <w:numPr>
          <w:ilvl w:val="1"/>
          <w:numId w:val="10"/>
        </w:numPr>
        <w:tabs>
          <w:tab w:val="left" w:pos="1617"/>
        </w:tabs>
        <w:kinsoku w:val="0"/>
        <w:overflowPunct w:val="0"/>
        <w:spacing w:before="158" w:line="364" w:lineRule="auto"/>
        <w:ind w:left="1616" w:right="450"/>
        <w:rPr>
          <w:rFonts w:hAnsi="宋体"/>
          <w:color w:val="auto"/>
          <w:spacing w:val="-8"/>
        </w:rPr>
      </w:pPr>
      <w:r>
        <w:rPr>
          <w:rFonts w:hint="eastAsia" w:hAnsi="宋体"/>
          <w:color w:val="auto"/>
          <w:spacing w:val="-10"/>
        </w:rPr>
        <w:t>收费对象、收费标准及缴纳时间见《供应商须知资料表》。由成交供应商支付</w:t>
      </w:r>
      <w:r>
        <w:rPr>
          <w:rFonts w:hint="eastAsia" w:hAnsi="宋体"/>
          <w:color w:val="auto"/>
          <w:spacing w:val="-8"/>
        </w:rPr>
        <w:t>的，成交供应商须一次性向采购代理机构缴纳代理费，报价应包含代理费用。</w:t>
      </w:r>
    </w:p>
    <w:p w14:paraId="41507C70">
      <w:pPr>
        <w:pStyle w:val="69"/>
        <w:numPr>
          <w:ilvl w:val="1"/>
          <w:numId w:val="10"/>
        </w:numPr>
        <w:tabs>
          <w:tab w:val="left" w:pos="1617"/>
        </w:tabs>
        <w:kinsoku w:val="0"/>
        <w:overflowPunct w:val="0"/>
        <w:spacing w:before="158" w:line="364" w:lineRule="auto"/>
        <w:ind w:left="1616" w:right="450"/>
        <w:rPr>
          <w:rFonts w:hAnsi="宋体"/>
          <w:color w:val="auto"/>
          <w:spacing w:val="-8"/>
        </w:rPr>
        <w:sectPr>
          <w:pgSz w:w="11910" w:h="16840"/>
          <w:pgMar w:top="1340" w:right="560" w:bottom="1080" w:left="1160" w:header="879" w:footer="879" w:gutter="0"/>
          <w:pgNumType w:fmt="decimal"/>
          <w:cols w:space="720" w:num="1"/>
        </w:sectPr>
      </w:pPr>
    </w:p>
    <w:p w14:paraId="77172B04">
      <w:pPr>
        <w:pStyle w:val="2"/>
        <w:tabs>
          <w:tab w:val="left" w:pos="1622"/>
        </w:tabs>
        <w:kinsoku w:val="0"/>
        <w:overflowPunct w:val="0"/>
        <w:ind w:right="26"/>
        <w:rPr>
          <w:rFonts w:hAnsi="宋体"/>
          <w:color w:val="auto"/>
        </w:rPr>
      </w:pPr>
      <w:bookmarkStart w:id="39" w:name="_Toc149147549"/>
      <w:bookmarkStart w:id="40" w:name="_Toc149147704"/>
      <w:r>
        <w:rPr>
          <w:rFonts w:hint="eastAsia" w:hAnsi="宋体"/>
          <w:color w:val="auto"/>
          <w:lang w:val="en-US" w:eastAsia="zh-CN"/>
        </w:rPr>
        <w:t xml:space="preserve"> </w:t>
      </w:r>
      <w:r>
        <w:rPr>
          <w:rFonts w:hint="eastAsia" w:hAnsi="宋体"/>
          <w:color w:val="auto"/>
        </w:rPr>
        <w:t>第三章</w:t>
      </w:r>
      <w:r>
        <w:rPr>
          <w:rFonts w:hAnsi="宋体"/>
          <w:color w:val="auto"/>
        </w:rPr>
        <w:tab/>
      </w:r>
      <w:r>
        <w:rPr>
          <w:rFonts w:hint="eastAsia" w:hAnsi="宋体"/>
          <w:color w:val="auto"/>
        </w:rPr>
        <w:t>评审方法和评审标准</w:t>
      </w:r>
      <w:bookmarkEnd w:id="39"/>
      <w:bookmarkEnd w:id="40"/>
    </w:p>
    <w:p w14:paraId="3FE05E74">
      <w:pPr>
        <w:pStyle w:val="17"/>
        <w:kinsoku w:val="0"/>
        <w:overflowPunct w:val="0"/>
        <w:spacing w:before="239"/>
        <w:ind w:right="22"/>
        <w:jc w:val="center"/>
        <w:rPr>
          <w:rFonts w:hAnsi="宋体"/>
          <w:color w:val="auto"/>
        </w:rPr>
      </w:pPr>
      <w:r>
        <w:rPr>
          <w:rFonts w:hint="eastAsia" w:hAnsi="宋体"/>
          <w:color w:val="auto"/>
        </w:rPr>
        <w:t>一、资格审查程序</w:t>
      </w:r>
    </w:p>
    <w:p w14:paraId="37CFD22C">
      <w:pPr>
        <w:pStyle w:val="17"/>
        <w:kinsoku w:val="0"/>
        <w:overflowPunct w:val="0"/>
        <w:spacing w:before="3"/>
        <w:rPr>
          <w:rFonts w:hAnsi="宋体"/>
          <w:color w:val="auto"/>
          <w:sz w:val="34"/>
          <w:szCs w:val="34"/>
        </w:rPr>
      </w:pPr>
    </w:p>
    <w:p w14:paraId="79A175BD">
      <w:pPr>
        <w:pStyle w:val="69"/>
        <w:numPr>
          <w:ilvl w:val="0"/>
          <w:numId w:val="11"/>
        </w:numPr>
        <w:tabs>
          <w:tab w:val="left" w:pos="902"/>
        </w:tabs>
        <w:kinsoku w:val="0"/>
        <w:overflowPunct w:val="0"/>
        <w:ind w:hanging="361"/>
        <w:jc w:val="both"/>
        <w:rPr>
          <w:rFonts w:hAnsi="宋体"/>
          <w:color w:val="auto"/>
        </w:rPr>
      </w:pPr>
      <w:r>
        <w:rPr>
          <w:rFonts w:hint="eastAsia" w:hAnsi="宋体"/>
          <w:color w:val="auto"/>
        </w:rPr>
        <w:t>响应文件的资格审查和符合性审查</w:t>
      </w:r>
    </w:p>
    <w:p w14:paraId="4C6E2E91">
      <w:pPr>
        <w:pStyle w:val="69"/>
        <w:numPr>
          <w:ilvl w:val="1"/>
          <w:numId w:val="11"/>
        </w:numPr>
        <w:tabs>
          <w:tab w:val="left" w:pos="1617"/>
        </w:tabs>
        <w:kinsoku w:val="0"/>
        <w:overflowPunct w:val="0"/>
        <w:spacing w:before="158" w:line="364" w:lineRule="auto"/>
        <w:ind w:right="573"/>
        <w:jc w:val="both"/>
        <w:rPr>
          <w:rFonts w:hAnsi="宋体"/>
          <w:color w:val="auto"/>
        </w:rPr>
      </w:pPr>
      <w:r>
        <w:rPr>
          <w:rFonts w:hint="eastAsia" w:hAnsi="宋体"/>
          <w:color w:val="auto"/>
        </w:rPr>
        <w:t>磋商小组将根据《资格审查要求》和《符合性审查要求》中规定的内容，对供应商进行检查，并形成检查结果。供应商《响应文件》有任何一项不符合</w:t>
      </w:r>
    </w:p>
    <w:p w14:paraId="5877B90B">
      <w:pPr>
        <w:pStyle w:val="17"/>
        <w:kinsoku w:val="0"/>
        <w:overflowPunct w:val="0"/>
        <w:spacing w:line="364" w:lineRule="auto"/>
        <w:ind w:left="1616" w:right="568"/>
        <w:jc w:val="both"/>
        <w:rPr>
          <w:rFonts w:hAnsi="宋体"/>
          <w:color w:val="auto"/>
        </w:rPr>
      </w:pPr>
      <w:r>
        <w:rPr>
          <w:rFonts w:hint="eastAsia" w:hAnsi="宋体"/>
          <w:color w:val="auto"/>
        </w:rPr>
        <w:t>《资格审查要求》和《符合性审查要求》要求的，视为未实质性响应磋商文件。未实质性响应磋商文件的响应文件按无效响应处理，磋商小组应当告知提交响应文件的供应商。</w:t>
      </w:r>
    </w:p>
    <w:p w14:paraId="6231A877">
      <w:pPr>
        <w:pStyle w:val="69"/>
        <w:numPr>
          <w:ilvl w:val="1"/>
          <w:numId w:val="11"/>
        </w:numPr>
        <w:tabs>
          <w:tab w:val="left" w:pos="1617"/>
        </w:tabs>
        <w:kinsoku w:val="0"/>
        <w:overflowPunct w:val="0"/>
        <w:spacing w:line="362" w:lineRule="auto"/>
        <w:ind w:right="571"/>
        <w:jc w:val="both"/>
        <w:rPr>
          <w:rFonts w:hAnsi="宋体"/>
          <w:color w:val="auto"/>
        </w:rPr>
      </w:pPr>
      <w:r>
        <w:rPr>
          <w:rFonts w:hint="eastAsia" w:hAnsi="宋体"/>
          <w:color w:val="auto"/>
          <w:spacing w:val="-19"/>
        </w:rPr>
        <w:t>《资格审查要求》中对格式有要求的，除竞争性磋商文件另有规定外，均为</w:t>
      </w:r>
      <w:r>
        <w:rPr>
          <w:rFonts w:hAnsi="宋体" w:cs="Arial"/>
          <w:color w:val="auto"/>
          <w:w w:val="135"/>
        </w:rPr>
        <w:t>“</w:t>
      </w:r>
      <w:r>
        <w:rPr>
          <w:rFonts w:hint="eastAsia" w:hAnsi="宋体"/>
          <w:color w:val="auto"/>
          <w:spacing w:val="-14"/>
        </w:rPr>
        <w:t>实</w:t>
      </w:r>
      <w:r>
        <w:rPr>
          <w:rFonts w:hint="eastAsia" w:hAnsi="宋体"/>
          <w:color w:val="auto"/>
        </w:rPr>
        <w:t>质性格式</w:t>
      </w:r>
      <w:r>
        <w:rPr>
          <w:rFonts w:hAnsi="宋体" w:cs="Arial"/>
          <w:color w:val="auto"/>
          <w:w w:val="135"/>
        </w:rPr>
        <w:t>”</w:t>
      </w:r>
      <w:r>
        <w:rPr>
          <w:rFonts w:hint="eastAsia" w:hAnsi="宋体"/>
          <w:color w:val="auto"/>
        </w:rPr>
        <w:t>文件。</w:t>
      </w:r>
    </w:p>
    <w:p w14:paraId="44493A00">
      <w:pPr>
        <w:pStyle w:val="69"/>
        <w:numPr>
          <w:ilvl w:val="1"/>
          <w:numId w:val="11"/>
        </w:numPr>
        <w:tabs>
          <w:tab w:val="left" w:pos="1617"/>
        </w:tabs>
        <w:kinsoku w:val="0"/>
        <w:overflowPunct w:val="0"/>
        <w:spacing w:before="4"/>
        <w:ind w:hanging="721"/>
        <w:jc w:val="both"/>
        <w:rPr>
          <w:rFonts w:hAnsi="宋体"/>
          <w:color w:val="auto"/>
        </w:rPr>
      </w:pPr>
      <w:r>
        <w:rPr>
          <w:rFonts w:hint="eastAsia" w:hAnsi="宋体"/>
          <w:color w:val="auto"/>
        </w:rPr>
        <w:t>《资格审查要求》见下表：</w:t>
      </w:r>
    </w:p>
    <w:p w14:paraId="0C97EE3B">
      <w:pPr>
        <w:pStyle w:val="17"/>
        <w:kinsoku w:val="0"/>
        <w:overflowPunct w:val="0"/>
        <w:spacing w:before="1" w:after="1"/>
        <w:rPr>
          <w:rFonts w:hAnsi="宋体"/>
          <w:color w:val="auto"/>
          <w:sz w:val="12"/>
          <w:szCs w:val="12"/>
        </w:rPr>
      </w:pPr>
    </w:p>
    <w:p w14:paraId="7B1E3B1A">
      <w:pPr>
        <w:tabs>
          <w:tab w:val="left" w:pos="900"/>
          <w:tab w:val="left" w:pos="1080"/>
        </w:tabs>
        <w:snapToGrid w:val="0"/>
        <w:spacing w:line="360" w:lineRule="auto"/>
        <w:ind w:left="1077" w:firstLine="2650" w:firstLineChars="1100"/>
        <w:rPr>
          <w:rFonts w:hAnsi="宋体"/>
          <w:b/>
          <w:color w:val="auto"/>
          <w:sz w:val="24"/>
        </w:rPr>
      </w:pPr>
      <w:r>
        <w:rPr>
          <w:rFonts w:hint="eastAsia" w:hAnsi="宋体"/>
          <w:b/>
          <w:color w:val="auto"/>
          <w:sz w:val="24"/>
        </w:rPr>
        <w:t>资格性检查要求</w:t>
      </w:r>
    </w:p>
    <w:tbl>
      <w:tblPr>
        <w:tblStyle w:val="43"/>
        <w:tblW w:w="48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
        <w:gridCol w:w="2220"/>
        <w:gridCol w:w="5403"/>
        <w:gridCol w:w="1497"/>
      </w:tblGrid>
      <w:tr w14:paraId="22FE9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69" w:type="pct"/>
            <w:vAlign w:val="center"/>
          </w:tcPr>
          <w:p w14:paraId="0A4C1E63">
            <w:pPr>
              <w:tabs>
                <w:tab w:val="left" w:pos="1080"/>
              </w:tabs>
              <w:snapToGrid w:val="0"/>
              <w:jc w:val="center"/>
              <w:rPr>
                <w:rFonts w:ascii="宋体" w:hAnsi="宋体" w:cs="宋体"/>
                <w:b/>
                <w:color w:val="auto"/>
                <w:sz w:val="24"/>
              </w:rPr>
            </w:pPr>
            <w:bookmarkStart w:id="41" w:name="_Hlk143693460"/>
            <w:r>
              <w:rPr>
                <w:rFonts w:hint="eastAsia" w:ascii="宋体" w:hAnsi="宋体" w:cs="宋体"/>
                <w:b/>
                <w:color w:val="auto"/>
                <w:sz w:val="24"/>
              </w:rPr>
              <w:t>序号</w:t>
            </w:r>
          </w:p>
        </w:tc>
        <w:tc>
          <w:tcPr>
            <w:tcW w:w="1102" w:type="pct"/>
            <w:vAlign w:val="center"/>
          </w:tcPr>
          <w:p w14:paraId="48568DFE">
            <w:pPr>
              <w:tabs>
                <w:tab w:val="left" w:pos="1080"/>
              </w:tabs>
              <w:snapToGrid w:val="0"/>
              <w:jc w:val="center"/>
              <w:rPr>
                <w:rFonts w:ascii="宋体" w:hAnsi="宋体" w:cs="宋体"/>
                <w:b/>
                <w:color w:val="auto"/>
                <w:sz w:val="24"/>
              </w:rPr>
            </w:pPr>
            <w:r>
              <w:rPr>
                <w:rFonts w:hint="eastAsia" w:ascii="宋体" w:hAnsi="宋体" w:cs="宋体"/>
                <w:b/>
                <w:color w:val="auto"/>
                <w:sz w:val="24"/>
              </w:rPr>
              <w:t>审查因素</w:t>
            </w:r>
          </w:p>
        </w:tc>
        <w:tc>
          <w:tcPr>
            <w:tcW w:w="2684" w:type="pct"/>
            <w:vAlign w:val="center"/>
          </w:tcPr>
          <w:p w14:paraId="63B31F0B">
            <w:pPr>
              <w:tabs>
                <w:tab w:val="left" w:pos="1080"/>
              </w:tabs>
              <w:snapToGrid w:val="0"/>
              <w:jc w:val="center"/>
              <w:rPr>
                <w:rFonts w:ascii="宋体" w:hAnsi="宋体" w:cs="宋体"/>
                <w:b/>
                <w:color w:val="auto"/>
                <w:sz w:val="24"/>
              </w:rPr>
            </w:pPr>
            <w:r>
              <w:rPr>
                <w:rFonts w:hint="eastAsia" w:ascii="宋体" w:hAnsi="宋体" w:cs="宋体"/>
                <w:b/>
                <w:color w:val="auto"/>
                <w:sz w:val="24"/>
              </w:rPr>
              <w:t>审查内容</w:t>
            </w:r>
          </w:p>
        </w:tc>
        <w:tc>
          <w:tcPr>
            <w:tcW w:w="743" w:type="pct"/>
            <w:vAlign w:val="center"/>
          </w:tcPr>
          <w:p w14:paraId="6DAB3DAB">
            <w:pPr>
              <w:tabs>
                <w:tab w:val="left" w:pos="1080"/>
              </w:tabs>
              <w:snapToGrid w:val="0"/>
              <w:jc w:val="center"/>
              <w:rPr>
                <w:rFonts w:ascii="宋体" w:hAnsi="宋体" w:cs="宋体"/>
                <w:b/>
                <w:color w:val="auto"/>
                <w:sz w:val="24"/>
              </w:rPr>
            </w:pPr>
            <w:r>
              <w:rPr>
                <w:rFonts w:hint="eastAsia" w:ascii="宋体" w:hAnsi="宋体" w:cs="宋体"/>
                <w:b/>
                <w:color w:val="auto"/>
                <w:sz w:val="24"/>
              </w:rPr>
              <w:t>格式要求</w:t>
            </w:r>
          </w:p>
        </w:tc>
      </w:tr>
      <w:tr w14:paraId="3CFD4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307A8C29">
            <w:pPr>
              <w:tabs>
                <w:tab w:val="left" w:pos="1080"/>
              </w:tabs>
              <w:snapToGrid w:val="0"/>
              <w:jc w:val="center"/>
              <w:rPr>
                <w:rFonts w:ascii="宋体" w:hAnsi="宋体" w:cs="宋体"/>
                <w:color w:val="auto"/>
                <w:sz w:val="24"/>
              </w:rPr>
            </w:pPr>
            <w:r>
              <w:rPr>
                <w:rFonts w:hint="eastAsia" w:ascii="宋体" w:hAnsi="宋体" w:cs="宋体"/>
                <w:color w:val="auto"/>
                <w:sz w:val="24"/>
              </w:rPr>
              <w:t>1</w:t>
            </w:r>
          </w:p>
        </w:tc>
        <w:tc>
          <w:tcPr>
            <w:tcW w:w="1102" w:type="pct"/>
            <w:vAlign w:val="center"/>
          </w:tcPr>
          <w:p w14:paraId="400D44C0">
            <w:pPr>
              <w:tabs>
                <w:tab w:val="left" w:pos="1080"/>
              </w:tabs>
              <w:snapToGrid w:val="0"/>
              <w:rPr>
                <w:rFonts w:ascii="宋体" w:hAnsi="宋体" w:cs="宋体"/>
                <w:color w:val="auto"/>
                <w:sz w:val="24"/>
              </w:rPr>
            </w:pPr>
            <w:r>
              <w:rPr>
                <w:rFonts w:hint="eastAsia" w:ascii="宋体" w:hAnsi="宋体" w:cs="宋体"/>
                <w:color w:val="auto"/>
                <w:sz w:val="24"/>
              </w:rPr>
              <w:t>满足《中华人民共和国政府采购法》第二十二条规定</w:t>
            </w:r>
          </w:p>
        </w:tc>
        <w:tc>
          <w:tcPr>
            <w:tcW w:w="2684" w:type="pct"/>
            <w:vAlign w:val="center"/>
          </w:tcPr>
          <w:p w14:paraId="39154A57">
            <w:pPr>
              <w:tabs>
                <w:tab w:val="left" w:pos="1080"/>
              </w:tabs>
              <w:snapToGrid w:val="0"/>
              <w:rPr>
                <w:rFonts w:ascii="宋体" w:hAnsi="宋体" w:cs="宋体"/>
                <w:color w:val="auto"/>
                <w:sz w:val="24"/>
              </w:rPr>
            </w:pPr>
            <w:r>
              <w:rPr>
                <w:rFonts w:hint="eastAsia" w:ascii="宋体" w:hAnsi="宋体" w:cs="宋体"/>
                <w:color w:val="auto"/>
                <w:sz w:val="24"/>
              </w:rPr>
              <w:t>具体规定见第一章《</w:t>
            </w:r>
            <w:r>
              <w:rPr>
                <w:rFonts w:hint="eastAsia" w:ascii="宋体" w:hAnsi="宋体" w:cs="宋体"/>
                <w:color w:val="auto"/>
                <w:sz w:val="24"/>
                <w:lang w:eastAsia="zh-CN"/>
              </w:rPr>
              <w:t>采购邀请</w:t>
            </w:r>
            <w:r>
              <w:rPr>
                <w:rFonts w:hint="eastAsia" w:ascii="宋体" w:hAnsi="宋体" w:cs="宋体"/>
                <w:color w:val="auto"/>
                <w:sz w:val="24"/>
              </w:rPr>
              <w:t>》</w:t>
            </w:r>
          </w:p>
        </w:tc>
        <w:tc>
          <w:tcPr>
            <w:tcW w:w="743" w:type="pct"/>
            <w:vAlign w:val="center"/>
          </w:tcPr>
          <w:p w14:paraId="6FAB394A">
            <w:pPr>
              <w:tabs>
                <w:tab w:val="left" w:pos="1080"/>
              </w:tabs>
              <w:snapToGrid w:val="0"/>
              <w:rPr>
                <w:rFonts w:ascii="宋体" w:hAnsi="宋体" w:cs="宋体"/>
                <w:color w:val="auto"/>
                <w:sz w:val="24"/>
              </w:rPr>
            </w:pPr>
          </w:p>
        </w:tc>
      </w:tr>
      <w:tr w14:paraId="14D7C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3DA96A28">
            <w:pPr>
              <w:tabs>
                <w:tab w:val="left" w:pos="1080"/>
              </w:tabs>
              <w:snapToGrid w:val="0"/>
              <w:jc w:val="center"/>
              <w:rPr>
                <w:rFonts w:ascii="宋体" w:hAnsi="宋体" w:cs="宋体"/>
                <w:color w:val="auto"/>
                <w:sz w:val="24"/>
              </w:rPr>
            </w:pPr>
            <w:r>
              <w:rPr>
                <w:rFonts w:hint="eastAsia" w:ascii="宋体" w:hAnsi="宋体" w:cs="宋体"/>
                <w:color w:val="auto"/>
                <w:sz w:val="24"/>
              </w:rPr>
              <w:t>1-1</w:t>
            </w:r>
          </w:p>
        </w:tc>
        <w:tc>
          <w:tcPr>
            <w:tcW w:w="1102" w:type="pct"/>
            <w:vAlign w:val="center"/>
          </w:tcPr>
          <w:p w14:paraId="1B9E2223">
            <w:pPr>
              <w:tabs>
                <w:tab w:val="left" w:pos="1080"/>
              </w:tabs>
              <w:snapToGrid w:val="0"/>
              <w:rPr>
                <w:rFonts w:ascii="宋体" w:hAnsi="宋体" w:cs="宋体"/>
                <w:color w:val="auto"/>
                <w:sz w:val="24"/>
              </w:rPr>
            </w:pPr>
            <w:r>
              <w:rPr>
                <w:rFonts w:hint="eastAsia" w:ascii="宋体" w:hAnsi="宋体" w:cs="宋体"/>
                <w:color w:val="auto"/>
                <w:sz w:val="24"/>
              </w:rPr>
              <w:t>营业执照等证明文件</w:t>
            </w:r>
          </w:p>
        </w:tc>
        <w:tc>
          <w:tcPr>
            <w:tcW w:w="2684" w:type="pct"/>
            <w:vAlign w:val="center"/>
          </w:tcPr>
          <w:p w14:paraId="45E33C1E">
            <w:pPr>
              <w:tabs>
                <w:tab w:val="left" w:pos="1080"/>
              </w:tabs>
              <w:snapToGrid w:val="0"/>
              <w:rPr>
                <w:rFonts w:hint="eastAsia" w:ascii="宋体" w:hAnsi="宋体" w:eastAsia="宋体" w:cs="宋体"/>
                <w:color w:val="auto"/>
                <w:sz w:val="24"/>
              </w:rPr>
            </w:pPr>
            <w:r>
              <w:rPr>
                <w:rFonts w:hint="eastAsia" w:ascii="宋体" w:hAnsi="宋体" w:cs="宋体"/>
                <w:color w:val="auto"/>
                <w:sz w:val="24"/>
              </w:rPr>
              <w:t>供</w:t>
            </w:r>
            <w:r>
              <w:rPr>
                <w:rFonts w:hint="eastAsia" w:ascii="宋体" w:hAnsi="宋体" w:eastAsia="宋体" w:cs="宋体"/>
                <w:color w:val="auto"/>
                <w:sz w:val="24"/>
              </w:rPr>
              <w:t>应商为企业（包括合伙企业）的，应提供有效的“营业执照”；</w:t>
            </w:r>
          </w:p>
          <w:p w14:paraId="2AF9B6BF">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供应商为事业单位的，应提供有效的“事业单位法人证书”；</w:t>
            </w:r>
          </w:p>
          <w:p w14:paraId="2781364D">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供应商是非企业机构的，应提供有效的“执业许可证”、“登记证书”等证明文件；</w:t>
            </w:r>
          </w:p>
          <w:p w14:paraId="7C4C0F4C">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供应商是个体工商户的，应提供有效的“个体工商户营业执照”；</w:t>
            </w:r>
          </w:p>
          <w:p w14:paraId="1B543FD3">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供应商是自然人的，应提供有效的自然人身份证明。</w:t>
            </w:r>
          </w:p>
          <w:p w14:paraId="526BB078">
            <w:pPr>
              <w:tabs>
                <w:tab w:val="left" w:pos="1080"/>
              </w:tabs>
              <w:snapToGrid w:val="0"/>
              <w:rPr>
                <w:rFonts w:ascii="宋体" w:hAnsi="宋体" w:cs="宋体"/>
                <w:color w:val="auto"/>
                <w:sz w:val="24"/>
              </w:rPr>
            </w:pPr>
            <w:r>
              <w:rPr>
                <w:rFonts w:hint="eastAsia" w:ascii="宋体" w:hAnsi="宋体" w:eastAsia="宋体" w:cs="宋体"/>
                <w:color w:val="auto"/>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743" w:type="pct"/>
            <w:vAlign w:val="center"/>
          </w:tcPr>
          <w:p w14:paraId="262ACBFC">
            <w:pPr>
              <w:tabs>
                <w:tab w:val="left" w:pos="1080"/>
              </w:tabs>
              <w:snapToGrid w:val="0"/>
              <w:rPr>
                <w:rFonts w:ascii="宋体" w:hAnsi="宋体" w:cs="宋体"/>
                <w:color w:val="auto"/>
                <w:sz w:val="24"/>
              </w:rPr>
            </w:pPr>
            <w:r>
              <w:rPr>
                <w:rFonts w:hint="eastAsia" w:ascii="宋体" w:hAnsi="宋体" w:cs="宋体"/>
                <w:color w:val="auto"/>
                <w:sz w:val="24"/>
              </w:rPr>
              <w:t>提供证明文件的电子件或电子证照</w:t>
            </w:r>
          </w:p>
        </w:tc>
      </w:tr>
      <w:tr w14:paraId="7D123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453FA5B1">
            <w:pPr>
              <w:tabs>
                <w:tab w:val="left" w:pos="1080"/>
              </w:tabs>
              <w:snapToGrid w:val="0"/>
              <w:jc w:val="center"/>
              <w:rPr>
                <w:rFonts w:ascii="宋体" w:hAnsi="宋体" w:cs="宋体"/>
                <w:color w:val="auto"/>
                <w:sz w:val="24"/>
              </w:rPr>
            </w:pPr>
            <w:r>
              <w:rPr>
                <w:rFonts w:hint="eastAsia" w:ascii="宋体" w:hAnsi="宋体" w:cs="宋体"/>
                <w:color w:val="auto"/>
                <w:sz w:val="24"/>
              </w:rPr>
              <w:t>1-2</w:t>
            </w:r>
          </w:p>
        </w:tc>
        <w:tc>
          <w:tcPr>
            <w:tcW w:w="1102" w:type="pct"/>
            <w:vAlign w:val="center"/>
          </w:tcPr>
          <w:p w14:paraId="4D193ED2">
            <w:pPr>
              <w:tabs>
                <w:tab w:val="left" w:pos="1080"/>
              </w:tabs>
              <w:snapToGrid w:val="0"/>
              <w:rPr>
                <w:rFonts w:ascii="宋体" w:hAnsi="宋体" w:cs="宋体"/>
                <w:color w:val="auto"/>
                <w:sz w:val="24"/>
              </w:rPr>
            </w:pPr>
            <w:r>
              <w:rPr>
                <w:rFonts w:hint="eastAsia" w:ascii="宋体" w:hAnsi="宋体" w:cs="宋体"/>
                <w:color w:val="auto"/>
                <w:sz w:val="24"/>
                <w:lang w:val="en-US" w:eastAsia="zh-CN"/>
              </w:rPr>
              <w:t>供应商</w:t>
            </w:r>
            <w:r>
              <w:rPr>
                <w:rFonts w:hint="eastAsia" w:ascii="宋体" w:hAnsi="宋体" w:cs="宋体"/>
                <w:color w:val="auto"/>
                <w:sz w:val="24"/>
              </w:rPr>
              <w:t>资格声明书</w:t>
            </w:r>
          </w:p>
        </w:tc>
        <w:tc>
          <w:tcPr>
            <w:tcW w:w="2684" w:type="pct"/>
            <w:vAlign w:val="center"/>
          </w:tcPr>
          <w:p w14:paraId="6DD72421">
            <w:pPr>
              <w:tabs>
                <w:tab w:val="left" w:pos="1080"/>
              </w:tabs>
              <w:snapToGrid w:val="0"/>
              <w:rPr>
                <w:rFonts w:ascii="宋体" w:hAnsi="宋体" w:cs="宋体"/>
                <w:color w:val="auto"/>
                <w:sz w:val="24"/>
              </w:rPr>
            </w:pPr>
            <w:r>
              <w:rPr>
                <w:rFonts w:hint="eastAsia" w:ascii="宋体" w:hAnsi="宋体" w:cs="宋体"/>
                <w:color w:val="auto"/>
                <w:sz w:val="24"/>
              </w:rPr>
              <w:t>提供了符合竞争性磋商文件要求的《供应商资格声明书》。</w:t>
            </w:r>
          </w:p>
        </w:tc>
        <w:tc>
          <w:tcPr>
            <w:tcW w:w="743" w:type="pct"/>
            <w:vAlign w:val="center"/>
          </w:tcPr>
          <w:p w14:paraId="68FA2EBB">
            <w:pPr>
              <w:tabs>
                <w:tab w:val="left" w:pos="1080"/>
              </w:tabs>
              <w:snapToGrid w:val="0"/>
              <w:rPr>
                <w:rFonts w:ascii="宋体" w:hAnsi="宋体" w:cs="宋体"/>
                <w:color w:val="auto"/>
                <w:sz w:val="24"/>
              </w:rPr>
            </w:pPr>
            <w:r>
              <w:rPr>
                <w:rFonts w:hint="eastAsia" w:ascii="宋体" w:hAnsi="宋体" w:cs="宋体"/>
                <w:color w:val="auto"/>
                <w:sz w:val="24"/>
              </w:rPr>
              <w:t>格式见《响应文件格式》</w:t>
            </w:r>
          </w:p>
        </w:tc>
      </w:tr>
      <w:tr w14:paraId="716A8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1AA3E9C1">
            <w:pPr>
              <w:tabs>
                <w:tab w:val="left" w:pos="1080"/>
              </w:tabs>
              <w:snapToGrid w:val="0"/>
              <w:jc w:val="center"/>
              <w:rPr>
                <w:rFonts w:ascii="宋体" w:hAnsi="宋体" w:cs="宋体"/>
                <w:color w:val="auto"/>
                <w:sz w:val="24"/>
              </w:rPr>
            </w:pPr>
            <w:r>
              <w:rPr>
                <w:rFonts w:hint="eastAsia" w:ascii="宋体" w:hAnsi="宋体" w:cs="宋体"/>
                <w:color w:val="auto"/>
                <w:sz w:val="24"/>
              </w:rPr>
              <w:t>1-3</w:t>
            </w:r>
          </w:p>
        </w:tc>
        <w:tc>
          <w:tcPr>
            <w:tcW w:w="1102" w:type="pct"/>
            <w:vAlign w:val="center"/>
          </w:tcPr>
          <w:p w14:paraId="10F06033">
            <w:pPr>
              <w:tabs>
                <w:tab w:val="left" w:pos="1080"/>
              </w:tabs>
              <w:snapToGrid w:val="0"/>
              <w:rPr>
                <w:rFonts w:ascii="宋体" w:hAnsi="宋体" w:cs="宋体"/>
                <w:color w:val="auto"/>
                <w:sz w:val="24"/>
              </w:rPr>
            </w:pPr>
            <w:r>
              <w:rPr>
                <w:rFonts w:hint="eastAsia" w:ascii="宋体" w:hAnsi="宋体" w:cs="宋体"/>
                <w:color w:val="auto"/>
                <w:sz w:val="24"/>
                <w:lang w:val="en-US" w:eastAsia="zh-CN"/>
              </w:rPr>
              <w:t>供应商</w:t>
            </w:r>
            <w:r>
              <w:rPr>
                <w:rFonts w:hint="eastAsia" w:ascii="宋体" w:hAnsi="宋体" w:cs="宋体"/>
                <w:color w:val="auto"/>
                <w:sz w:val="24"/>
              </w:rPr>
              <w:t>信用记录</w:t>
            </w:r>
          </w:p>
        </w:tc>
        <w:tc>
          <w:tcPr>
            <w:tcW w:w="2684" w:type="pct"/>
            <w:vAlign w:val="center"/>
          </w:tcPr>
          <w:p w14:paraId="2A5FE4C4">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查询渠道：信用中国网站和中国政府采购网</w:t>
            </w:r>
          </w:p>
          <w:p w14:paraId="1C5C80E9">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（www.creditchina.gov.cn、</w:t>
            </w:r>
          </w:p>
          <w:p w14:paraId="73524970">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www.ccgp.gov.cn）；</w:t>
            </w:r>
          </w:p>
          <w:p w14:paraId="1351ADEC">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截止时点：首次响应文件提交截止时间以后、资格审查阶段采购人或采购代理机构的实际查询时间；</w:t>
            </w:r>
          </w:p>
          <w:p w14:paraId="254F230C">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信用信息查询记录和证据留存具体方式：查询结果网页打印页作为查询记录和证据，与其他竞争性磋商文件一并保存；</w:t>
            </w:r>
          </w:p>
          <w:p w14:paraId="62A59767">
            <w:pPr>
              <w:tabs>
                <w:tab w:val="left" w:pos="1080"/>
              </w:tabs>
              <w:snapToGrid w:val="0"/>
              <w:rPr>
                <w:rFonts w:ascii="宋体" w:hAnsi="宋体" w:cs="宋体"/>
                <w:color w:val="auto"/>
                <w:sz w:val="24"/>
              </w:rPr>
            </w:pPr>
            <w:r>
              <w:rPr>
                <w:rFonts w:hint="eastAsia" w:ascii="宋体" w:hAnsi="宋体" w:eastAsia="宋体" w:cs="宋体"/>
                <w:color w:val="auto"/>
                <w:sz w:val="24"/>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743" w:type="pct"/>
            <w:vAlign w:val="center"/>
          </w:tcPr>
          <w:p w14:paraId="3FEBD29A">
            <w:pPr>
              <w:tabs>
                <w:tab w:val="left" w:pos="1080"/>
              </w:tabs>
              <w:snapToGrid w:val="0"/>
              <w:rPr>
                <w:rFonts w:ascii="宋体" w:hAnsi="宋体" w:cs="宋体"/>
                <w:color w:val="auto"/>
                <w:sz w:val="24"/>
              </w:rPr>
            </w:pPr>
            <w:r>
              <w:rPr>
                <w:rFonts w:hint="eastAsia" w:ascii="宋体" w:hAnsi="宋体" w:cs="宋体"/>
                <w:color w:val="auto"/>
                <w:sz w:val="24"/>
              </w:rPr>
              <w:t>无须</w:t>
            </w:r>
            <w:r>
              <w:rPr>
                <w:rFonts w:hint="eastAsia" w:ascii="宋体" w:hAnsi="宋体" w:cs="宋体"/>
                <w:color w:val="auto"/>
                <w:sz w:val="24"/>
                <w:lang w:val="en-US" w:eastAsia="zh-CN"/>
              </w:rPr>
              <w:t>供应商</w:t>
            </w:r>
            <w:r>
              <w:rPr>
                <w:rFonts w:hint="eastAsia" w:ascii="宋体" w:hAnsi="宋体" w:cs="宋体"/>
                <w:color w:val="auto"/>
                <w:sz w:val="24"/>
              </w:rPr>
              <w:t>提供，由采购人或采购代理机构查询。</w:t>
            </w:r>
          </w:p>
        </w:tc>
      </w:tr>
      <w:tr w14:paraId="04F44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1102E2D7">
            <w:pPr>
              <w:tabs>
                <w:tab w:val="left" w:pos="1080"/>
              </w:tabs>
              <w:snapToGrid w:val="0"/>
              <w:jc w:val="center"/>
              <w:rPr>
                <w:rFonts w:ascii="宋体" w:hAnsi="宋体" w:cs="宋体"/>
                <w:color w:val="auto"/>
                <w:sz w:val="24"/>
              </w:rPr>
            </w:pPr>
            <w:r>
              <w:rPr>
                <w:rFonts w:hint="eastAsia" w:ascii="宋体" w:hAnsi="宋体" w:cs="宋体"/>
                <w:color w:val="auto"/>
                <w:sz w:val="24"/>
              </w:rPr>
              <w:t>1-4</w:t>
            </w:r>
          </w:p>
        </w:tc>
        <w:tc>
          <w:tcPr>
            <w:tcW w:w="1102" w:type="pct"/>
            <w:vAlign w:val="center"/>
          </w:tcPr>
          <w:p w14:paraId="5B5C31B0">
            <w:pPr>
              <w:tabs>
                <w:tab w:val="left" w:pos="1080"/>
              </w:tabs>
              <w:snapToGrid w:val="0"/>
              <w:rPr>
                <w:rFonts w:ascii="宋体" w:hAnsi="宋体" w:cs="宋体"/>
                <w:color w:val="auto"/>
                <w:sz w:val="24"/>
              </w:rPr>
            </w:pPr>
            <w:r>
              <w:rPr>
                <w:rFonts w:hint="eastAsia" w:ascii="宋体" w:hAnsi="宋体" w:cs="宋体"/>
                <w:color w:val="auto"/>
                <w:sz w:val="24"/>
              </w:rPr>
              <w:t>法律、行政法规规定的其他条件</w:t>
            </w:r>
          </w:p>
        </w:tc>
        <w:tc>
          <w:tcPr>
            <w:tcW w:w="2684" w:type="pct"/>
            <w:vAlign w:val="center"/>
          </w:tcPr>
          <w:p w14:paraId="71EBE26E">
            <w:pPr>
              <w:tabs>
                <w:tab w:val="left" w:pos="1080"/>
              </w:tabs>
              <w:snapToGrid w:val="0"/>
              <w:rPr>
                <w:rFonts w:ascii="宋体" w:hAnsi="宋体" w:cs="宋体"/>
                <w:color w:val="auto"/>
                <w:sz w:val="24"/>
              </w:rPr>
            </w:pPr>
            <w:r>
              <w:rPr>
                <w:rFonts w:hint="eastAsia" w:ascii="宋体" w:hAnsi="宋体" w:cs="宋体"/>
                <w:color w:val="auto"/>
                <w:sz w:val="24"/>
              </w:rPr>
              <w:t>法律、行政法规规定的其他条件</w:t>
            </w:r>
          </w:p>
        </w:tc>
        <w:tc>
          <w:tcPr>
            <w:tcW w:w="743" w:type="pct"/>
            <w:vAlign w:val="center"/>
          </w:tcPr>
          <w:p w14:paraId="76A75887">
            <w:pPr>
              <w:tabs>
                <w:tab w:val="left" w:pos="1080"/>
              </w:tabs>
              <w:snapToGrid w:val="0"/>
              <w:jc w:val="center"/>
              <w:rPr>
                <w:rFonts w:ascii="宋体" w:hAnsi="宋体" w:cs="宋体"/>
                <w:color w:val="auto"/>
                <w:sz w:val="24"/>
              </w:rPr>
            </w:pPr>
            <w:r>
              <w:rPr>
                <w:rFonts w:hint="eastAsia" w:ascii="宋体" w:hAnsi="宋体" w:cs="宋体"/>
                <w:color w:val="auto"/>
                <w:sz w:val="24"/>
              </w:rPr>
              <w:t>/</w:t>
            </w:r>
          </w:p>
        </w:tc>
      </w:tr>
      <w:tr w14:paraId="037CB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5A2CB335">
            <w:pPr>
              <w:tabs>
                <w:tab w:val="left" w:pos="1080"/>
              </w:tabs>
              <w:snapToGrid w:val="0"/>
              <w:jc w:val="center"/>
              <w:rPr>
                <w:rFonts w:ascii="宋体" w:hAnsi="宋体" w:cs="宋体"/>
                <w:color w:val="auto"/>
                <w:sz w:val="24"/>
              </w:rPr>
            </w:pPr>
            <w:r>
              <w:rPr>
                <w:rFonts w:hint="eastAsia" w:ascii="宋体" w:hAnsi="宋体" w:cs="宋体"/>
                <w:color w:val="auto"/>
                <w:sz w:val="24"/>
              </w:rPr>
              <w:t>2</w:t>
            </w:r>
          </w:p>
        </w:tc>
        <w:tc>
          <w:tcPr>
            <w:tcW w:w="1102" w:type="pct"/>
            <w:vAlign w:val="center"/>
          </w:tcPr>
          <w:p w14:paraId="15845EAE">
            <w:pPr>
              <w:tabs>
                <w:tab w:val="left" w:pos="1080"/>
              </w:tabs>
              <w:snapToGrid w:val="0"/>
              <w:rPr>
                <w:rFonts w:ascii="宋体" w:hAnsi="宋体" w:cs="宋体"/>
                <w:color w:val="auto"/>
                <w:sz w:val="24"/>
              </w:rPr>
            </w:pPr>
            <w:r>
              <w:rPr>
                <w:rFonts w:hint="eastAsia" w:ascii="宋体" w:hAnsi="宋体" w:cs="宋体"/>
                <w:color w:val="auto"/>
                <w:sz w:val="24"/>
              </w:rPr>
              <w:t>落实政府采购政策需满足的资格要求</w:t>
            </w:r>
          </w:p>
        </w:tc>
        <w:tc>
          <w:tcPr>
            <w:tcW w:w="2684" w:type="pct"/>
            <w:vAlign w:val="center"/>
          </w:tcPr>
          <w:p w14:paraId="3A266B1B">
            <w:pPr>
              <w:tabs>
                <w:tab w:val="left" w:pos="1080"/>
              </w:tabs>
              <w:snapToGrid w:val="0"/>
              <w:rPr>
                <w:rFonts w:ascii="宋体" w:hAnsi="宋体" w:cs="宋体"/>
                <w:color w:val="auto"/>
                <w:sz w:val="24"/>
              </w:rPr>
            </w:pPr>
            <w:r>
              <w:rPr>
                <w:rFonts w:hint="eastAsia" w:ascii="宋体" w:hAnsi="宋体" w:cs="宋体"/>
                <w:color w:val="auto"/>
                <w:sz w:val="24"/>
              </w:rPr>
              <w:t>具体要求见第一章《</w:t>
            </w:r>
            <w:r>
              <w:rPr>
                <w:rFonts w:hint="eastAsia" w:ascii="宋体" w:hAnsi="宋体" w:cs="宋体"/>
                <w:color w:val="auto"/>
                <w:sz w:val="24"/>
                <w:lang w:val="en-US" w:eastAsia="zh-CN"/>
              </w:rPr>
              <w:t>采购</w:t>
            </w:r>
            <w:r>
              <w:rPr>
                <w:rFonts w:hint="eastAsia" w:ascii="宋体" w:hAnsi="宋体" w:cs="宋体"/>
                <w:color w:val="auto"/>
                <w:sz w:val="24"/>
              </w:rPr>
              <w:t>邀请》</w:t>
            </w:r>
          </w:p>
        </w:tc>
        <w:tc>
          <w:tcPr>
            <w:tcW w:w="743" w:type="pct"/>
            <w:vAlign w:val="center"/>
          </w:tcPr>
          <w:p w14:paraId="3184CCD4">
            <w:pPr>
              <w:tabs>
                <w:tab w:val="left" w:pos="1080"/>
              </w:tabs>
              <w:snapToGrid w:val="0"/>
              <w:rPr>
                <w:rFonts w:ascii="宋体" w:hAnsi="宋体" w:cs="宋体"/>
                <w:color w:val="auto"/>
                <w:sz w:val="24"/>
              </w:rPr>
            </w:pPr>
          </w:p>
        </w:tc>
      </w:tr>
      <w:tr w14:paraId="2747C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05DB43F9">
            <w:pPr>
              <w:tabs>
                <w:tab w:val="left" w:pos="1080"/>
              </w:tabs>
              <w:snapToGrid w:val="0"/>
              <w:jc w:val="center"/>
              <w:rPr>
                <w:rFonts w:ascii="宋体" w:hAnsi="宋体" w:cs="宋体"/>
                <w:color w:val="auto"/>
                <w:sz w:val="24"/>
              </w:rPr>
            </w:pPr>
            <w:r>
              <w:rPr>
                <w:rFonts w:hint="eastAsia" w:ascii="宋体" w:hAnsi="宋体" w:cs="宋体"/>
                <w:color w:val="auto"/>
                <w:sz w:val="24"/>
              </w:rPr>
              <w:t>2-1</w:t>
            </w:r>
          </w:p>
        </w:tc>
        <w:tc>
          <w:tcPr>
            <w:tcW w:w="1102" w:type="pct"/>
            <w:vAlign w:val="center"/>
          </w:tcPr>
          <w:p w14:paraId="77F7B070">
            <w:pPr>
              <w:tabs>
                <w:tab w:val="left" w:pos="1080"/>
              </w:tabs>
              <w:snapToGrid w:val="0"/>
              <w:rPr>
                <w:rFonts w:ascii="宋体" w:hAnsi="宋体" w:cs="宋体"/>
                <w:color w:val="auto"/>
                <w:sz w:val="24"/>
              </w:rPr>
            </w:pPr>
            <w:r>
              <w:rPr>
                <w:rFonts w:hint="eastAsia" w:ascii="宋体" w:hAnsi="宋体" w:cs="宋体"/>
                <w:color w:val="auto"/>
                <w:sz w:val="24"/>
              </w:rPr>
              <w:t>中小企业政策</w:t>
            </w:r>
          </w:p>
        </w:tc>
        <w:tc>
          <w:tcPr>
            <w:tcW w:w="2684" w:type="pct"/>
            <w:vAlign w:val="center"/>
          </w:tcPr>
          <w:p w14:paraId="00E7BBCC">
            <w:pPr>
              <w:tabs>
                <w:tab w:val="left" w:pos="1080"/>
              </w:tabs>
              <w:snapToGrid w:val="0"/>
              <w:rPr>
                <w:rFonts w:ascii="宋体" w:hAnsi="宋体" w:cs="宋体"/>
                <w:color w:val="auto"/>
                <w:sz w:val="24"/>
              </w:rPr>
            </w:pPr>
            <w:r>
              <w:rPr>
                <w:rFonts w:hint="eastAsia" w:ascii="宋体" w:hAnsi="宋体" w:cs="宋体"/>
                <w:color w:val="auto"/>
                <w:sz w:val="24"/>
              </w:rPr>
              <w:t>具体要求见第一章《</w:t>
            </w:r>
            <w:r>
              <w:rPr>
                <w:rFonts w:hint="eastAsia" w:ascii="宋体" w:hAnsi="宋体" w:cs="宋体"/>
                <w:color w:val="auto"/>
                <w:sz w:val="24"/>
                <w:lang w:val="en-US" w:eastAsia="zh-CN"/>
              </w:rPr>
              <w:t>采购</w:t>
            </w:r>
            <w:r>
              <w:rPr>
                <w:rFonts w:hint="eastAsia" w:ascii="宋体" w:hAnsi="宋体" w:cs="宋体"/>
                <w:color w:val="auto"/>
                <w:sz w:val="24"/>
              </w:rPr>
              <w:t>邀请》</w:t>
            </w:r>
          </w:p>
        </w:tc>
        <w:tc>
          <w:tcPr>
            <w:tcW w:w="743" w:type="pct"/>
            <w:vAlign w:val="center"/>
          </w:tcPr>
          <w:p w14:paraId="4A036E03">
            <w:pPr>
              <w:tabs>
                <w:tab w:val="left" w:pos="1080"/>
              </w:tabs>
              <w:snapToGrid w:val="0"/>
              <w:rPr>
                <w:rFonts w:ascii="宋体" w:hAnsi="宋体" w:cs="宋体"/>
                <w:color w:val="auto"/>
                <w:sz w:val="24"/>
              </w:rPr>
            </w:pPr>
          </w:p>
        </w:tc>
      </w:tr>
      <w:tr w14:paraId="4294F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2308581F">
            <w:pPr>
              <w:tabs>
                <w:tab w:val="left" w:pos="1080"/>
              </w:tabs>
              <w:snapToGrid w:val="0"/>
              <w:jc w:val="center"/>
              <w:rPr>
                <w:rFonts w:ascii="宋体" w:hAnsi="宋体" w:cs="宋体"/>
                <w:color w:val="auto"/>
                <w:sz w:val="24"/>
              </w:rPr>
            </w:pPr>
            <w:r>
              <w:rPr>
                <w:rFonts w:hint="eastAsia" w:ascii="宋体" w:hAnsi="宋体" w:cs="宋体"/>
                <w:color w:val="auto"/>
                <w:sz w:val="24"/>
              </w:rPr>
              <w:t>2-1-1</w:t>
            </w:r>
          </w:p>
        </w:tc>
        <w:tc>
          <w:tcPr>
            <w:tcW w:w="1102" w:type="pct"/>
            <w:vAlign w:val="center"/>
          </w:tcPr>
          <w:p w14:paraId="630AE2CE">
            <w:pPr>
              <w:tabs>
                <w:tab w:val="left" w:pos="1080"/>
              </w:tabs>
              <w:snapToGrid w:val="0"/>
              <w:rPr>
                <w:rFonts w:ascii="宋体" w:hAnsi="宋体" w:cs="宋体"/>
                <w:color w:val="auto"/>
                <w:sz w:val="24"/>
              </w:rPr>
            </w:pPr>
            <w:r>
              <w:rPr>
                <w:rFonts w:hint="eastAsia" w:ascii="宋体" w:hAnsi="宋体" w:cs="宋体"/>
                <w:color w:val="auto"/>
                <w:sz w:val="24"/>
              </w:rPr>
              <w:t>中小企业证明文件</w:t>
            </w:r>
          </w:p>
        </w:tc>
        <w:tc>
          <w:tcPr>
            <w:tcW w:w="2684" w:type="pct"/>
            <w:vAlign w:val="center"/>
          </w:tcPr>
          <w:p w14:paraId="3D41FF9A">
            <w:pPr>
              <w:tabs>
                <w:tab w:val="left" w:pos="1080"/>
              </w:tabs>
              <w:snapToGrid w:val="0"/>
              <w:rPr>
                <w:rFonts w:hint="eastAsia" w:ascii="宋体" w:hAnsi="宋体" w:cs="宋体"/>
                <w:color w:val="auto"/>
                <w:sz w:val="24"/>
              </w:rPr>
            </w:pPr>
            <w:r>
              <w:rPr>
                <w:rFonts w:hint="eastAsia" w:ascii="宋体" w:hAnsi="宋体" w:cs="宋体"/>
                <w:color w:val="auto"/>
                <w:sz w:val="24"/>
              </w:rPr>
              <w:t>当本项目（包）涉及预留份额专门面向中小企业采购，提供如下资料：</w:t>
            </w:r>
          </w:p>
          <w:p w14:paraId="48F7C757">
            <w:pPr>
              <w:tabs>
                <w:tab w:val="left" w:pos="1080"/>
              </w:tabs>
              <w:snapToGrid w:val="0"/>
              <w:rPr>
                <w:rFonts w:hint="eastAsia" w:ascii="宋体" w:hAnsi="宋体" w:cs="宋体"/>
                <w:color w:val="auto"/>
                <w:sz w:val="24"/>
              </w:rPr>
            </w:pPr>
            <w:r>
              <w:rPr>
                <w:rFonts w:hint="eastAsia" w:ascii="宋体" w:hAnsi="宋体" w:cs="宋体"/>
                <w:color w:val="auto"/>
                <w:sz w:val="24"/>
              </w:rPr>
              <w:t>1、供应商单独响应的，应提供《中小企业声明函》或《残疾人福利性单位声明函》或由省级以上监狱管理局、戒毒管理局（含新疆生产建设兵团）出具的属于监狱企业的证明文件。</w:t>
            </w:r>
          </w:p>
          <w:p w14:paraId="6E5F8DC8">
            <w:pPr>
              <w:tabs>
                <w:tab w:val="left" w:pos="1080"/>
              </w:tabs>
              <w:snapToGrid w:val="0"/>
              <w:rPr>
                <w:rFonts w:ascii="宋体" w:hAnsi="宋体" w:cs="宋体"/>
                <w:color w:val="auto"/>
                <w:sz w:val="24"/>
              </w:rPr>
            </w:pPr>
            <w:r>
              <w:rPr>
                <w:rFonts w:hint="eastAsia" w:ascii="宋体" w:hAnsi="宋体" w:cs="宋体"/>
                <w:color w:val="auto"/>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743" w:type="pct"/>
            <w:vAlign w:val="center"/>
          </w:tcPr>
          <w:p w14:paraId="674A6947">
            <w:pPr>
              <w:tabs>
                <w:tab w:val="left" w:pos="1080"/>
              </w:tabs>
              <w:snapToGrid w:val="0"/>
              <w:rPr>
                <w:rFonts w:ascii="宋体" w:hAnsi="宋体" w:cs="宋体"/>
                <w:color w:val="auto"/>
                <w:sz w:val="24"/>
              </w:rPr>
            </w:pPr>
            <w:r>
              <w:rPr>
                <w:rFonts w:hint="eastAsia" w:ascii="宋体" w:hAnsi="宋体" w:cs="宋体"/>
                <w:color w:val="auto"/>
                <w:sz w:val="24"/>
              </w:rPr>
              <w:t>格式见《</w:t>
            </w:r>
            <w:r>
              <w:rPr>
                <w:rFonts w:hint="eastAsia" w:ascii="宋体" w:hAnsi="宋体" w:cs="宋体"/>
                <w:color w:val="auto"/>
                <w:sz w:val="24"/>
                <w:lang w:val="en-US" w:eastAsia="zh-CN"/>
              </w:rPr>
              <w:t>响应</w:t>
            </w:r>
            <w:r>
              <w:rPr>
                <w:rFonts w:hint="eastAsia" w:ascii="宋体" w:hAnsi="宋体" w:cs="宋体"/>
                <w:color w:val="auto"/>
                <w:sz w:val="24"/>
              </w:rPr>
              <w:t>文件格式》</w:t>
            </w:r>
          </w:p>
        </w:tc>
      </w:tr>
      <w:tr w14:paraId="6A65A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35DD3823">
            <w:pPr>
              <w:tabs>
                <w:tab w:val="left" w:pos="1080"/>
              </w:tabs>
              <w:snapToGrid w:val="0"/>
              <w:jc w:val="center"/>
              <w:rPr>
                <w:rFonts w:ascii="宋体" w:hAnsi="宋体" w:cs="宋体"/>
                <w:color w:val="auto"/>
                <w:sz w:val="24"/>
              </w:rPr>
            </w:pPr>
            <w:r>
              <w:rPr>
                <w:rFonts w:hint="eastAsia" w:ascii="宋体" w:hAnsi="宋体" w:cs="宋体"/>
                <w:color w:val="auto"/>
                <w:sz w:val="24"/>
              </w:rPr>
              <w:t>2-2</w:t>
            </w:r>
          </w:p>
        </w:tc>
        <w:tc>
          <w:tcPr>
            <w:tcW w:w="1102" w:type="pct"/>
            <w:vAlign w:val="center"/>
          </w:tcPr>
          <w:p w14:paraId="2FFA9D67">
            <w:pPr>
              <w:tabs>
                <w:tab w:val="left" w:pos="1080"/>
              </w:tabs>
              <w:snapToGrid w:val="0"/>
              <w:rPr>
                <w:rFonts w:ascii="宋体" w:hAnsi="宋体" w:cs="宋体"/>
                <w:color w:val="auto"/>
                <w:sz w:val="24"/>
              </w:rPr>
            </w:pPr>
            <w:r>
              <w:rPr>
                <w:rFonts w:hint="eastAsia" w:ascii="宋体" w:hAnsi="宋体" w:cs="宋体"/>
                <w:color w:val="auto"/>
                <w:sz w:val="24"/>
              </w:rPr>
              <w:t>其它落实政府采购政策的资格要求</w:t>
            </w:r>
          </w:p>
        </w:tc>
        <w:tc>
          <w:tcPr>
            <w:tcW w:w="2684" w:type="pct"/>
            <w:vAlign w:val="center"/>
          </w:tcPr>
          <w:p w14:paraId="3B0A6A65">
            <w:pPr>
              <w:tabs>
                <w:tab w:val="left" w:pos="1080"/>
              </w:tabs>
              <w:snapToGrid w:val="0"/>
              <w:rPr>
                <w:rFonts w:ascii="宋体" w:hAnsi="宋体" w:cs="宋体"/>
                <w:color w:val="auto"/>
                <w:sz w:val="24"/>
              </w:rPr>
            </w:pPr>
            <w:r>
              <w:rPr>
                <w:rFonts w:hint="eastAsia" w:ascii="宋体" w:hAnsi="宋体" w:cs="宋体"/>
                <w:color w:val="auto"/>
                <w:sz w:val="24"/>
              </w:rPr>
              <w:t>如有，见第一章《</w:t>
            </w:r>
            <w:r>
              <w:rPr>
                <w:rFonts w:hint="eastAsia" w:ascii="宋体" w:hAnsi="宋体" w:cs="宋体"/>
                <w:color w:val="auto"/>
                <w:sz w:val="24"/>
                <w:lang w:eastAsia="zh-CN"/>
              </w:rPr>
              <w:t>采购邀请</w:t>
            </w:r>
            <w:r>
              <w:rPr>
                <w:rFonts w:hint="eastAsia" w:ascii="宋体" w:hAnsi="宋体" w:cs="宋体"/>
                <w:color w:val="auto"/>
                <w:sz w:val="24"/>
              </w:rPr>
              <w:t>》</w:t>
            </w:r>
          </w:p>
        </w:tc>
        <w:tc>
          <w:tcPr>
            <w:tcW w:w="743" w:type="pct"/>
            <w:vAlign w:val="center"/>
          </w:tcPr>
          <w:p w14:paraId="5B041744">
            <w:pPr>
              <w:tabs>
                <w:tab w:val="left" w:pos="1080"/>
              </w:tabs>
              <w:snapToGrid w:val="0"/>
              <w:rPr>
                <w:rFonts w:ascii="宋体" w:hAnsi="宋体" w:cs="宋体"/>
                <w:color w:val="auto"/>
                <w:sz w:val="24"/>
              </w:rPr>
            </w:pPr>
            <w:r>
              <w:rPr>
                <w:rFonts w:hint="eastAsia" w:ascii="宋体" w:hAnsi="宋体" w:cs="宋体"/>
                <w:color w:val="auto"/>
                <w:sz w:val="24"/>
              </w:rPr>
              <w:t>提供证明文件的电子件或电子证照</w:t>
            </w:r>
          </w:p>
        </w:tc>
      </w:tr>
      <w:tr w14:paraId="7B0E3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19929782">
            <w:pPr>
              <w:tabs>
                <w:tab w:val="left" w:pos="1080"/>
              </w:tabs>
              <w:snapToGrid w:val="0"/>
              <w:jc w:val="center"/>
              <w:rPr>
                <w:rFonts w:ascii="宋体" w:hAnsi="宋体" w:cs="宋体"/>
                <w:color w:val="auto"/>
                <w:sz w:val="24"/>
              </w:rPr>
            </w:pPr>
            <w:r>
              <w:rPr>
                <w:rFonts w:hint="eastAsia" w:ascii="宋体" w:hAnsi="宋体" w:cs="宋体"/>
                <w:color w:val="auto"/>
                <w:sz w:val="24"/>
              </w:rPr>
              <w:t>3</w:t>
            </w:r>
          </w:p>
        </w:tc>
        <w:tc>
          <w:tcPr>
            <w:tcW w:w="1102" w:type="pct"/>
            <w:vAlign w:val="center"/>
          </w:tcPr>
          <w:p w14:paraId="2E9E350D">
            <w:pPr>
              <w:tabs>
                <w:tab w:val="left" w:pos="1080"/>
              </w:tabs>
              <w:snapToGrid w:val="0"/>
              <w:rPr>
                <w:rFonts w:ascii="宋体" w:hAnsi="宋体" w:cs="宋体"/>
                <w:color w:val="auto"/>
                <w:sz w:val="24"/>
              </w:rPr>
            </w:pPr>
            <w:r>
              <w:rPr>
                <w:rFonts w:hint="eastAsia" w:ascii="宋体" w:hAnsi="宋体" w:cs="宋体"/>
                <w:color w:val="auto"/>
                <w:sz w:val="24"/>
              </w:rPr>
              <w:t>本项目的特定资格要求</w:t>
            </w:r>
          </w:p>
        </w:tc>
        <w:tc>
          <w:tcPr>
            <w:tcW w:w="2684" w:type="pct"/>
            <w:vAlign w:val="center"/>
          </w:tcPr>
          <w:p w14:paraId="557E0F22">
            <w:pPr>
              <w:tabs>
                <w:tab w:val="left" w:pos="1080"/>
              </w:tabs>
              <w:snapToGrid w:val="0"/>
              <w:rPr>
                <w:rFonts w:ascii="宋体" w:hAnsi="宋体" w:cs="宋体"/>
                <w:color w:val="auto"/>
                <w:sz w:val="24"/>
              </w:rPr>
            </w:pPr>
            <w:r>
              <w:rPr>
                <w:rFonts w:hint="eastAsia" w:ascii="宋体" w:hAnsi="宋体" w:cs="宋体"/>
                <w:color w:val="auto"/>
                <w:sz w:val="24"/>
              </w:rPr>
              <w:t>如有，见第一章《</w:t>
            </w:r>
            <w:r>
              <w:rPr>
                <w:rFonts w:hint="eastAsia" w:ascii="宋体" w:hAnsi="宋体" w:cs="宋体"/>
                <w:color w:val="auto"/>
                <w:sz w:val="24"/>
                <w:lang w:eastAsia="zh-CN"/>
              </w:rPr>
              <w:t>采购邀请</w:t>
            </w:r>
            <w:r>
              <w:rPr>
                <w:rFonts w:hint="eastAsia" w:ascii="宋体" w:hAnsi="宋体" w:cs="宋体"/>
                <w:color w:val="auto"/>
                <w:sz w:val="24"/>
              </w:rPr>
              <w:t>》</w:t>
            </w:r>
          </w:p>
        </w:tc>
        <w:tc>
          <w:tcPr>
            <w:tcW w:w="743" w:type="pct"/>
            <w:vAlign w:val="center"/>
          </w:tcPr>
          <w:p w14:paraId="5293006F">
            <w:pPr>
              <w:tabs>
                <w:tab w:val="left" w:pos="1080"/>
              </w:tabs>
              <w:snapToGrid w:val="0"/>
              <w:rPr>
                <w:rFonts w:ascii="宋体" w:hAnsi="宋体" w:cs="宋体"/>
                <w:color w:val="auto"/>
                <w:sz w:val="24"/>
              </w:rPr>
            </w:pPr>
          </w:p>
        </w:tc>
      </w:tr>
      <w:tr w14:paraId="76C7F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43AB89B3">
            <w:pPr>
              <w:tabs>
                <w:tab w:val="left" w:pos="1080"/>
              </w:tabs>
              <w:snapToGrid w:val="0"/>
              <w:jc w:val="center"/>
              <w:rPr>
                <w:rFonts w:ascii="宋体" w:hAnsi="宋体" w:cs="宋体"/>
                <w:color w:val="auto"/>
                <w:sz w:val="24"/>
              </w:rPr>
            </w:pPr>
            <w:r>
              <w:rPr>
                <w:rFonts w:hint="eastAsia" w:ascii="宋体" w:hAnsi="宋体" w:cs="宋体"/>
                <w:color w:val="auto"/>
                <w:sz w:val="24"/>
              </w:rPr>
              <w:t>3-1</w:t>
            </w:r>
          </w:p>
        </w:tc>
        <w:tc>
          <w:tcPr>
            <w:tcW w:w="1102" w:type="pct"/>
            <w:vAlign w:val="center"/>
          </w:tcPr>
          <w:p w14:paraId="1DD47680">
            <w:pPr>
              <w:tabs>
                <w:tab w:val="left" w:pos="1080"/>
              </w:tabs>
              <w:snapToGrid w:val="0"/>
              <w:rPr>
                <w:rFonts w:ascii="宋体" w:hAnsi="宋体" w:cs="宋体"/>
                <w:color w:val="auto"/>
                <w:sz w:val="24"/>
              </w:rPr>
            </w:pPr>
            <w:r>
              <w:rPr>
                <w:rFonts w:hint="eastAsia" w:ascii="宋体" w:hAnsi="宋体" w:cs="宋体"/>
                <w:color w:val="auto"/>
                <w:sz w:val="24"/>
              </w:rPr>
              <w:t>本项目对于联合体的要求</w:t>
            </w:r>
          </w:p>
        </w:tc>
        <w:tc>
          <w:tcPr>
            <w:tcW w:w="2684" w:type="pct"/>
            <w:vAlign w:val="center"/>
          </w:tcPr>
          <w:p w14:paraId="0C438171">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1、如本项目接受联合体磋商，且供应商为联合体</w:t>
            </w:r>
          </w:p>
          <w:p w14:paraId="0839664C">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86925A7">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2、联合体各成员单位均须提供本表中序号1-1、1-2的证明文件。联合体各成员单位均应满足本表3-2及3-3项规定。</w:t>
            </w:r>
          </w:p>
          <w:p w14:paraId="26D57637">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3、本表序号3-4 项规定的其他特定资格要求中的</w:t>
            </w:r>
          </w:p>
          <w:p w14:paraId="47F5050C">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每一小项要求，联合体各方中至少应当有一方符合本表中其他资格要求并提供证明文件。</w:t>
            </w:r>
          </w:p>
          <w:p w14:paraId="7EDC625E">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4、联合体中有同类资质的供应商按照联合体分工</w:t>
            </w:r>
          </w:p>
          <w:p w14:paraId="7D367537">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承担相同工作的，应当按照资质等级较低的供应商确定资质等级。</w:t>
            </w:r>
          </w:p>
          <w:p w14:paraId="2A30F495">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5、以联合体形式参加政府采购活动的，联合体各</w:t>
            </w:r>
          </w:p>
          <w:p w14:paraId="2988D2AF">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方不得再单独参加或者与其他供应商另外组成联</w:t>
            </w:r>
          </w:p>
          <w:p w14:paraId="65B774F2">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合体参加同一合同项下的政府采购活动。</w:t>
            </w:r>
          </w:p>
          <w:p w14:paraId="053F7C0D">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6、若联合体中任一成员单位中途退出，则该联合</w:t>
            </w:r>
          </w:p>
          <w:p w14:paraId="2CA5CF3A">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体的响应无效。</w:t>
            </w:r>
          </w:p>
          <w:p w14:paraId="50F1D236">
            <w:pPr>
              <w:tabs>
                <w:tab w:val="left" w:pos="1080"/>
              </w:tabs>
              <w:snapToGrid w:val="0"/>
              <w:rPr>
                <w:rFonts w:hint="eastAsia" w:ascii="宋体" w:hAnsi="宋体" w:eastAsia="宋体" w:cs="宋体"/>
                <w:color w:val="auto"/>
                <w:sz w:val="24"/>
              </w:rPr>
            </w:pPr>
            <w:r>
              <w:rPr>
                <w:rFonts w:hint="eastAsia" w:ascii="宋体" w:hAnsi="宋体" w:eastAsia="宋体" w:cs="宋体"/>
                <w:color w:val="auto"/>
                <w:sz w:val="24"/>
              </w:rPr>
              <w:t>7、本项目不接受联合体响应时，供应商不得为联</w:t>
            </w:r>
          </w:p>
          <w:p w14:paraId="50B93203">
            <w:pPr>
              <w:tabs>
                <w:tab w:val="left" w:pos="1080"/>
              </w:tabs>
              <w:snapToGrid w:val="0"/>
              <w:rPr>
                <w:rFonts w:ascii="宋体" w:hAnsi="宋体" w:cs="宋体"/>
                <w:color w:val="auto"/>
                <w:sz w:val="24"/>
              </w:rPr>
            </w:pPr>
            <w:r>
              <w:rPr>
                <w:rFonts w:hint="eastAsia" w:ascii="宋体" w:hAnsi="宋体" w:eastAsia="宋体" w:cs="宋体"/>
                <w:color w:val="auto"/>
                <w:sz w:val="24"/>
              </w:rPr>
              <w:t>合体。</w:t>
            </w:r>
          </w:p>
        </w:tc>
        <w:tc>
          <w:tcPr>
            <w:tcW w:w="743" w:type="pct"/>
            <w:vAlign w:val="center"/>
          </w:tcPr>
          <w:p w14:paraId="5AE78864">
            <w:pPr>
              <w:tabs>
                <w:tab w:val="left" w:pos="1080"/>
              </w:tabs>
              <w:snapToGrid w:val="0"/>
              <w:rPr>
                <w:rFonts w:hint="eastAsia" w:ascii="宋体" w:hAnsi="宋体" w:cs="宋体"/>
                <w:color w:val="auto"/>
                <w:sz w:val="24"/>
              </w:rPr>
            </w:pPr>
            <w:r>
              <w:rPr>
                <w:rFonts w:hint="eastAsia" w:ascii="宋体" w:hAnsi="宋体" w:cs="宋体"/>
                <w:color w:val="auto"/>
                <w:sz w:val="24"/>
              </w:rPr>
              <w:t>提供《联合协议》原件的电子件格式见</w:t>
            </w:r>
          </w:p>
          <w:p w14:paraId="1F91EBD3">
            <w:pPr>
              <w:tabs>
                <w:tab w:val="left" w:pos="1080"/>
              </w:tabs>
              <w:snapToGrid w:val="0"/>
              <w:rPr>
                <w:rFonts w:ascii="宋体" w:hAnsi="宋体" w:cs="宋体"/>
                <w:color w:val="auto"/>
                <w:sz w:val="24"/>
              </w:rPr>
            </w:pPr>
            <w:r>
              <w:rPr>
                <w:rFonts w:hint="eastAsia" w:ascii="宋体" w:hAnsi="宋体" w:cs="宋体"/>
                <w:color w:val="auto"/>
                <w:sz w:val="24"/>
              </w:rPr>
              <w:t>《响应文件格式》</w:t>
            </w:r>
          </w:p>
        </w:tc>
      </w:tr>
      <w:tr w14:paraId="1D465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69" w:type="pct"/>
            <w:vAlign w:val="center"/>
          </w:tcPr>
          <w:p w14:paraId="38437CE7">
            <w:pPr>
              <w:tabs>
                <w:tab w:val="left" w:pos="1080"/>
              </w:tabs>
              <w:snapToGrid w:val="0"/>
              <w:jc w:val="center"/>
              <w:rPr>
                <w:rFonts w:ascii="宋体" w:hAnsi="宋体" w:cs="宋体"/>
                <w:color w:val="auto"/>
                <w:sz w:val="24"/>
              </w:rPr>
            </w:pPr>
            <w:r>
              <w:rPr>
                <w:rFonts w:hint="eastAsia" w:ascii="宋体" w:hAnsi="宋体" w:cs="宋体"/>
                <w:color w:val="auto"/>
                <w:sz w:val="24"/>
              </w:rPr>
              <w:t>3-2</w:t>
            </w:r>
          </w:p>
        </w:tc>
        <w:tc>
          <w:tcPr>
            <w:tcW w:w="1102" w:type="pct"/>
            <w:vAlign w:val="center"/>
          </w:tcPr>
          <w:p w14:paraId="424F5B71">
            <w:pPr>
              <w:tabs>
                <w:tab w:val="left" w:pos="1080"/>
              </w:tabs>
              <w:snapToGrid w:val="0"/>
              <w:rPr>
                <w:rFonts w:ascii="宋体" w:hAnsi="宋体" w:cs="宋体"/>
                <w:color w:val="auto"/>
                <w:sz w:val="24"/>
              </w:rPr>
            </w:pPr>
            <w:r>
              <w:rPr>
                <w:rFonts w:hint="eastAsia" w:ascii="宋体" w:hAnsi="宋体" w:cs="宋体"/>
                <w:color w:val="auto"/>
                <w:sz w:val="24"/>
              </w:rPr>
              <w:t>政府购买服务承接主体的要求</w:t>
            </w:r>
          </w:p>
        </w:tc>
        <w:tc>
          <w:tcPr>
            <w:tcW w:w="2684" w:type="pct"/>
            <w:vAlign w:val="center"/>
          </w:tcPr>
          <w:p w14:paraId="2AB5FCC6">
            <w:pPr>
              <w:spacing w:beforeLines="0" w:afterLines="0"/>
              <w:jc w:val="left"/>
              <w:rPr>
                <w:rFonts w:ascii="宋体" w:hAnsi="宋体" w:cs="宋体"/>
                <w:color w:val="auto"/>
                <w:sz w:val="24"/>
              </w:rPr>
            </w:pPr>
            <w:r>
              <w:rPr>
                <w:rFonts w:hint="eastAsia" w:ascii="宋体" w:hAnsi="宋体" w:eastAsia="宋体"/>
                <w:color w:val="auto"/>
                <w:sz w:val="24"/>
                <w:szCs w:val="24"/>
              </w:rPr>
              <w:t>如本项目属于政府购买服务，供应商不属于公益一类事业单位、使用事业编制且由财政拨款保障的群团组织。</w:t>
            </w:r>
          </w:p>
        </w:tc>
        <w:tc>
          <w:tcPr>
            <w:tcW w:w="743" w:type="pct"/>
            <w:vAlign w:val="center"/>
          </w:tcPr>
          <w:p w14:paraId="7ACA8602">
            <w:pPr>
              <w:tabs>
                <w:tab w:val="left" w:pos="1080"/>
              </w:tabs>
              <w:snapToGrid w:val="0"/>
              <w:jc w:val="center"/>
              <w:rPr>
                <w:rFonts w:ascii="宋体" w:hAnsi="宋体" w:cs="宋体"/>
                <w:color w:val="auto"/>
                <w:sz w:val="24"/>
              </w:rPr>
            </w:pPr>
            <w:r>
              <w:rPr>
                <w:rFonts w:hint="eastAsia" w:ascii="宋体" w:hAnsi="宋体" w:cs="宋体"/>
                <w:color w:val="auto"/>
                <w:sz w:val="24"/>
              </w:rPr>
              <w:t>格式见《</w:t>
            </w:r>
            <w:r>
              <w:rPr>
                <w:rFonts w:hint="eastAsia" w:ascii="宋体" w:hAnsi="宋体" w:cs="宋体"/>
                <w:color w:val="auto"/>
                <w:sz w:val="24"/>
                <w:lang w:eastAsia="zh-CN"/>
              </w:rPr>
              <w:t>响应文件格式</w:t>
            </w:r>
            <w:r>
              <w:rPr>
                <w:rFonts w:hint="eastAsia" w:ascii="宋体" w:hAnsi="宋体" w:cs="宋体"/>
                <w:color w:val="auto"/>
                <w:sz w:val="24"/>
              </w:rPr>
              <w:t>》</w:t>
            </w:r>
          </w:p>
        </w:tc>
      </w:tr>
      <w:tr w14:paraId="0B3FC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69" w:type="pct"/>
            <w:vAlign w:val="center"/>
          </w:tcPr>
          <w:p w14:paraId="52D624E7">
            <w:pPr>
              <w:tabs>
                <w:tab w:val="left" w:pos="1080"/>
              </w:tabs>
              <w:snapToGrid w:val="0"/>
              <w:jc w:val="center"/>
              <w:rPr>
                <w:rFonts w:ascii="宋体" w:hAnsi="宋体" w:cs="宋体"/>
                <w:color w:val="auto"/>
                <w:sz w:val="24"/>
              </w:rPr>
            </w:pPr>
          </w:p>
          <w:p w14:paraId="244D3971">
            <w:pPr>
              <w:tabs>
                <w:tab w:val="left" w:pos="1080"/>
              </w:tabs>
              <w:snapToGrid w:val="0"/>
              <w:jc w:val="center"/>
              <w:rPr>
                <w:rFonts w:ascii="宋体" w:hAnsi="宋体" w:cs="宋体"/>
                <w:color w:val="auto"/>
                <w:sz w:val="24"/>
              </w:rPr>
            </w:pPr>
            <w:r>
              <w:rPr>
                <w:rFonts w:hint="eastAsia" w:ascii="宋体" w:hAnsi="宋体" w:cs="宋体"/>
                <w:color w:val="auto"/>
                <w:sz w:val="24"/>
              </w:rPr>
              <w:t>3-3</w:t>
            </w:r>
          </w:p>
        </w:tc>
        <w:tc>
          <w:tcPr>
            <w:tcW w:w="1102" w:type="pct"/>
            <w:vAlign w:val="center"/>
          </w:tcPr>
          <w:p w14:paraId="492C0774">
            <w:pPr>
              <w:spacing w:beforeLines="0" w:afterLines="0"/>
              <w:jc w:val="left"/>
              <w:rPr>
                <w:rFonts w:hint="eastAsia" w:ascii="宋体" w:hAnsi="宋体" w:eastAsia="宋体"/>
                <w:color w:val="auto"/>
                <w:sz w:val="24"/>
                <w:szCs w:val="24"/>
              </w:rPr>
            </w:pPr>
            <w:r>
              <w:rPr>
                <w:rFonts w:hint="eastAsia" w:ascii="宋体" w:hAnsi="宋体" w:eastAsia="宋体"/>
                <w:color w:val="auto"/>
                <w:sz w:val="24"/>
                <w:szCs w:val="24"/>
              </w:rPr>
              <w:t>其他特定资格要求</w:t>
            </w:r>
          </w:p>
        </w:tc>
        <w:tc>
          <w:tcPr>
            <w:tcW w:w="2684" w:type="pct"/>
            <w:vAlign w:val="center"/>
          </w:tcPr>
          <w:p w14:paraId="6FE73D24">
            <w:pPr>
              <w:spacing w:beforeLines="0" w:afterLines="0"/>
              <w:jc w:val="left"/>
              <w:rPr>
                <w:rFonts w:hint="eastAsia" w:ascii="宋体" w:hAnsi="宋体" w:eastAsia="宋体"/>
                <w:color w:val="auto"/>
                <w:sz w:val="24"/>
                <w:szCs w:val="24"/>
              </w:rPr>
            </w:pPr>
            <w:r>
              <w:rPr>
                <w:rFonts w:hint="eastAsia" w:ascii="宋体" w:hAnsi="宋体" w:cs="宋体"/>
                <w:color w:val="auto"/>
                <w:sz w:val="24"/>
              </w:rPr>
              <w:t>如有，见第一章《</w:t>
            </w:r>
            <w:r>
              <w:rPr>
                <w:rFonts w:hint="eastAsia" w:ascii="宋体" w:hAnsi="宋体" w:cs="宋体"/>
                <w:color w:val="auto"/>
                <w:sz w:val="24"/>
                <w:lang w:eastAsia="zh-CN"/>
              </w:rPr>
              <w:t>采购邀请</w:t>
            </w:r>
            <w:r>
              <w:rPr>
                <w:rFonts w:hint="eastAsia" w:ascii="宋体" w:hAnsi="宋体" w:cs="宋体"/>
                <w:color w:val="auto"/>
                <w:sz w:val="24"/>
              </w:rPr>
              <w:t>》</w:t>
            </w:r>
          </w:p>
        </w:tc>
        <w:tc>
          <w:tcPr>
            <w:tcW w:w="743" w:type="pct"/>
            <w:vAlign w:val="center"/>
          </w:tcPr>
          <w:p w14:paraId="1B3B8481">
            <w:pPr>
              <w:tabs>
                <w:tab w:val="left" w:pos="1080"/>
              </w:tabs>
              <w:snapToGrid w:val="0"/>
              <w:rPr>
                <w:rFonts w:ascii="宋体" w:hAnsi="宋体" w:cs="宋体"/>
                <w:color w:val="auto"/>
                <w:sz w:val="24"/>
              </w:rPr>
            </w:pPr>
            <w:r>
              <w:rPr>
                <w:rFonts w:hint="eastAsia" w:ascii="宋体" w:hAnsi="宋体" w:cs="宋体"/>
                <w:color w:val="auto"/>
                <w:sz w:val="24"/>
              </w:rPr>
              <w:t>提供证明文件的电子件或电子证照</w:t>
            </w:r>
          </w:p>
        </w:tc>
      </w:tr>
      <w:tr w14:paraId="2E2C5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69" w:type="pct"/>
            <w:vAlign w:val="center"/>
          </w:tcPr>
          <w:p w14:paraId="30635636">
            <w:pPr>
              <w:spacing w:beforeLines="0" w:afterLines="0"/>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4</w:t>
            </w:r>
          </w:p>
        </w:tc>
        <w:tc>
          <w:tcPr>
            <w:tcW w:w="1102" w:type="pct"/>
            <w:vAlign w:val="center"/>
          </w:tcPr>
          <w:p w14:paraId="0CACDECA">
            <w:pPr>
              <w:spacing w:beforeLines="0" w:afterLines="0"/>
              <w:jc w:val="left"/>
              <w:rPr>
                <w:rFonts w:hint="eastAsia" w:ascii="宋体" w:hAnsi="宋体" w:eastAsia="宋体"/>
                <w:color w:val="auto"/>
                <w:sz w:val="24"/>
                <w:szCs w:val="24"/>
              </w:rPr>
            </w:pPr>
            <w:r>
              <w:rPr>
                <w:rFonts w:hint="eastAsia" w:ascii="宋体" w:hAnsi="宋体" w:eastAsia="宋体"/>
                <w:color w:val="auto"/>
                <w:sz w:val="24"/>
                <w:szCs w:val="24"/>
                <w:lang w:val="en-US" w:eastAsia="zh-CN"/>
              </w:rPr>
              <w:t>磋商保证金（如有）</w:t>
            </w:r>
          </w:p>
        </w:tc>
        <w:tc>
          <w:tcPr>
            <w:tcW w:w="2684" w:type="pct"/>
            <w:vAlign w:val="center"/>
          </w:tcPr>
          <w:p w14:paraId="09D8C301">
            <w:pPr>
              <w:spacing w:beforeLines="0" w:afterLines="0"/>
              <w:jc w:val="lef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按照竞争性磋商文件的要求提交磋商保证 </w:t>
            </w:r>
          </w:p>
          <w:p w14:paraId="43BB3FA9">
            <w:pPr>
              <w:spacing w:beforeLines="0" w:afterLines="0"/>
              <w:jc w:val="left"/>
              <w:rPr>
                <w:rFonts w:hint="eastAsia" w:ascii="宋体" w:hAnsi="宋体" w:eastAsia="宋体"/>
                <w:color w:val="auto"/>
                <w:sz w:val="24"/>
                <w:szCs w:val="24"/>
              </w:rPr>
            </w:pPr>
            <w:r>
              <w:rPr>
                <w:rFonts w:hint="default" w:ascii="宋体" w:hAnsi="宋体" w:eastAsia="宋体"/>
                <w:color w:val="auto"/>
                <w:sz w:val="24"/>
                <w:szCs w:val="24"/>
                <w:lang w:val="en-US" w:eastAsia="zh-CN"/>
              </w:rPr>
              <w:t>金。</w:t>
            </w:r>
          </w:p>
        </w:tc>
        <w:tc>
          <w:tcPr>
            <w:tcW w:w="743" w:type="pct"/>
            <w:vAlign w:val="center"/>
          </w:tcPr>
          <w:p w14:paraId="7B73DC57">
            <w:pPr>
              <w:tabs>
                <w:tab w:val="left" w:pos="1080"/>
              </w:tabs>
              <w:snapToGrid w:val="0"/>
              <w:rPr>
                <w:rFonts w:hint="eastAsia" w:ascii="宋体" w:hAnsi="宋体" w:cs="宋体"/>
                <w:color w:val="auto"/>
                <w:sz w:val="24"/>
              </w:rPr>
            </w:pPr>
          </w:p>
        </w:tc>
      </w:tr>
      <w:tr w14:paraId="7152A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69" w:type="pct"/>
            <w:vAlign w:val="center"/>
          </w:tcPr>
          <w:p w14:paraId="36658848">
            <w:pPr>
              <w:spacing w:beforeLines="0" w:afterLines="0"/>
              <w:jc w:val="center"/>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5</w:t>
            </w:r>
          </w:p>
        </w:tc>
        <w:tc>
          <w:tcPr>
            <w:tcW w:w="1102" w:type="pct"/>
            <w:vAlign w:val="center"/>
          </w:tcPr>
          <w:p w14:paraId="07122B0E">
            <w:pPr>
              <w:spacing w:beforeLines="0" w:afterLines="0"/>
              <w:jc w:val="left"/>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获取磋商文件</w:t>
            </w:r>
          </w:p>
        </w:tc>
        <w:tc>
          <w:tcPr>
            <w:tcW w:w="2684" w:type="pct"/>
            <w:vAlign w:val="center"/>
          </w:tcPr>
          <w:p w14:paraId="62FFE1F9">
            <w:pPr>
              <w:spacing w:beforeLines="0" w:afterLines="0"/>
              <w:jc w:val="lef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在规定期限内通过北京市政府采购电子交易 </w:t>
            </w:r>
          </w:p>
          <w:p w14:paraId="7E6AB86B">
            <w:pPr>
              <w:spacing w:beforeLines="0" w:afterLines="0"/>
              <w:jc w:val="left"/>
              <w:rPr>
                <w:rFonts w:hint="eastAsia" w:ascii="宋体" w:hAnsi="宋体" w:eastAsia="宋体"/>
                <w:color w:val="auto"/>
                <w:sz w:val="24"/>
                <w:szCs w:val="24"/>
              </w:rPr>
            </w:pPr>
            <w:r>
              <w:rPr>
                <w:rFonts w:hint="default" w:ascii="宋体" w:hAnsi="宋体" w:eastAsia="宋体"/>
                <w:color w:val="auto"/>
                <w:sz w:val="24"/>
                <w:szCs w:val="24"/>
                <w:lang w:val="en-US" w:eastAsia="zh-CN"/>
              </w:rPr>
              <w:t xml:space="preserve">平台获取所参与包的磋商文件。 </w:t>
            </w:r>
          </w:p>
          <w:p w14:paraId="775C646C">
            <w:pPr>
              <w:spacing w:beforeLines="0" w:afterLines="0"/>
              <w:jc w:val="left"/>
              <w:rPr>
                <w:rFonts w:hint="eastAsia" w:ascii="宋体" w:hAnsi="宋体" w:eastAsia="宋体"/>
                <w:color w:val="auto"/>
                <w:sz w:val="24"/>
                <w:szCs w:val="24"/>
              </w:rPr>
            </w:pPr>
            <w:r>
              <w:rPr>
                <w:rFonts w:hint="default" w:ascii="宋体" w:hAnsi="宋体" w:eastAsia="宋体"/>
                <w:color w:val="auto"/>
                <w:sz w:val="24"/>
                <w:szCs w:val="24"/>
                <w:lang w:val="en-US" w:eastAsia="zh-CN"/>
              </w:rPr>
              <w:t xml:space="preserve">注：如本项目接受联合体，且供应商为联合 </w:t>
            </w:r>
          </w:p>
          <w:p w14:paraId="689F2706">
            <w:pPr>
              <w:spacing w:beforeLines="0" w:afterLines="0"/>
              <w:jc w:val="left"/>
              <w:rPr>
                <w:rFonts w:hint="eastAsia" w:ascii="宋体" w:hAnsi="宋体" w:eastAsia="宋体"/>
                <w:color w:val="auto"/>
                <w:sz w:val="24"/>
                <w:szCs w:val="24"/>
              </w:rPr>
            </w:pPr>
            <w:r>
              <w:rPr>
                <w:rFonts w:hint="default" w:ascii="宋体" w:hAnsi="宋体" w:eastAsia="宋体"/>
                <w:color w:val="auto"/>
                <w:sz w:val="24"/>
                <w:szCs w:val="24"/>
                <w:lang w:val="en-US" w:eastAsia="zh-CN"/>
              </w:rPr>
              <w:t xml:space="preserve">体时，联合体中任一成员获取文件即视为满 </w:t>
            </w:r>
          </w:p>
          <w:p w14:paraId="462E41CF">
            <w:pPr>
              <w:spacing w:beforeLines="0" w:afterLines="0"/>
              <w:jc w:val="left"/>
              <w:rPr>
                <w:rFonts w:hint="default" w:ascii="宋体" w:hAnsi="宋体" w:eastAsia="宋体"/>
                <w:color w:val="auto"/>
                <w:sz w:val="24"/>
                <w:szCs w:val="24"/>
                <w:lang w:val="en-US" w:eastAsia="zh-CN"/>
              </w:rPr>
            </w:pPr>
            <w:r>
              <w:rPr>
                <w:rFonts w:hint="default" w:ascii="宋体" w:hAnsi="宋体" w:eastAsia="宋体"/>
                <w:color w:val="auto"/>
                <w:sz w:val="24"/>
                <w:szCs w:val="24"/>
                <w:lang w:val="en-US" w:eastAsia="zh-CN"/>
              </w:rPr>
              <w:t>足要求。</w:t>
            </w:r>
          </w:p>
        </w:tc>
        <w:tc>
          <w:tcPr>
            <w:tcW w:w="743" w:type="pct"/>
            <w:vAlign w:val="center"/>
          </w:tcPr>
          <w:p w14:paraId="1B8FC938">
            <w:pPr>
              <w:tabs>
                <w:tab w:val="left" w:pos="1080"/>
              </w:tabs>
              <w:snapToGrid w:val="0"/>
              <w:rPr>
                <w:rFonts w:hint="eastAsia" w:ascii="宋体" w:hAnsi="宋体" w:cs="宋体"/>
                <w:color w:val="auto"/>
                <w:sz w:val="24"/>
              </w:rPr>
            </w:pPr>
          </w:p>
        </w:tc>
      </w:tr>
      <w:bookmarkEnd w:id="41"/>
    </w:tbl>
    <w:p w14:paraId="05600AFE">
      <w:pPr>
        <w:rPr>
          <w:rFonts w:hAnsi="宋体"/>
          <w:b/>
          <w:color w:val="auto"/>
          <w:sz w:val="24"/>
        </w:rPr>
      </w:pPr>
      <w:r>
        <w:rPr>
          <w:rFonts w:hAnsi="宋体"/>
          <w:b/>
          <w:color w:val="auto"/>
          <w:sz w:val="24"/>
        </w:rPr>
        <w:br w:type="page"/>
      </w:r>
    </w:p>
    <w:p w14:paraId="6D01AF2D">
      <w:pPr>
        <w:tabs>
          <w:tab w:val="left" w:pos="900"/>
          <w:tab w:val="left" w:pos="1080"/>
        </w:tabs>
        <w:snapToGrid w:val="0"/>
        <w:spacing w:line="360" w:lineRule="auto"/>
        <w:ind w:left="1077" w:firstLine="2650" w:firstLineChars="1100"/>
        <w:rPr>
          <w:rFonts w:hAnsi="宋体"/>
          <w:b/>
          <w:color w:val="auto"/>
          <w:sz w:val="24"/>
        </w:rPr>
      </w:pPr>
    </w:p>
    <w:p w14:paraId="4235034C">
      <w:pPr>
        <w:pStyle w:val="17"/>
        <w:kinsoku w:val="0"/>
        <w:overflowPunct w:val="0"/>
        <w:spacing w:before="6"/>
        <w:rPr>
          <w:rFonts w:hAnsi="宋体"/>
          <w:color w:val="auto"/>
          <w:sz w:val="5"/>
          <w:szCs w:val="5"/>
        </w:rPr>
      </w:pPr>
      <w:bookmarkStart w:id="42" w:name="_Hlt487972895"/>
      <w:bookmarkEnd w:id="42"/>
    </w:p>
    <w:p w14:paraId="293AEE81">
      <w:pPr>
        <w:pStyle w:val="17"/>
        <w:kinsoku w:val="0"/>
        <w:overflowPunct w:val="0"/>
        <w:spacing w:before="6"/>
        <w:rPr>
          <w:rFonts w:hAnsi="宋体"/>
          <w:color w:val="auto"/>
          <w:sz w:val="5"/>
          <w:szCs w:val="5"/>
        </w:rPr>
      </w:pPr>
    </w:p>
    <w:p w14:paraId="63858927">
      <w:pPr>
        <w:numPr>
          <w:ilvl w:val="1"/>
          <w:numId w:val="11"/>
        </w:numPr>
        <w:tabs>
          <w:tab w:val="left" w:pos="1080"/>
        </w:tabs>
        <w:autoSpaceDE/>
        <w:autoSpaceDN/>
        <w:adjustRightInd/>
        <w:snapToGrid w:val="0"/>
        <w:spacing w:line="360" w:lineRule="auto"/>
        <w:jc w:val="both"/>
        <w:rPr>
          <w:rFonts w:hAnsi="宋体"/>
          <w:color w:val="auto"/>
          <w:sz w:val="24"/>
        </w:rPr>
      </w:pPr>
      <w:r>
        <w:rPr>
          <w:rFonts w:hint="eastAsia" w:hAnsi="宋体"/>
          <w:color w:val="auto"/>
          <w:sz w:val="24"/>
        </w:rPr>
        <w:t>《符合性审查要求》见下表：</w:t>
      </w:r>
    </w:p>
    <w:p w14:paraId="06FF588F">
      <w:pPr>
        <w:widowControl/>
        <w:spacing w:line="360" w:lineRule="auto"/>
        <w:jc w:val="center"/>
        <w:rPr>
          <w:rFonts w:hint="eastAsia" w:hAnsi="宋体"/>
          <w:b/>
          <w:color w:val="auto"/>
          <w:sz w:val="24"/>
        </w:rPr>
      </w:pPr>
      <w:r>
        <w:rPr>
          <w:rFonts w:hint="eastAsia" w:hAnsi="宋体"/>
          <w:b/>
          <w:color w:val="auto"/>
          <w:sz w:val="24"/>
        </w:rPr>
        <w:t>符合性审查要求</w:t>
      </w:r>
    </w:p>
    <w:tbl>
      <w:tblPr>
        <w:tblStyle w:val="252"/>
        <w:tblW w:w="988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6"/>
        <w:gridCol w:w="1600"/>
        <w:gridCol w:w="5616"/>
        <w:gridCol w:w="1900"/>
      </w:tblGrid>
      <w:tr w14:paraId="08C77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766" w:type="dxa"/>
            <w:vAlign w:val="center"/>
          </w:tcPr>
          <w:p w14:paraId="2EA03AA4">
            <w:pPr>
              <w:autoSpaceDE w:val="0"/>
              <w:autoSpaceDN w:val="0"/>
              <w:spacing w:before="43" w:line="209" w:lineRule="auto"/>
              <w:jc w:val="center"/>
              <w:rPr>
                <w:rFonts w:ascii="宋体" w:hAnsi="宋体" w:eastAsia="宋体" w:cs="宋体"/>
                <w:b/>
                <w:bCs/>
                <w:color w:val="auto"/>
                <w:sz w:val="24"/>
                <w:szCs w:val="24"/>
                <w:highlight w:val="none"/>
              </w:rPr>
            </w:pPr>
            <w:r>
              <w:rPr>
                <w:rFonts w:ascii="宋体" w:hAnsi="宋体" w:eastAsia="宋体" w:cs="宋体"/>
                <w:b/>
                <w:bCs/>
                <w:color w:val="auto"/>
                <w:spacing w:val="-5"/>
                <w:sz w:val="24"/>
                <w:szCs w:val="24"/>
                <w:highlight w:val="none"/>
              </w:rPr>
              <w:t>序号</w:t>
            </w:r>
          </w:p>
        </w:tc>
        <w:tc>
          <w:tcPr>
            <w:tcW w:w="1600" w:type="dxa"/>
            <w:vAlign w:val="center"/>
          </w:tcPr>
          <w:p w14:paraId="4F95D923">
            <w:pPr>
              <w:autoSpaceDE w:val="0"/>
              <w:autoSpaceDN w:val="0"/>
              <w:spacing w:before="40" w:line="211" w:lineRule="auto"/>
              <w:jc w:val="center"/>
              <w:rPr>
                <w:rFonts w:ascii="宋体" w:hAnsi="宋体" w:eastAsia="宋体" w:cs="宋体"/>
                <w:b/>
                <w:bCs/>
                <w:color w:val="auto"/>
                <w:sz w:val="24"/>
                <w:szCs w:val="24"/>
                <w:highlight w:val="none"/>
              </w:rPr>
            </w:pPr>
            <w:r>
              <w:rPr>
                <w:rFonts w:ascii="宋体" w:hAnsi="宋体" w:eastAsia="宋体" w:cs="宋体"/>
                <w:b/>
                <w:bCs/>
                <w:color w:val="auto"/>
                <w:spacing w:val="-2"/>
                <w:sz w:val="24"/>
                <w:szCs w:val="24"/>
                <w:highlight w:val="none"/>
              </w:rPr>
              <w:t>审查因素</w:t>
            </w:r>
          </w:p>
        </w:tc>
        <w:tc>
          <w:tcPr>
            <w:tcW w:w="5616" w:type="dxa"/>
            <w:vAlign w:val="center"/>
          </w:tcPr>
          <w:p w14:paraId="7331CEF7">
            <w:pPr>
              <w:autoSpaceDE w:val="0"/>
              <w:autoSpaceDN w:val="0"/>
              <w:spacing w:before="40" w:line="211" w:lineRule="auto"/>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审查内容</w:t>
            </w:r>
          </w:p>
        </w:tc>
        <w:tc>
          <w:tcPr>
            <w:tcW w:w="1900" w:type="dxa"/>
            <w:vAlign w:val="center"/>
          </w:tcPr>
          <w:p w14:paraId="7B201732">
            <w:pPr>
              <w:autoSpaceDE w:val="0"/>
              <w:autoSpaceDN w:val="0"/>
              <w:spacing w:before="40" w:line="211"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是否允许澄清、说明或者更正</w:t>
            </w:r>
          </w:p>
        </w:tc>
      </w:tr>
      <w:tr w14:paraId="17D92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766" w:type="dxa"/>
            <w:vAlign w:val="center"/>
          </w:tcPr>
          <w:p w14:paraId="359DF03F">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w:t>
            </w:r>
          </w:p>
        </w:tc>
        <w:tc>
          <w:tcPr>
            <w:tcW w:w="1600" w:type="dxa"/>
            <w:vAlign w:val="center"/>
          </w:tcPr>
          <w:p w14:paraId="6E5BBFA4">
            <w:pPr>
              <w:autoSpaceDE w:val="0"/>
              <w:autoSpaceDN w:val="0"/>
              <w:spacing w:before="218" w:line="219" w:lineRule="auto"/>
              <w:ind w:left="101"/>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授权委托书</w:t>
            </w:r>
          </w:p>
        </w:tc>
        <w:tc>
          <w:tcPr>
            <w:tcW w:w="5616" w:type="dxa"/>
            <w:vAlign w:val="center"/>
          </w:tcPr>
          <w:p w14:paraId="6566D6AB">
            <w:pPr>
              <w:autoSpaceDE w:val="0"/>
              <w:autoSpaceDN w:val="0"/>
              <w:spacing w:before="218" w:line="219" w:lineRule="auto"/>
              <w:ind w:left="122"/>
              <w:jc w:val="center"/>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按</w:t>
            </w:r>
            <w:r>
              <w:rPr>
                <w:rFonts w:hint="eastAsia" w:ascii="宋体" w:hAnsi="宋体" w:eastAsia="宋体" w:cs="宋体"/>
                <w:color w:val="auto"/>
                <w:spacing w:val="8"/>
                <w:sz w:val="24"/>
                <w:szCs w:val="24"/>
                <w:highlight w:val="none"/>
                <w:lang w:eastAsia="zh-CN"/>
              </w:rPr>
              <w:t>磋商文件</w:t>
            </w:r>
            <w:r>
              <w:rPr>
                <w:rFonts w:ascii="宋体" w:hAnsi="宋体" w:eastAsia="宋体" w:cs="宋体"/>
                <w:color w:val="auto"/>
                <w:spacing w:val="8"/>
                <w:sz w:val="24"/>
                <w:szCs w:val="24"/>
                <w:highlight w:val="none"/>
              </w:rPr>
              <w:t>要求提供授权委托书；</w:t>
            </w:r>
          </w:p>
        </w:tc>
        <w:tc>
          <w:tcPr>
            <w:tcW w:w="1900" w:type="dxa"/>
            <w:vAlign w:val="center"/>
          </w:tcPr>
          <w:p w14:paraId="2B6F01C7">
            <w:pPr>
              <w:autoSpaceDE w:val="0"/>
              <w:autoSpaceDN w:val="0"/>
              <w:spacing w:before="218" w:line="219" w:lineRule="auto"/>
              <w:ind w:left="122"/>
              <w:jc w:val="center"/>
              <w:rPr>
                <w:rFonts w:ascii="宋体" w:hAnsi="宋体" w:eastAsia="宋体" w:cs="宋体"/>
                <w:color w:val="auto"/>
                <w:spacing w:val="8"/>
                <w:sz w:val="24"/>
                <w:szCs w:val="24"/>
                <w:highlight w:val="none"/>
              </w:rPr>
            </w:pPr>
            <w:r>
              <w:rPr>
                <w:rFonts w:hint="eastAsia" w:hAnsi="宋体"/>
                <w:color w:val="auto"/>
                <w:sz w:val="24"/>
                <w:highlight w:val="none"/>
              </w:rPr>
              <w:t>不允许</w:t>
            </w:r>
          </w:p>
        </w:tc>
      </w:tr>
      <w:tr w14:paraId="2F3D8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766" w:type="dxa"/>
            <w:vAlign w:val="center"/>
          </w:tcPr>
          <w:p w14:paraId="2B298473">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2</w:t>
            </w:r>
          </w:p>
        </w:tc>
        <w:tc>
          <w:tcPr>
            <w:tcW w:w="1600" w:type="dxa"/>
            <w:vAlign w:val="center"/>
          </w:tcPr>
          <w:p w14:paraId="2EE99D7C">
            <w:pPr>
              <w:autoSpaceDE w:val="0"/>
              <w:autoSpaceDN w:val="0"/>
              <w:spacing w:before="231" w:line="219" w:lineRule="auto"/>
              <w:ind w:left="101"/>
              <w:jc w:val="center"/>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投标完整性</w:t>
            </w:r>
          </w:p>
        </w:tc>
        <w:tc>
          <w:tcPr>
            <w:tcW w:w="5616" w:type="dxa"/>
            <w:vAlign w:val="center"/>
          </w:tcPr>
          <w:p w14:paraId="7CA45A6A">
            <w:pPr>
              <w:autoSpaceDE w:val="0"/>
              <w:autoSpaceDN w:val="0"/>
              <w:spacing w:before="229" w:line="219" w:lineRule="auto"/>
              <w:ind w:left="122"/>
              <w:jc w:val="center"/>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未将一个采购包中的内容拆分投标；</w:t>
            </w:r>
          </w:p>
        </w:tc>
        <w:tc>
          <w:tcPr>
            <w:tcW w:w="1900" w:type="dxa"/>
            <w:vAlign w:val="center"/>
          </w:tcPr>
          <w:p w14:paraId="05E58FDD">
            <w:pPr>
              <w:autoSpaceDE w:val="0"/>
              <w:autoSpaceDN w:val="0"/>
              <w:spacing w:before="229" w:line="219" w:lineRule="auto"/>
              <w:ind w:left="122"/>
              <w:jc w:val="center"/>
              <w:rPr>
                <w:rFonts w:ascii="宋体" w:hAnsi="宋体" w:eastAsia="宋体" w:cs="宋体"/>
                <w:color w:val="auto"/>
                <w:spacing w:val="7"/>
                <w:sz w:val="24"/>
                <w:szCs w:val="24"/>
                <w:highlight w:val="none"/>
              </w:rPr>
            </w:pPr>
            <w:r>
              <w:rPr>
                <w:rFonts w:hint="eastAsia" w:hAnsi="宋体"/>
                <w:color w:val="auto"/>
                <w:sz w:val="24"/>
                <w:highlight w:val="none"/>
              </w:rPr>
              <w:t>不允许</w:t>
            </w:r>
          </w:p>
        </w:tc>
      </w:tr>
      <w:tr w14:paraId="527B4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766" w:type="dxa"/>
            <w:vAlign w:val="center"/>
          </w:tcPr>
          <w:p w14:paraId="79500963">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3</w:t>
            </w:r>
          </w:p>
        </w:tc>
        <w:tc>
          <w:tcPr>
            <w:tcW w:w="1600" w:type="dxa"/>
            <w:vAlign w:val="center"/>
          </w:tcPr>
          <w:p w14:paraId="45B0BB0D">
            <w:pPr>
              <w:autoSpaceDE w:val="0"/>
              <w:autoSpaceDN w:val="0"/>
              <w:spacing w:before="219" w:line="218" w:lineRule="auto"/>
              <w:ind w:left="101"/>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报价</w:t>
            </w:r>
          </w:p>
        </w:tc>
        <w:tc>
          <w:tcPr>
            <w:tcW w:w="5616" w:type="dxa"/>
            <w:vAlign w:val="center"/>
          </w:tcPr>
          <w:p w14:paraId="7CB81527">
            <w:pPr>
              <w:autoSpaceDE w:val="0"/>
              <w:autoSpaceDN w:val="0"/>
              <w:spacing w:before="81" w:line="230" w:lineRule="auto"/>
              <w:ind w:left="122" w:right="22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报价未超过磋商文件中规定的项目/采购包预算金额或者项目/采购包最高限价；</w:t>
            </w:r>
          </w:p>
        </w:tc>
        <w:tc>
          <w:tcPr>
            <w:tcW w:w="1900" w:type="dxa"/>
            <w:vAlign w:val="center"/>
          </w:tcPr>
          <w:p w14:paraId="0F9D20AD">
            <w:pPr>
              <w:autoSpaceDE w:val="0"/>
              <w:autoSpaceDN w:val="0"/>
              <w:spacing w:before="81" w:line="230" w:lineRule="auto"/>
              <w:ind w:left="122" w:right="223"/>
              <w:jc w:val="center"/>
              <w:rPr>
                <w:rFonts w:ascii="宋体" w:hAnsi="宋体" w:eastAsia="宋体" w:cs="宋体"/>
                <w:color w:val="auto"/>
                <w:sz w:val="24"/>
                <w:szCs w:val="24"/>
                <w:highlight w:val="none"/>
              </w:rPr>
            </w:pPr>
            <w:r>
              <w:rPr>
                <w:rFonts w:hint="eastAsia" w:hAnsi="宋体"/>
                <w:color w:val="auto"/>
                <w:sz w:val="24"/>
                <w:highlight w:val="none"/>
              </w:rPr>
              <w:t>不允许</w:t>
            </w:r>
          </w:p>
        </w:tc>
      </w:tr>
      <w:tr w14:paraId="32A28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766" w:type="dxa"/>
            <w:vAlign w:val="center"/>
          </w:tcPr>
          <w:p w14:paraId="2AFA575B">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4</w:t>
            </w:r>
          </w:p>
        </w:tc>
        <w:tc>
          <w:tcPr>
            <w:tcW w:w="1600" w:type="dxa"/>
            <w:vAlign w:val="center"/>
          </w:tcPr>
          <w:p w14:paraId="2C6EFA56">
            <w:pPr>
              <w:autoSpaceDE w:val="0"/>
              <w:autoSpaceDN w:val="0"/>
              <w:spacing w:before="230" w:line="218" w:lineRule="auto"/>
              <w:ind w:left="101"/>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报价唯一性</w:t>
            </w:r>
          </w:p>
        </w:tc>
        <w:tc>
          <w:tcPr>
            <w:tcW w:w="5616" w:type="dxa"/>
            <w:vAlign w:val="center"/>
          </w:tcPr>
          <w:p w14:paraId="56313CB6">
            <w:pPr>
              <w:autoSpaceDE w:val="0"/>
              <w:autoSpaceDN w:val="0"/>
              <w:spacing w:before="89" w:line="230" w:lineRule="auto"/>
              <w:ind w:left="122" w:right="158"/>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eastAsia="zh-CN"/>
              </w:rPr>
              <w:t>响应文件</w:t>
            </w:r>
            <w:r>
              <w:rPr>
                <w:rFonts w:ascii="宋体" w:hAnsi="宋体" w:eastAsia="宋体" w:cs="宋体"/>
                <w:color w:val="auto"/>
                <w:spacing w:val="3"/>
                <w:sz w:val="24"/>
                <w:szCs w:val="24"/>
                <w:highlight w:val="none"/>
              </w:rPr>
              <w:t>未出现可选择性或可调整的报价(</w:t>
            </w:r>
            <w:r>
              <w:rPr>
                <w:rFonts w:hint="eastAsia" w:ascii="宋体" w:hAnsi="宋体" w:eastAsia="宋体" w:cs="宋体"/>
                <w:color w:val="auto"/>
                <w:spacing w:val="3"/>
                <w:sz w:val="24"/>
                <w:szCs w:val="24"/>
                <w:highlight w:val="none"/>
                <w:lang w:eastAsia="zh-CN"/>
              </w:rPr>
              <w:t>磋商文件</w:t>
            </w:r>
            <w:r>
              <w:rPr>
                <w:rFonts w:ascii="宋体" w:hAnsi="宋体" w:eastAsia="宋体" w:cs="宋体"/>
                <w:color w:val="auto"/>
                <w:spacing w:val="2"/>
                <w:sz w:val="24"/>
                <w:szCs w:val="24"/>
                <w:highlight w:val="none"/>
              </w:rPr>
              <w:t>另有规定</w:t>
            </w:r>
            <w:r>
              <w:rPr>
                <w:rFonts w:ascii="宋体" w:hAnsi="宋体" w:eastAsia="宋体" w:cs="宋体"/>
                <w:color w:val="auto"/>
                <w:sz w:val="24"/>
                <w:szCs w:val="24"/>
                <w:highlight w:val="none"/>
              </w:rPr>
              <w:t xml:space="preserve"> </w:t>
            </w:r>
            <w:r>
              <w:rPr>
                <w:rFonts w:ascii="宋体" w:hAnsi="宋体" w:eastAsia="宋体" w:cs="宋体"/>
                <w:color w:val="auto"/>
                <w:spacing w:val="30"/>
                <w:sz w:val="24"/>
                <w:szCs w:val="24"/>
                <w:highlight w:val="none"/>
              </w:rPr>
              <w:t>的除外);</w:t>
            </w:r>
          </w:p>
        </w:tc>
        <w:tc>
          <w:tcPr>
            <w:tcW w:w="1900" w:type="dxa"/>
            <w:vAlign w:val="center"/>
          </w:tcPr>
          <w:p w14:paraId="60C9AF61">
            <w:pPr>
              <w:autoSpaceDE w:val="0"/>
              <w:autoSpaceDN w:val="0"/>
              <w:spacing w:before="89" w:line="230" w:lineRule="auto"/>
              <w:ind w:left="122" w:right="158"/>
              <w:jc w:val="center"/>
              <w:rPr>
                <w:rFonts w:ascii="宋体" w:hAnsi="宋体" w:eastAsia="宋体" w:cs="宋体"/>
                <w:color w:val="auto"/>
                <w:spacing w:val="3"/>
                <w:sz w:val="24"/>
                <w:szCs w:val="24"/>
                <w:highlight w:val="none"/>
              </w:rPr>
            </w:pPr>
            <w:r>
              <w:rPr>
                <w:rFonts w:hint="eastAsia" w:hAnsi="宋体"/>
                <w:color w:val="auto"/>
                <w:sz w:val="24"/>
                <w:highlight w:val="none"/>
              </w:rPr>
              <w:t>不允许</w:t>
            </w:r>
          </w:p>
        </w:tc>
      </w:tr>
      <w:tr w14:paraId="4C559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766" w:type="dxa"/>
            <w:vAlign w:val="center"/>
          </w:tcPr>
          <w:p w14:paraId="0B84B58E">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5</w:t>
            </w:r>
          </w:p>
        </w:tc>
        <w:tc>
          <w:tcPr>
            <w:tcW w:w="1600" w:type="dxa"/>
            <w:vAlign w:val="center"/>
          </w:tcPr>
          <w:p w14:paraId="1916BA06">
            <w:pPr>
              <w:widowControl/>
              <w:autoSpaceDE w:val="0"/>
              <w:autoSpaceDN w:val="0"/>
              <w:jc w:val="center"/>
              <w:rPr>
                <w:rFonts w:ascii="宋体" w:hAnsi="宋体" w:eastAsia="宋体" w:cs="宋体"/>
                <w:color w:val="auto"/>
                <w:sz w:val="24"/>
                <w:szCs w:val="24"/>
                <w:highlight w:val="none"/>
              </w:rPr>
            </w:pPr>
            <w:r>
              <w:rPr>
                <w:color w:val="auto"/>
                <w:sz w:val="24"/>
                <w:szCs w:val="24"/>
                <w:highlight w:val="none"/>
              </w:rPr>
              <w:t>合同履行期限</w:t>
            </w:r>
          </w:p>
        </w:tc>
        <w:tc>
          <w:tcPr>
            <w:tcW w:w="5616" w:type="dxa"/>
            <w:vAlign w:val="center"/>
          </w:tcPr>
          <w:p w14:paraId="0FC0C46E">
            <w:pPr>
              <w:widowControl/>
              <w:autoSpaceDE w:val="0"/>
              <w:autoSpaceDN w:val="0"/>
              <w:jc w:val="center"/>
              <w:rPr>
                <w:rFonts w:ascii="宋体" w:hAnsi="宋体" w:eastAsia="宋体" w:cs="宋体"/>
                <w:color w:val="auto"/>
                <w:spacing w:val="3"/>
                <w:sz w:val="24"/>
                <w:szCs w:val="24"/>
                <w:highlight w:val="none"/>
              </w:rPr>
            </w:pP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中承诺的</w:t>
            </w:r>
            <w:r>
              <w:rPr>
                <w:color w:val="auto"/>
                <w:sz w:val="24"/>
                <w:szCs w:val="24"/>
                <w:highlight w:val="none"/>
              </w:rPr>
              <w:t>合同履行期限</w:t>
            </w: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eastAsia="zh-CN"/>
              </w:rPr>
              <w:t>磋商文件</w:t>
            </w:r>
            <w:r>
              <w:rPr>
                <w:rFonts w:hint="eastAsia" w:ascii="宋体" w:hAnsi="宋体" w:eastAsia="宋体" w:cs="宋体"/>
                <w:color w:val="auto"/>
                <w:kern w:val="0"/>
                <w:sz w:val="24"/>
                <w:szCs w:val="24"/>
                <w:highlight w:val="none"/>
              </w:rPr>
              <w:t>中载明的</w:t>
            </w:r>
            <w:r>
              <w:rPr>
                <w:color w:val="auto"/>
                <w:sz w:val="24"/>
                <w:szCs w:val="24"/>
                <w:highlight w:val="none"/>
              </w:rPr>
              <w:t>合同履行期限</w:t>
            </w:r>
            <w:r>
              <w:rPr>
                <w:rFonts w:hint="eastAsia" w:ascii="宋体" w:hAnsi="宋体" w:eastAsia="宋体" w:cs="宋体"/>
                <w:color w:val="auto"/>
                <w:kern w:val="0"/>
                <w:sz w:val="24"/>
                <w:szCs w:val="24"/>
                <w:highlight w:val="none"/>
              </w:rPr>
              <w:t>的；</w:t>
            </w:r>
          </w:p>
        </w:tc>
        <w:tc>
          <w:tcPr>
            <w:tcW w:w="1900" w:type="dxa"/>
            <w:vAlign w:val="center"/>
          </w:tcPr>
          <w:p w14:paraId="1FFE7D80">
            <w:pPr>
              <w:widowControl/>
              <w:autoSpaceDE w:val="0"/>
              <w:autoSpaceDN w:val="0"/>
              <w:jc w:val="center"/>
              <w:rPr>
                <w:rFonts w:hint="eastAsia" w:ascii="宋体" w:hAnsi="宋体" w:eastAsia="宋体" w:cs="宋体"/>
                <w:color w:val="auto"/>
                <w:kern w:val="0"/>
                <w:sz w:val="24"/>
                <w:szCs w:val="24"/>
                <w:highlight w:val="none"/>
              </w:rPr>
            </w:pPr>
            <w:r>
              <w:rPr>
                <w:rFonts w:hint="eastAsia" w:hAnsi="宋体"/>
                <w:color w:val="auto"/>
                <w:sz w:val="24"/>
                <w:highlight w:val="none"/>
              </w:rPr>
              <w:t>不允许</w:t>
            </w:r>
          </w:p>
        </w:tc>
      </w:tr>
      <w:tr w14:paraId="7F1BA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766" w:type="dxa"/>
            <w:vAlign w:val="center"/>
          </w:tcPr>
          <w:p w14:paraId="3D5CD9B7">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6</w:t>
            </w:r>
          </w:p>
        </w:tc>
        <w:tc>
          <w:tcPr>
            <w:tcW w:w="1600" w:type="dxa"/>
            <w:vAlign w:val="center"/>
          </w:tcPr>
          <w:p w14:paraId="552CB9C4">
            <w:pPr>
              <w:autoSpaceDE w:val="0"/>
              <w:autoSpaceDN w:val="0"/>
              <w:spacing w:before="234" w:line="220" w:lineRule="auto"/>
              <w:ind w:left="101"/>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磋商</w:t>
            </w:r>
            <w:r>
              <w:rPr>
                <w:rFonts w:ascii="宋体" w:hAnsi="宋体" w:eastAsia="宋体" w:cs="宋体"/>
                <w:color w:val="auto"/>
                <w:spacing w:val="3"/>
                <w:sz w:val="24"/>
                <w:szCs w:val="24"/>
                <w:highlight w:val="none"/>
              </w:rPr>
              <w:t>有效期</w:t>
            </w:r>
          </w:p>
        </w:tc>
        <w:tc>
          <w:tcPr>
            <w:tcW w:w="5616" w:type="dxa"/>
            <w:vAlign w:val="center"/>
          </w:tcPr>
          <w:p w14:paraId="73FDCE47">
            <w:pPr>
              <w:autoSpaceDE w:val="0"/>
              <w:autoSpaceDN w:val="0"/>
              <w:spacing w:before="82" w:line="226" w:lineRule="auto"/>
              <w:ind w:left="122" w:right="104"/>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ascii="宋体" w:hAnsi="宋体" w:eastAsia="宋体" w:cs="宋体"/>
                <w:color w:val="auto"/>
                <w:sz w:val="24"/>
                <w:szCs w:val="24"/>
                <w:highlight w:val="none"/>
              </w:rPr>
              <w:t>中承诺的</w:t>
            </w:r>
            <w:r>
              <w:rPr>
                <w:rFonts w:hint="eastAsia" w:ascii="宋体" w:hAnsi="宋体" w:eastAsia="宋体" w:cs="宋体"/>
                <w:color w:val="auto"/>
                <w:sz w:val="24"/>
                <w:szCs w:val="24"/>
                <w:highlight w:val="none"/>
                <w:lang w:val="en-US" w:eastAsia="zh-CN"/>
              </w:rPr>
              <w:t>磋商</w:t>
            </w:r>
            <w:r>
              <w:rPr>
                <w:rFonts w:ascii="宋体" w:hAnsi="宋体" w:eastAsia="宋体" w:cs="宋体"/>
                <w:color w:val="auto"/>
                <w:sz w:val="24"/>
                <w:szCs w:val="24"/>
                <w:highlight w:val="none"/>
              </w:rPr>
              <w:t>有效期满足</w:t>
            </w:r>
            <w:r>
              <w:rPr>
                <w:rFonts w:hint="eastAsia" w:ascii="宋体" w:hAnsi="宋体" w:eastAsia="宋体" w:cs="宋体"/>
                <w:color w:val="auto"/>
                <w:sz w:val="24"/>
                <w:szCs w:val="24"/>
                <w:highlight w:val="none"/>
                <w:lang w:eastAsia="zh-CN"/>
              </w:rPr>
              <w:t>磋商文件</w:t>
            </w:r>
            <w:r>
              <w:rPr>
                <w:rFonts w:ascii="宋体" w:hAnsi="宋体" w:eastAsia="宋体" w:cs="宋体"/>
                <w:color w:val="auto"/>
                <w:sz w:val="24"/>
                <w:szCs w:val="24"/>
                <w:highlight w:val="none"/>
              </w:rPr>
              <w:t>中载明的</w:t>
            </w:r>
            <w:r>
              <w:rPr>
                <w:rFonts w:hint="eastAsia" w:ascii="宋体" w:hAnsi="宋体" w:eastAsia="宋体" w:cs="宋体"/>
                <w:color w:val="auto"/>
                <w:sz w:val="24"/>
                <w:szCs w:val="24"/>
                <w:highlight w:val="none"/>
                <w:lang w:val="en-US" w:eastAsia="zh-CN"/>
              </w:rPr>
              <w:t>磋商</w:t>
            </w:r>
            <w:r>
              <w:rPr>
                <w:rFonts w:ascii="宋体" w:hAnsi="宋体" w:eastAsia="宋体" w:cs="宋体"/>
                <w:color w:val="auto"/>
                <w:sz w:val="24"/>
                <w:szCs w:val="24"/>
                <w:highlight w:val="none"/>
              </w:rPr>
              <w:t>有效</w:t>
            </w:r>
            <w:r>
              <w:rPr>
                <w:rFonts w:ascii="宋体" w:hAnsi="宋体" w:eastAsia="宋体" w:cs="宋体"/>
                <w:color w:val="auto"/>
                <w:spacing w:val="-11"/>
                <w:sz w:val="24"/>
                <w:szCs w:val="24"/>
                <w:highlight w:val="none"/>
              </w:rPr>
              <w:t>期的</w:t>
            </w:r>
            <w:r>
              <w:rPr>
                <w:rFonts w:ascii="宋体" w:hAnsi="宋体" w:eastAsia="宋体" w:cs="宋体"/>
                <w:color w:val="auto"/>
                <w:spacing w:val="-9"/>
                <w:sz w:val="24"/>
                <w:szCs w:val="24"/>
                <w:highlight w:val="none"/>
              </w:rPr>
              <w:t xml:space="preserve"> </w:t>
            </w:r>
            <w:r>
              <w:rPr>
                <w:rFonts w:ascii="宋体" w:hAnsi="宋体" w:eastAsia="宋体" w:cs="宋体"/>
                <w:color w:val="auto"/>
                <w:spacing w:val="-11"/>
                <w:sz w:val="24"/>
                <w:szCs w:val="24"/>
                <w:highlight w:val="none"/>
              </w:rPr>
              <w:t>；</w:t>
            </w:r>
          </w:p>
        </w:tc>
        <w:tc>
          <w:tcPr>
            <w:tcW w:w="1900" w:type="dxa"/>
            <w:vAlign w:val="center"/>
          </w:tcPr>
          <w:p w14:paraId="6827B0C1">
            <w:pPr>
              <w:autoSpaceDE w:val="0"/>
              <w:autoSpaceDN w:val="0"/>
              <w:spacing w:before="82" w:line="226" w:lineRule="auto"/>
              <w:ind w:left="122" w:right="104"/>
              <w:jc w:val="center"/>
              <w:rPr>
                <w:rFonts w:ascii="宋体" w:hAnsi="宋体" w:eastAsia="宋体" w:cs="宋体"/>
                <w:color w:val="auto"/>
                <w:sz w:val="24"/>
                <w:szCs w:val="24"/>
                <w:highlight w:val="none"/>
              </w:rPr>
            </w:pPr>
            <w:r>
              <w:rPr>
                <w:rFonts w:hint="eastAsia" w:hAnsi="宋体"/>
                <w:color w:val="auto"/>
                <w:sz w:val="24"/>
                <w:highlight w:val="none"/>
              </w:rPr>
              <w:t>不允许</w:t>
            </w:r>
          </w:p>
        </w:tc>
      </w:tr>
      <w:tr w14:paraId="2B3F6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766" w:type="dxa"/>
            <w:vAlign w:val="center"/>
          </w:tcPr>
          <w:p w14:paraId="3525BD5E">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7</w:t>
            </w:r>
          </w:p>
        </w:tc>
        <w:tc>
          <w:tcPr>
            <w:tcW w:w="1600" w:type="dxa"/>
            <w:vAlign w:val="center"/>
          </w:tcPr>
          <w:p w14:paraId="0BE71CF1">
            <w:pPr>
              <w:autoSpaceDE w:val="0"/>
              <w:autoSpaceDN w:val="0"/>
              <w:spacing w:before="225" w:line="219" w:lineRule="auto"/>
              <w:ind w:left="101"/>
              <w:jc w:val="center"/>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实质性格式</w:t>
            </w:r>
          </w:p>
        </w:tc>
        <w:tc>
          <w:tcPr>
            <w:tcW w:w="5616" w:type="dxa"/>
            <w:vAlign w:val="center"/>
          </w:tcPr>
          <w:p w14:paraId="481C01A5">
            <w:pPr>
              <w:autoSpaceDE w:val="0"/>
              <w:autoSpaceDN w:val="0"/>
              <w:spacing w:before="82" w:line="229" w:lineRule="auto"/>
              <w:ind w:left="122" w:right="113" w:hanging="1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标记为"实质性格式"的文件均按</w:t>
            </w:r>
            <w:r>
              <w:rPr>
                <w:rFonts w:hint="eastAsia" w:ascii="宋体" w:hAnsi="宋体" w:eastAsia="宋体" w:cs="宋体"/>
                <w:color w:val="auto"/>
                <w:sz w:val="24"/>
                <w:szCs w:val="24"/>
                <w:highlight w:val="none"/>
                <w:lang w:eastAsia="zh-CN"/>
              </w:rPr>
              <w:t>磋商文件</w:t>
            </w:r>
            <w:r>
              <w:rPr>
                <w:rFonts w:ascii="宋体" w:hAnsi="宋体" w:eastAsia="宋体" w:cs="宋体"/>
                <w:color w:val="auto"/>
                <w:sz w:val="24"/>
                <w:szCs w:val="24"/>
                <w:highlight w:val="none"/>
              </w:rPr>
              <w:t>要求提供且签署、盖</w:t>
            </w:r>
            <w:r>
              <w:rPr>
                <w:rFonts w:ascii="宋体" w:hAnsi="宋体" w:eastAsia="宋体" w:cs="宋体"/>
                <w:color w:val="auto"/>
                <w:spacing w:val="10"/>
                <w:sz w:val="24"/>
                <w:szCs w:val="24"/>
                <w:highlight w:val="none"/>
              </w:rPr>
              <w:t xml:space="preserve"> </w:t>
            </w:r>
            <w:r>
              <w:rPr>
                <w:rFonts w:ascii="宋体" w:hAnsi="宋体" w:eastAsia="宋体" w:cs="宋体"/>
                <w:color w:val="auto"/>
                <w:spacing w:val="-16"/>
                <w:sz w:val="24"/>
                <w:szCs w:val="24"/>
                <w:highlight w:val="none"/>
              </w:rPr>
              <w:t>章</w:t>
            </w:r>
            <w:r>
              <w:rPr>
                <w:rFonts w:ascii="宋体" w:hAnsi="宋体" w:eastAsia="宋体" w:cs="宋体"/>
                <w:color w:val="auto"/>
                <w:spacing w:val="6"/>
                <w:sz w:val="24"/>
                <w:szCs w:val="24"/>
                <w:highlight w:val="none"/>
              </w:rPr>
              <w:t xml:space="preserve"> </w:t>
            </w:r>
            <w:r>
              <w:rPr>
                <w:rFonts w:ascii="宋体" w:hAnsi="宋体" w:eastAsia="宋体" w:cs="宋体"/>
                <w:color w:val="auto"/>
                <w:spacing w:val="-16"/>
                <w:sz w:val="24"/>
                <w:szCs w:val="24"/>
                <w:highlight w:val="none"/>
              </w:rPr>
              <w:t>的</w:t>
            </w:r>
            <w:r>
              <w:rPr>
                <w:rFonts w:ascii="宋体" w:hAnsi="宋体" w:eastAsia="宋体" w:cs="宋体"/>
                <w:color w:val="auto"/>
                <w:spacing w:val="-23"/>
                <w:sz w:val="24"/>
                <w:szCs w:val="24"/>
                <w:highlight w:val="none"/>
              </w:rPr>
              <w:t xml:space="preserve"> </w:t>
            </w:r>
            <w:r>
              <w:rPr>
                <w:rFonts w:ascii="宋体" w:hAnsi="宋体" w:eastAsia="宋体" w:cs="宋体"/>
                <w:color w:val="auto"/>
                <w:spacing w:val="-16"/>
                <w:sz w:val="24"/>
                <w:szCs w:val="24"/>
                <w:highlight w:val="none"/>
              </w:rPr>
              <w:t>；</w:t>
            </w:r>
          </w:p>
        </w:tc>
        <w:tc>
          <w:tcPr>
            <w:tcW w:w="1900" w:type="dxa"/>
            <w:vAlign w:val="center"/>
          </w:tcPr>
          <w:p w14:paraId="4F81E6D9">
            <w:pPr>
              <w:autoSpaceDE w:val="0"/>
              <w:autoSpaceDN w:val="0"/>
              <w:spacing w:before="82" w:line="229" w:lineRule="auto"/>
              <w:ind w:left="122" w:right="113" w:hanging="10"/>
              <w:jc w:val="center"/>
              <w:rPr>
                <w:rFonts w:ascii="宋体" w:hAnsi="宋体" w:eastAsia="宋体" w:cs="宋体"/>
                <w:color w:val="auto"/>
                <w:sz w:val="24"/>
                <w:szCs w:val="24"/>
                <w:highlight w:val="none"/>
              </w:rPr>
            </w:pPr>
            <w:r>
              <w:rPr>
                <w:rFonts w:hint="eastAsia" w:hAnsi="宋体"/>
                <w:color w:val="auto"/>
                <w:sz w:val="24"/>
                <w:highlight w:val="none"/>
              </w:rPr>
              <w:t>不允许</w:t>
            </w:r>
          </w:p>
        </w:tc>
      </w:tr>
      <w:tr w14:paraId="54265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766" w:type="dxa"/>
            <w:vAlign w:val="center"/>
          </w:tcPr>
          <w:p w14:paraId="1D489751">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8</w:t>
            </w:r>
          </w:p>
        </w:tc>
        <w:tc>
          <w:tcPr>
            <w:tcW w:w="1600" w:type="dxa"/>
            <w:vAlign w:val="center"/>
          </w:tcPr>
          <w:p w14:paraId="6EA5911A">
            <w:pPr>
              <w:autoSpaceDE w:val="0"/>
              <w:autoSpaceDN w:val="0"/>
              <w:spacing w:before="226" w:line="219" w:lineRule="auto"/>
              <w:ind w:left="101"/>
              <w:jc w:val="center"/>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★号条款响应</w:t>
            </w:r>
          </w:p>
        </w:tc>
        <w:tc>
          <w:tcPr>
            <w:tcW w:w="5616" w:type="dxa"/>
            <w:vAlign w:val="center"/>
          </w:tcPr>
          <w:p w14:paraId="6FA2AA0B">
            <w:pPr>
              <w:autoSpaceDE w:val="0"/>
              <w:autoSpaceDN w:val="0"/>
              <w:spacing w:before="224" w:line="227" w:lineRule="auto"/>
              <w:ind w:left="122"/>
              <w:jc w:val="center"/>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eastAsia="zh-CN"/>
              </w:rPr>
              <w:t>响应文件</w:t>
            </w:r>
            <w:r>
              <w:rPr>
                <w:rFonts w:ascii="宋体" w:hAnsi="宋体" w:eastAsia="宋体" w:cs="宋体"/>
                <w:color w:val="auto"/>
                <w:spacing w:val="5"/>
                <w:sz w:val="24"/>
                <w:szCs w:val="24"/>
                <w:highlight w:val="none"/>
              </w:rPr>
              <w:t>满足</w:t>
            </w:r>
            <w:r>
              <w:rPr>
                <w:rFonts w:hint="eastAsia" w:ascii="宋体" w:hAnsi="宋体" w:eastAsia="宋体" w:cs="宋体"/>
                <w:color w:val="auto"/>
                <w:spacing w:val="5"/>
                <w:sz w:val="24"/>
                <w:szCs w:val="24"/>
                <w:highlight w:val="none"/>
                <w:lang w:eastAsia="zh-CN"/>
              </w:rPr>
              <w:t>磋商文件</w:t>
            </w:r>
            <w:r>
              <w:rPr>
                <w:rFonts w:ascii="宋体" w:hAnsi="宋体" w:eastAsia="宋体" w:cs="宋体"/>
                <w:color w:val="auto"/>
                <w:spacing w:val="5"/>
                <w:sz w:val="24"/>
                <w:szCs w:val="24"/>
                <w:highlight w:val="none"/>
              </w:rPr>
              <w:t>第五章《采购需求》中★号条款要求的；</w:t>
            </w:r>
          </w:p>
        </w:tc>
        <w:tc>
          <w:tcPr>
            <w:tcW w:w="1900" w:type="dxa"/>
            <w:vAlign w:val="center"/>
          </w:tcPr>
          <w:p w14:paraId="03E9A879">
            <w:pPr>
              <w:autoSpaceDE w:val="0"/>
              <w:autoSpaceDN w:val="0"/>
              <w:spacing w:before="224" w:line="227" w:lineRule="auto"/>
              <w:ind w:left="122"/>
              <w:jc w:val="center"/>
              <w:rPr>
                <w:rFonts w:ascii="宋体" w:hAnsi="宋体" w:eastAsia="宋体" w:cs="宋体"/>
                <w:color w:val="auto"/>
                <w:spacing w:val="5"/>
                <w:sz w:val="24"/>
                <w:szCs w:val="24"/>
                <w:highlight w:val="none"/>
              </w:rPr>
            </w:pPr>
            <w:r>
              <w:rPr>
                <w:rFonts w:hint="eastAsia" w:hAnsi="宋体"/>
                <w:color w:val="auto"/>
                <w:sz w:val="24"/>
                <w:highlight w:val="none"/>
              </w:rPr>
              <w:t>不允许</w:t>
            </w:r>
          </w:p>
        </w:tc>
      </w:tr>
      <w:tr w14:paraId="6C418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trPr>
        <w:tc>
          <w:tcPr>
            <w:tcW w:w="766" w:type="dxa"/>
            <w:vAlign w:val="center"/>
          </w:tcPr>
          <w:p w14:paraId="73E42C58">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9</w:t>
            </w:r>
          </w:p>
        </w:tc>
        <w:tc>
          <w:tcPr>
            <w:tcW w:w="1600" w:type="dxa"/>
            <w:vAlign w:val="center"/>
          </w:tcPr>
          <w:p w14:paraId="5ABFF7E5">
            <w:pPr>
              <w:autoSpaceDE w:val="0"/>
              <w:autoSpaceDN w:val="0"/>
              <w:spacing w:before="97" w:line="226" w:lineRule="auto"/>
              <w:ind w:left="101" w:right="109"/>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报价的修正(如</w:t>
            </w:r>
            <w:r>
              <w:rPr>
                <w:rFonts w:ascii="宋体" w:hAnsi="宋体" w:eastAsia="宋体" w:cs="宋体"/>
                <w:color w:val="auto"/>
                <w:spacing w:val="-6"/>
                <w:sz w:val="24"/>
                <w:szCs w:val="24"/>
                <w:highlight w:val="none"/>
              </w:rPr>
              <w:t>有</w:t>
            </w:r>
            <w:r>
              <w:rPr>
                <w:rFonts w:ascii="宋体" w:hAnsi="宋体" w:eastAsia="宋体" w:cs="宋体"/>
                <w:color w:val="auto"/>
                <w:spacing w:val="-47"/>
                <w:sz w:val="24"/>
                <w:szCs w:val="24"/>
                <w:highlight w:val="none"/>
              </w:rPr>
              <w:t xml:space="preserve"> </w:t>
            </w:r>
            <w:r>
              <w:rPr>
                <w:rFonts w:ascii="宋体" w:hAnsi="宋体" w:eastAsia="宋体" w:cs="宋体"/>
                <w:color w:val="auto"/>
                <w:spacing w:val="-6"/>
                <w:sz w:val="24"/>
                <w:szCs w:val="24"/>
                <w:highlight w:val="none"/>
              </w:rPr>
              <w:t>)</w:t>
            </w:r>
          </w:p>
        </w:tc>
        <w:tc>
          <w:tcPr>
            <w:tcW w:w="5616" w:type="dxa"/>
            <w:vAlign w:val="center"/>
          </w:tcPr>
          <w:p w14:paraId="1FB886A3">
            <w:pPr>
              <w:autoSpaceDE w:val="0"/>
              <w:autoSpaceDN w:val="0"/>
              <w:spacing w:before="96" w:line="228" w:lineRule="auto"/>
              <w:ind w:left="122" w:right="114" w:hanging="1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不涉及报价修正，或</w:t>
            </w:r>
            <w:r>
              <w:rPr>
                <w:rFonts w:hint="eastAsia" w:ascii="宋体" w:hAnsi="宋体" w:eastAsia="宋体" w:cs="宋体"/>
                <w:color w:val="auto"/>
                <w:sz w:val="24"/>
                <w:szCs w:val="24"/>
                <w:highlight w:val="none"/>
                <w:lang w:eastAsia="zh-CN"/>
              </w:rPr>
              <w:t>响应文件</w:t>
            </w:r>
            <w:r>
              <w:rPr>
                <w:rFonts w:ascii="宋体" w:hAnsi="宋体" w:eastAsia="宋体" w:cs="宋体"/>
                <w:color w:val="auto"/>
                <w:sz w:val="24"/>
                <w:szCs w:val="24"/>
                <w:highlight w:val="none"/>
              </w:rPr>
              <w:t>报价出现前后不一致时，</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9"/>
                <w:sz w:val="24"/>
                <w:szCs w:val="24"/>
                <w:highlight w:val="none"/>
              </w:rPr>
              <w:t xml:space="preserve"> </w:t>
            </w:r>
            <w:r>
              <w:rPr>
                <w:rFonts w:ascii="宋体" w:hAnsi="宋体" w:eastAsia="宋体" w:cs="宋体"/>
                <w:color w:val="auto"/>
                <w:spacing w:val="-12"/>
                <w:sz w:val="24"/>
                <w:szCs w:val="24"/>
                <w:highlight w:val="none"/>
              </w:rPr>
              <w:t>对修正后的报价予以确认；(如有)</w:t>
            </w:r>
          </w:p>
        </w:tc>
        <w:tc>
          <w:tcPr>
            <w:tcW w:w="1900" w:type="dxa"/>
            <w:vAlign w:val="center"/>
          </w:tcPr>
          <w:p w14:paraId="40ACEB9D">
            <w:pPr>
              <w:autoSpaceDE w:val="0"/>
              <w:autoSpaceDN w:val="0"/>
              <w:spacing w:before="96" w:line="228" w:lineRule="auto"/>
              <w:ind w:left="122" w:right="114" w:hanging="10"/>
              <w:jc w:val="center"/>
              <w:rPr>
                <w:rFonts w:ascii="宋体" w:hAnsi="宋体" w:eastAsia="宋体" w:cs="宋体"/>
                <w:color w:val="auto"/>
                <w:sz w:val="24"/>
                <w:szCs w:val="24"/>
                <w:highlight w:val="none"/>
              </w:rPr>
            </w:pPr>
            <w:r>
              <w:rPr>
                <w:rFonts w:hint="eastAsia" w:hAnsi="宋体"/>
                <w:color w:val="auto"/>
                <w:sz w:val="24"/>
                <w:highlight w:val="none"/>
              </w:rPr>
              <w:t>不允许</w:t>
            </w:r>
          </w:p>
        </w:tc>
      </w:tr>
      <w:tr w14:paraId="30321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8" w:hRule="atLeast"/>
        </w:trPr>
        <w:tc>
          <w:tcPr>
            <w:tcW w:w="766" w:type="dxa"/>
            <w:vAlign w:val="center"/>
          </w:tcPr>
          <w:p w14:paraId="3464AEF3">
            <w:pPr>
              <w:autoSpaceDE w:val="0"/>
              <w:autoSpaceDN w:val="0"/>
              <w:spacing w:before="299" w:line="184" w:lineRule="auto"/>
              <w:ind w:left="254" w:leftChars="0"/>
              <w:jc w:val="both"/>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10</w:t>
            </w:r>
          </w:p>
        </w:tc>
        <w:tc>
          <w:tcPr>
            <w:tcW w:w="1600" w:type="dxa"/>
            <w:vAlign w:val="center"/>
          </w:tcPr>
          <w:p w14:paraId="65B00E6C">
            <w:pPr>
              <w:autoSpaceDE w:val="0"/>
              <w:autoSpaceDN w:val="0"/>
              <w:spacing w:line="267" w:lineRule="auto"/>
              <w:jc w:val="center"/>
              <w:rPr>
                <w:rFonts w:ascii="Arial"/>
                <w:color w:val="auto"/>
                <w:sz w:val="24"/>
                <w:szCs w:val="24"/>
                <w:highlight w:val="none"/>
              </w:rPr>
            </w:pPr>
          </w:p>
          <w:p w14:paraId="6F745515">
            <w:pPr>
              <w:autoSpaceDE w:val="0"/>
              <w:autoSpaceDN w:val="0"/>
              <w:spacing w:before="78" w:line="218" w:lineRule="auto"/>
              <w:ind w:left="101"/>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报价合理性</w:t>
            </w:r>
          </w:p>
        </w:tc>
        <w:tc>
          <w:tcPr>
            <w:tcW w:w="5616" w:type="dxa"/>
            <w:vAlign w:val="center"/>
          </w:tcPr>
          <w:p w14:paraId="0F94ECA2">
            <w:pPr>
              <w:autoSpaceDE w:val="0"/>
              <w:autoSpaceDN w:val="0"/>
              <w:spacing w:before="46" w:line="225" w:lineRule="auto"/>
              <w:ind w:left="122" w:right="104" w:hanging="10"/>
              <w:jc w:val="center"/>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报价合理，或</w:t>
            </w:r>
            <w:r>
              <w:rPr>
                <w:rFonts w:hint="eastAsia" w:ascii="宋体" w:hAnsi="宋体" w:eastAsia="宋体" w:cs="宋体"/>
                <w:color w:val="auto"/>
                <w:spacing w:val="-1"/>
                <w:sz w:val="24"/>
                <w:szCs w:val="24"/>
                <w:highlight w:val="none"/>
                <w:lang w:eastAsia="zh-CN"/>
              </w:rPr>
              <w:t>供应商</w:t>
            </w:r>
            <w:r>
              <w:rPr>
                <w:rFonts w:ascii="宋体" w:hAnsi="宋体" w:eastAsia="宋体" w:cs="宋体"/>
                <w:color w:val="auto"/>
                <w:spacing w:val="-1"/>
                <w:sz w:val="24"/>
                <w:szCs w:val="24"/>
                <w:highlight w:val="none"/>
              </w:rPr>
              <w:t>的报价明显低于其他通过符合性审查</w:t>
            </w:r>
            <w:r>
              <w:rPr>
                <w:rFonts w:hint="eastAsia" w:ascii="宋体" w:hAnsi="宋体" w:eastAsia="宋体" w:cs="宋体"/>
                <w:color w:val="auto"/>
                <w:spacing w:val="-1"/>
                <w:sz w:val="24"/>
                <w:szCs w:val="24"/>
                <w:highlight w:val="none"/>
                <w:lang w:val="en-US" w:eastAsia="zh-CN"/>
              </w:rPr>
              <w:t>供应商</w:t>
            </w:r>
            <w:r>
              <w:rPr>
                <w:rFonts w:ascii="宋体" w:hAnsi="宋体" w:eastAsia="宋体" w:cs="宋体"/>
                <w:color w:val="auto"/>
                <w:sz w:val="24"/>
                <w:szCs w:val="24"/>
                <w:highlight w:val="none"/>
              </w:rPr>
              <w:t>的报价，有可能影响产品质量或者不能诚信履约的，能够应</w:t>
            </w:r>
            <w:r>
              <w:rPr>
                <w:rFonts w:ascii="宋体" w:hAnsi="宋体" w:eastAsia="宋体" w:cs="宋体"/>
                <w:color w:val="auto"/>
                <w:spacing w:val="9"/>
                <w:sz w:val="24"/>
                <w:szCs w:val="24"/>
                <w:highlight w:val="none"/>
              </w:rPr>
              <w:t xml:space="preserve"> </w:t>
            </w:r>
            <w:r>
              <w:rPr>
                <w:rFonts w:ascii="宋体" w:hAnsi="宋体" w:eastAsia="宋体" w:cs="宋体"/>
                <w:color w:val="auto"/>
                <w:spacing w:val="5"/>
                <w:sz w:val="24"/>
                <w:szCs w:val="24"/>
                <w:highlight w:val="none"/>
              </w:rPr>
              <w:t>评标委员会要求在规定时间内证明其报价合理性的；</w:t>
            </w:r>
          </w:p>
        </w:tc>
        <w:tc>
          <w:tcPr>
            <w:tcW w:w="1900" w:type="dxa"/>
            <w:vAlign w:val="center"/>
          </w:tcPr>
          <w:p w14:paraId="0688D5B2">
            <w:pPr>
              <w:autoSpaceDE w:val="0"/>
              <w:autoSpaceDN w:val="0"/>
              <w:spacing w:before="46" w:line="225" w:lineRule="auto"/>
              <w:ind w:left="122" w:right="104" w:hanging="10"/>
              <w:jc w:val="center"/>
              <w:rPr>
                <w:rFonts w:ascii="宋体" w:hAnsi="宋体" w:eastAsia="宋体" w:cs="宋体"/>
                <w:color w:val="auto"/>
                <w:spacing w:val="-1"/>
                <w:sz w:val="24"/>
                <w:szCs w:val="24"/>
                <w:highlight w:val="none"/>
              </w:rPr>
            </w:pPr>
            <w:r>
              <w:rPr>
                <w:rFonts w:hint="eastAsia" w:hAnsi="宋体"/>
                <w:color w:val="auto"/>
                <w:sz w:val="24"/>
                <w:highlight w:val="none"/>
              </w:rPr>
              <w:t>不允许</w:t>
            </w:r>
          </w:p>
        </w:tc>
      </w:tr>
      <w:tr w14:paraId="33EED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766" w:type="dxa"/>
            <w:vAlign w:val="center"/>
          </w:tcPr>
          <w:p w14:paraId="7275F37F">
            <w:pPr>
              <w:autoSpaceDE w:val="0"/>
              <w:autoSpaceDN w:val="0"/>
              <w:spacing w:before="299" w:line="184" w:lineRule="auto"/>
              <w:ind w:left="254" w:leftChars="0"/>
              <w:jc w:val="both"/>
              <w:rPr>
                <w:rFonts w:hint="eastAsia" w:ascii="宋体" w:hAnsi="宋体" w:eastAsia="宋体" w:cs="宋体"/>
                <w:color w:val="auto"/>
                <w:spacing w:val="-7"/>
                <w:sz w:val="24"/>
                <w:szCs w:val="24"/>
                <w:highlight w:val="none"/>
                <w:lang w:val="en-US" w:eastAsia="zh-CN"/>
              </w:rPr>
            </w:pPr>
          </w:p>
          <w:p w14:paraId="154EBFEA">
            <w:pPr>
              <w:autoSpaceDE w:val="0"/>
              <w:autoSpaceDN w:val="0"/>
              <w:spacing w:before="299" w:line="184" w:lineRule="auto"/>
              <w:ind w:left="254" w:leftChars="0"/>
              <w:jc w:val="both"/>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11</w:t>
            </w:r>
          </w:p>
        </w:tc>
        <w:tc>
          <w:tcPr>
            <w:tcW w:w="1600" w:type="dxa"/>
            <w:vAlign w:val="center"/>
          </w:tcPr>
          <w:p w14:paraId="166C436F">
            <w:pPr>
              <w:autoSpaceDE w:val="0"/>
              <w:autoSpaceDN w:val="0"/>
              <w:spacing w:line="286" w:lineRule="auto"/>
              <w:jc w:val="center"/>
              <w:rPr>
                <w:rFonts w:ascii="Arial"/>
                <w:color w:val="auto"/>
                <w:sz w:val="24"/>
                <w:szCs w:val="24"/>
                <w:highlight w:val="none"/>
              </w:rPr>
            </w:pPr>
          </w:p>
          <w:p w14:paraId="5F4214ED">
            <w:pPr>
              <w:autoSpaceDE w:val="0"/>
              <w:autoSpaceDN w:val="0"/>
              <w:spacing w:before="78" w:line="219" w:lineRule="auto"/>
              <w:ind w:left="121" w:leftChars="0"/>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公平竞争</w:t>
            </w:r>
          </w:p>
        </w:tc>
        <w:tc>
          <w:tcPr>
            <w:tcW w:w="5616" w:type="dxa"/>
            <w:vAlign w:val="center"/>
          </w:tcPr>
          <w:p w14:paraId="42ECF79A">
            <w:pPr>
              <w:autoSpaceDE w:val="0"/>
              <w:autoSpaceDN w:val="0"/>
              <w:spacing w:before="75" w:line="224" w:lineRule="auto"/>
              <w:ind w:left="132" w:leftChars="0" w:right="140" w:rightChars="0" w:hanging="10" w:firstLineChars="0"/>
              <w:jc w:val="center"/>
              <w:rPr>
                <w:rFonts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遵循公平竞争的原则，不存在恶意串通，妨碍其他</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的竞争行为，不存在损害采购人或者其他</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的合法权益</w:t>
            </w:r>
            <w:r>
              <w:rPr>
                <w:rFonts w:ascii="宋体" w:hAnsi="宋体" w:eastAsia="宋体" w:cs="宋体"/>
                <w:color w:val="auto"/>
                <w:spacing w:val="10"/>
                <w:sz w:val="24"/>
                <w:szCs w:val="24"/>
                <w:highlight w:val="none"/>
              </w:rPr>
              <w:t xml:space="preserve"> </w:t>
            </w:r>
            <w:r>
              <w:rPr>
                <w:rFonts w:ascii="宋体" w:hAnsi="宋体" w:eastAsia="宋体" w:cs="宋体"/>
                <w:color w:val="auto"/>
                <w:spacing w:val="28"/>
                <w:sz w:val="24"/>
                <w:szCs w:val="24"/>
                <w:highlight w:val="none"/>
              </w:rPr>
              <w:t>情形的</w:t>
            </w:r>
            <w:r>
              <w:rPr>
                <w:rFonts w:ascii="宋体" w:hAnsi="宋体" w:eastAsia="宋体" w:cs="宋体"/>
                <w:color w:val="auto"/>
                <w:spacing w:val="-57"/>
                <w:sz w:val="24"/>
                <w:szCs w:val="24"/>
                <w:highlight w:val="none"/>
              </w:rPr>
              <w:t xml:space="preserve"> </w:t>
            </w:r>
            <w:r>
              <w:rPr>
                <w:rFonts w:ascii="宋体" w:hAnsi="宋体" w:eastAsia="宋体" w:cs="宋体"/>
                <w:color w:val="auto"/>
                <w:spacing w:val="28"/>
                <w:sz w:val="24"/>
                <w:szCs w:val="24"/>
                <w:highlight w:val="none"/>
              </w:rPr>
              <w:t>；</w:t>
            </w:r>
          </w:p>
        </w:tc>
        <w:tc>
          <w:tcPr>
            <w:tcW w:w="1900" w:type="dxa"/>
            <w:vAlign w:val="center"/>
          </w:tcPr>
          <w:p w14:paraId="69550657">
            <w:pPr>
              <w:autoSpaceDE w:val="0"/>
              <w:autoSpaceDN w:val="0"/>
              <w:spacing w:before="75" w:line="224" w:lineRule="auto"/>
              <w:ind w:left="132" w:leftChars="0" w:right="140" w:rightChars="0" w:hanging="10" w:firstLineChars="0"/>
              <w:jc w:val="center"/>
              <w:rPr>
                <w:rFonts w:ascii="宋体" w:hAnsi="宋体" w:eastAsia="宋体" w:cs="宋体"/>
                <w:color w:val="auto"/>
                <w:sz w:val="24"/>
                <w:szCs w:val="24"/>
                <w:highlight w:val="none"/>
              </w:rPr>
            </w:pPr>
            <w:r>
              <w:rPr>
                <w:rFonts w:hint="eastAsia" w:hAnsi="宋体"/>
                <w:color w:val="auto"/>
                <w:sz w:val="24"/>
                <w:highlight w:val="none"/>
              </w:rPr>
              <w:t>不允许</w:t>
            </w:r>
          </w:p>
        </w:tc>
      </w:tr>
      <w:tr w14:paraId="1C832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6" w:hRule="atLeast"/>
        </w:trPr>
        <w:tc>
          <w:tcPr>
            <w:tcW w:w="766" w:type="dxa"/>
            <w:vAlign w:val="center"/>
          </w:tcPr>
          <w:p w14:paraId="341E5DD1">
            <w:pPr>
              <w:autoSpaceDE w:val="0"/>
              <w:autoSpaceDN w:val="0"/>
              <w:spacing w:before="299" w:line="184" w:lineRule="auto"/>
              <w:ind w:left="254" w:leftChars="0"/>
              <w:jc w:val="both"/>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12</w:t>
            </w:r>
          </w:p>
        </w:tc>
        <w:tc>
          <w:tcPr>
            <w:tcW w:w="1600" w:type="dxa"/>
            <w:vAlign w:val="center"/>
          </w:tcPr>
          <w:p w14:paraId="4C60A88B">
            <w:pPr>
              <w:autoSpaceDE w:val="0"/>
              <w:autoSpaceDN w:val="0"/>
              <w:spacing w:before="78" w:line="220" w:lineRule="auto"/>
              <w:ind w:left="121" w:leftChars="0"/>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串通投标</w:t>
            </w:r>
          </w:p>
        </w:tc>
        <w:tc>
          <w:tcPr>
            <w:tcW w:w="5616" w:type="dxa"/>
            <w:vAlign w:val="center"/>
          </w:tcPr>
          <w:p w14:paraId="7EC16931">
            <w:pPr>
              <w:autoSpaceDE w:val="0"/>
              <w:autoSpaceDN w:val="0"/>
              <w:spacing w:before="56" w:line="241" w:lineRule="auto"/>
              <w:ind w:left="131" w:leftChars="0" w:hanging="9" w:firstLineChars="0"/>
              <w:jc w:val="center"/>
              <w:rPr>
                <w:rFonts w:ascii="宋体" w:hAnsi="宋体" w:eastAsia="宋体" w:cs="宋体"/>
                <w:color w:val="auto"/>
                <w:spacing w:val="-1"/>
                <w:sz w:val="24"/>
                <w:szCs w:val="24"/>
                <w:highlight w:val="none"/>
              </w:rPr>
            </w:pPr>
            <w:r>
              <w:rPr>
                <w:rFonts w:ascii="宋体" w:hAnsi="宋体" w:eastAsia="宋体" w:cs="宋体"/>
                <w:color w:val="auto"/>
                <w:spacing w:val="10"/>
                <w:sz w:val="24"/>
                <w:szCs w:val="24"/>
                <w:highlight w:val="none"/>
              </w:rPr>
              <w:t>不存在《政府采购货物和服务招标投标管理办法》视为</w:t>
            </w:r>
            <w:r>
              <w:rPr>
                <w:rFonts w:hint="eastAsia" w:ascii="宋体" w:hAnsi="宋体" w:eastAsia="宋体" w:cs="宋体"/>
                <w:color w:val="auto"/>
                <w:spacing w:val="10"/>
                <w:sz w:val="24"/>
                <w:szCs w:val="24"/>
                <w:highlight w:val="none"/>
                <w:lang w:eastAsia="zh-CN"/>
              </w:rPr>
              <w:t>供应商</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串通投标的情形：(一)不同</w:t>
            </w:r>
            <w:r>
              <w:rPr>
                <w:rFonts w:hint="eastAsia" w:ascii="宋体" w:hAnsi="宋体" w:eastAsia="宋体" w:cs="宋体"/>
                <w:color w:val="auto"/>
                <w:spacing w:val="10"/>
                <w:sz w:val="24"/>
                <w:szCs w:val="24"/>
                <w:highlight w:val="none"/>
                <w:lang w:eastAsia="zh-CN"/>
              </w:rPr>
              <w:t>供应商</w:t>
            </w:r>
            <w:r>
              <w:rPr>
                <w:rFonts w:ascii="宋体" w:hAnsi="宋体" w:eastAsia="宋体" w:cs="宋体"/>
                <w:color w:val="auto"/>
                <w:spacing w:val="10"/>
                <w:sz w:val="24"/>
                <w:szCs w:val="24"/>
                <w:highlight w:val="none"/>
              </w:rPr>
              <w:t>的</w:t>
            </w:r>
            <w:r>
              <w:rPr>
                <w:rFonts w:hint="eastAsia" w:ascii="宋体" w:hAnsi="宋体" w:eastAsia="宋体" w:cs="宋体"/>
                <w:color w:val="auto"/>
                <w:spacing w:val="10"/>
                <w:sz w:val="24"/>
                <w:szCs w:val="24"/>
                <w:highlight w:val="none"/>
                <w:lang w:eastAsia="zh-CN"/>
              </w:rPr>
              <w:t>响应文件</w:t>
            </w:r>
            <w:r>
              <w:rPr>
                <w:rFonts w:ascii="宋体" w:hAnsi="宋体" w:eastAsia="宋体" w:cs="宋体"/>
                <w:color w:val="auto"/>
                <w:spacing w:val="10"/>
                <w:sz w:val="24"/>
                <w:szCs w:val="24"/>
                <w:highlight w:val="none"/>
              </w:rPr>
              <w:t>由同一单位或者</w:t>
            </w:r>
            <w:r>
              <w:rPr>
                <w:rFonts w:ascii="宋体" w:hAnsi="宋体" w:eastAsia="宋体" w:cs="宋体"/>
                <w:color w:val="auto"/>
                <w:spacing w:val="5"/>
                <w:sz w:val="24"/>
                <w:szCs w:val="24"/>
                <w:highlight w:val="none"/>
              </w:rPr>
              <w:t xml:space="preserve">  </w:t>
            </w:r>
            <w:r>
              <w:rPr>
                <w:rFonts w:ascii="宋体" w:hAnsi="宋体" w:eastAsia="宋体" w:cs="宋体"/>
                <w:color w:val="auto"/>
                <w:spacing w:val="10"/>
                <w:sz w:val="24"/>
                <w:szCs w:val="24"/>
                <w:highlight w:val="none"/>
              </w:rPr>
              <w:t>个人编制；(二)不同</w:t>
            </w:r>
            <w:r>
              <w:rPr>
                <w:rFonts w:hint="eastAsia" w:ascii="宋体" w:hAnsi="宋体" w:eastAsia="宋体" w:cs="宋体"/>
                <w:color w:val="auto"/>
                <w:spacing w:val="10"/>
                <w:sz w:val="24"/>
                <w:szCs w:val="24"/>
                <w:highlight w:val="none"/>
                <w:lang w:eastAsia="zh-CN"/>
              </w:rPr>
              <w:t>供应商</w:t>
            </w:r>
            <w:r>
              <w:rPr>
                <w:rFonts w:ascii="宋体" w:hAnsi="宋体" w:eastAsia="宋体" w:cs="宋体"/>
                <w:color w:val="auto"/>
                <w:spacing w:val="10"/>
                <w:sz w:val="24"/>
                <w:szCs w:val="24"/>
                <w:highlight w:val="none"/>
              </w:rPr>
              <w:t>委托同一单位或者个人办理投标事</w:t>
            </w:r>
            <w:r>
              <w:rPr>
                <w:rFonts w:ascii="宋体" w:hAnsi="宋体" w:eastAsia="宋体" w:cs="宋体"/>
                <w:color w:val="auto"/>
                <w:spacing w:val="5"/>
                <w:sz w:val="24"/>
                <w:szCs w:val="24"/>
                <w:highlight w:val="none"/>
              </w:rPr>
              <w:t xml:space="preserve">  </w:t>
            </w:r>
            <w:r>
              <w:rPr>
                <w:rFonts w:ascii="宋体" w:hAnsi="宋体" w:eastAsia="宋体" w:cs="宋体"/>
                <w:color w:val="auto"/>
                <w:spacing w:val="11"/>
                <w:sz w:val="24"/>
                <w:szCs w:val="24"/>
                <w:highlight w:val="none"/>
              </w:rPr>
              <w:t>宜；(三)不同</w:t>
            </w:r>
            <w:r>
              <w:rPr>
                <w:rFonts w:hint="eastAsia" w:ascii="宋体" w:hAnsi="宋体" w:eastAsia="宋体" w:cs="宋体"/>
                <w:color w:val="auto"/>
                <w:spacing w:val="11"/>
                <w:sz w:val="24"/>
                <w:szCs w:val="24"/>
                <w:highlight w:val="none"/>
                <w:lang w:eastAsia="zh-CN"/>
              </w:rPr>
              <w:t>供应商</w:t>
            </w:r>
            <w:r>
              <w:rPr>
                <w:rFonts w:ascii="宋体" w:hAnsi="宋体" w:eastAsia="宋体" w:cs="宋体"/>
                <w:color w:val="auto"/>
                <w:spacing w:val="11"/>
                <w:sz w:val="24"/>
                <w:szCs w:val="24"/>
                <w:highlight w:val="none"/>
              </w:rPr>
              <w:t>的</w:t>
            </w:r>
            <w:r>
              <w:rPr>
                <w:rFonts w:hint="eastAsia" w:ascii="宋体" w:hAnsi="宋体" w:eastAsia="宋体" w:cs="宋体"/>
                <w:color w:val="auto"/>
                <w:spacing w:val="11"/>
                <w:sz w:val="24"/>
                <w:szCs w:val="24"/>
                <w:highlight w:val="none"/>
                <w:lang w:eastAsia="zh-CN"/>
              </w:rPr>
              <w:t>响应文件</w:t>
            </w:r>
            <w:r>
              <w:rPr>
                <w:rFonts w:ascii="宋体" w:hAnsi="宋体" w:eastAsia="宋体" w:cs="宋体"/>
                <w:color w:val="auto"/>
                <w:spacing w:val="11"/>
                <w:sz w:val="24"/>
                <w:szCs w:val="24"/>
                <w:highlight w:val="none"/>
              </w:rPr>
              <w:t>载明的项目管理</w:t>
            </w:r>
            <w:r>
              <w:rPr>
                <w:rFonts w:ascii="宋体" w:hAnsi="宋体" w:eastAsia="宋体" w:cs="宋体"/>
                <w:color w:val="auto"/>
                <w:spacing w:val="10"/>
                <w:sz w:val="24"/>
                <w:szCs w:val="24"/>
                <w:highlight w:val="none"/>
              </w:rPr>
              <w:t>成员或者联系</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人员为同一人；(四)不同</w:t>
            </w:r>
            <w:r>
              <w:rPr>
                <w:rFonts w:hint="eastAsia" w:ascii="宋体" w:hAnsi="宋体" w:eastAsia="宋体" w:cs="宋体"/>
                <w:color w:val="auto"/>
                <w:spacing w:val="10"/>
                <w:sz w:val="24"/>
                <w:szCs w:val="24"/>
                <w:highlight w:val="none"/>
                <w:lang w:eastAsia="zh-CN"/>
              </w:rPr>
              <w:t>供应商</w:t>
            </w:r>
            <w:r>
              <w:rPr>
                <w:rFonts w:ascii="宋体" w:hAnsi="宋体" w:eastAsia="宋体" w:cs="宋体"/>
                <w:color w:val="auto"/>
                <w:spacing w:val="10"/>
                <w:sz w:val="24"/>
                <w:szCs w:val="24"/>
                <w:highlight w:val="none"/>
              </w:rPr>
              <w:t>的</w:t>
            </w:r>
            <w:r>
              <w:rPr>
                <w:rFonts w:hint="eastAsia" w:ascii="宋体" w:hAnsi="宋体" w:eastAsia="宋体" w:cs="宋体"/>
                <w:color w:val="auto"/>
                <w:spacing w:val="10"/>
                <w:sz w:val="24"/>
                <w:szCs w:val="24"/>
                <w:highlight w:val="none"/>
                <w:lang w:eastAsia="zh-CN"/>
              </w:rPr>
              <w:t>响应文件</w:t>
            </w:r>
            <w:r>
              <w:rPr>
                <w:rFonts w:ascii="宋体" w:hAnsi="宋体" w:eastAsia="宋体" w:cs="宋体"/>
                <w:color w:val="auto"/>
                <w:spacing w:val="10"/>
                <w:sz w:val="24"/>
                <w:szCs w:val="24"/>
                <w:highlight w:val="none"/>
              </w:rPr>
              <w:t>异常一致或者投标</w:t>
            </w:r>
            <w:r>
              <w:rPr>
                <w:rFonts w:ascii="宋体" w:hAnsi="宋体" w:eastAsia="宋体" w:cs="宋体"/>
                <w:color w:val="auto"/>
                <w:spacing w:val="4"/>
                <w:sz w:val="24"/>
                <w:szCs w:val="24"/>
                <w:highlight w:val="none"/>
              </w:rPr>
              <w:t xml:space="preserve">  </w:t>
            </w:r>
            <w:r>
              <w:rPr>
                <w:rFonts w:ascii="宋体" w:hAnsi="宋体" w:eastAsia="宋体" w:cs="宋体"/>
                <w:color w:val="auto"/>
                <w:spacing w:val="6"/>
                <w:sz w:val="24"/>
                <w:szCs w:val="24"/>
                <w:highlight w:val="none"/>
              </w:rPr>
              <w:t>报价呈规律性差异；(五)不同</w:t>
            </w:r>
            <w:r>
              <w:rPr>
                <w:rFonts w:hint="eastAsia" w:ascii="宋体" w:hAnsi="宋体" w:eastAsia="宋体" w:cs="宋体"/>
                <w:color w:val="auto"/>
                <w:spacing w:val="6"/>
                <w:sz w:val="24"/>
                <w:szCs w:val="24"/>
                <w:highlight w:val="none"/>
                <w:lang w:eastAsia="zh-CN"/>
              </w:rPr>
              <w:t>供应商</w:t>
            </w:r>
            <w:r>
              <w:rPr>
                <w:rFonts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lang w:eastAsia="zh-CN"/>
              </w:rPr>
              <w:t>响应文件</w:t>
            </w:r>
            <w:r>
              <w:rPr>
                <w:rFonts w:ascii="宋体" w:hAnsi="宋体" w:eastAsia="宋体" w:cs="宋体"/>
                <w:color w:val="auto"/>
                <w:spacing w:val="6"/>
                <w:sz w:val="24"/>
                <w:szCs w:val="24"/>
                <w:highlight w:val="none"/>
              </w:rPr>
              <w:t>相互混装；(六)</w:t>
            </w:r>
            <w:r>
              <w:rPr>
                <w:rFonts w:ascii="宋体" w:hAnsi="宋体" w:eastAsia="宋体" w:cs="宋体"/>
                <w:color w:val="auto"/>
                <w:spacing w:val="11"/>
                <w:sz w:val="24"/>
                <w:szCs w:val="24"/>
                <w:highlight w:val="none"/>
              </w:rPr>
              <w:t xml:space="preserve"> </w:t>
            </w:r>
            <w:r>
              <w:rPr>
                <w:rFonts w:ascii="宋体" w:hAnsi="宋体" w:eastAsia="宋体" w:cs="宋体"/>
                <w:color w:val="auto"/>
                <w:spacing w:val="14"/>
                <w:sz w:val="24"/>
                <w:szCs w:val="24"/>
                <w:highlight w:val="none"/>
              </w:rPr>
              <w:t>不同</w:t>
            </w:r>
            <w:r>
              <w:rPr>
                <w:rFonts w:hint="eastAsia" w:ascii="宋体" w:hAnsi="宋体" w:eastAsia="宋体" w:cs="宋体"/>
                <w:color w:val="auto"/>
                <w:spacing w:val="14"/>
                <w:sz w:val="24"/>
                <w:szCs w:val="24"/>
                <w:highlight w:val="none"/>
                <w:lang w:eastAsia="zh-CN"/>
              </w:rPr>
              <w:t>供应商</w:t>
            </w:r>
            <w:r>
              <w:rPr>
                <w:rFonts w:ascii="宋体" w:hAnsi="宋体" w:eastAsia="宋体" w:cs="宋体"/>
                <w:color w:val="auto"/>
                <w:spacing w:val="14"/>
                <w:sz w:val="24"/>
                <w:szCs w:val="24"/>
                <w:highlight w:val="none"/>
              </w:rPr>
              <w:t>的投标保证金从同一单位或者个人的账户转出；</w:t>
            </w:r>
          </w:p>
        </w:tc>
        <w:tc>
          <w:tcPr>
            <w:tcW w:w="1900" w:type="dxa"/>
            <w:vAlign w:val="center"/>
          </w:tcPr>
          <w:p w14:paraId="353DC466">
            <w:pPr>
              <w:autoSpaceDE w:val="0"/>
              <w:autoSpaceDN w:val="0"/>
              <w:spacing w:before="56" w:line="241" w:lineRule="auto"/>
              <w:ind w:left="131" w:leftChars="0" w:hanging="9" w:firstLineChars="0"/>
              <w:jc w:val="center"/>
              <w:rPr>
                <w:rFonts w:ascii="宋体" w:hAnsi="宋体" w:eastAsia="宋体" w:cs="宋体"/>
                <w:color w:val="auto"/>
                <w:spacing w:val="10"/>
                <w:sz w:val="24"/>
                <w:szCs w:val="24"/>
                <w:highlight w:val="none"/>
              </w:rPr>
            </w:pPr>
            <w:r>
              <w:rPr>
                <w:rFonts w:hint="eastAsia" w:hAnsi="宋体"/>
                <w:color w:val="auto"/>
                <w:sz w:val="24"/>
                <w:highlight w:val="none"/>
              </w:rPr>
              <w:t>不允许</w:t>
            </w:r>
          </w:p>
        </w:tc>
      </w:tr>
      <w:tr w14:paraId="7E64D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1" w:hRule="atLeast"/>
        </w:trPr>
        <w:tc>
          <w:tcPr>
            <w:tcW w:w="766" w:type="dxa"/>
            <w:vAlign w:val="center"/>
          </w:tcPr>
          <w:p w14:paraId="56060BDC">
            <w:pPr>
              <w:autoSpaceDE w:val="0"/>
              <w:autoSpaceDN w:val="0"/>
              <w:spacing w:before="299" w:line="184" w:lineRule="auto"/>
              <w:ind w:left="254" w:leftChars="0"/>
              <w:jc w:val="both"/>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13</w:t>
            </w:r>
          </w:p>
        </w:tc>
        <w:tc>
          <w:tcPr>
            <w:tcW w:w="1600" w:type="dxa"/>
            <w:vAlign w:val="center"/>
          </w:tcPr>
          <w:p w14:paraId="4065B236">
            <w:pPr>
              <w:autoSpaceDE w:val="0"/>
              <w:autoSpaceDN w:val="0"/>
              <w:spacing w:before="227" w:line="219" w:lineRule="auto"/>
              <w:ind w:left="121" w:leftChars="0"/>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附加条件</w:t>
            </w:r>
          </w:p>
        </w:tc>
        <w:tc>
          <w:tcPr>
            <w:tcW w:w="5616" w:type="dxa"/>
            <w:vAlign w:val="center"/>
          </w:tcPr>
          <w:p w14:paraId="1B6EB6B1">
            <w:pPr>
              <w:autoSpaceDE w:val="0"/>
              <w:autoSpaceDN w:val="0"/>
              <w:spacing w:before="227" w:line="219" w:lineRule="auto"/>
              <w:ind w:left="132" w:leftChars="0"/>
              <w:jc w:val="center"/>
              <w:rPr>
                <w:rFonts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lang w:eastAsia="zh-CN"/>
              </w:rPr>
              <w:t>响应文件</w:t>
            </w:r>
            <w:r>
              <w:rPr>
                <w:rFonts w:ascii="宋体" w:hAnsi="宋体" w:eastAsia="宋体" w:cs="宋体"/>
                <w:color w:val="auto"/>
                <w:spacing w:val="5"/>
                <w:sz w:val="24"/>
                <w:szCs w:val="24"/>
                <w:highlight w:val="none"/>
              </w:rPr>
              <w:t>未含有采购人不能接受的附加条件的；</w:t>
            </w:r>
          </w:p>
        </w:tc>
        <w:tc>
          <w:tcPr>
            <w:tcW w:w="1900" w:type="dxa"/>
            <w:vAlign w:val="center"/>
          </w:tcPr>
          <w:p w14:paraId="2A3228AA">
            <w:pPr>
              <w:autoSpaceDE w:val="0"/>
              <w:autoSpaceDN w:val="0"/>
              <w:spacing w:before="227" w:line="219" w:lineRule="auto"/>
              <w:ind w:left="132" w:leftChars="0"/>
              <w:jc w:val="center"/>
              <w:rPr>
                <w:rFonts w:ascii="宋体" w:hAnsi="宋体" w:eastAsia="宋体" w:cs="宋体"/>
                <w:color w:val="auto"/>
                <w:spacing w:val="5"/>
                <w:sz w:val="24"/>
                <w:szCs w:val="24"/>
                <w:highlight w:val="none"/>
              </w:rPr>
            </w:pPr>
            <w:r>
              <w:rPr>
                <w:rFonts w:hint="eastAsia" w:hAnsi="宋体"/>
                <w:color w:val="auto"/>
                <w:sz w:val="24"/>
                <w:highlight w:val="none"/>
              </w:rPr>
              <w:t>不允许</w:t>
            </w:r>
          </w:p>
        </w:tc>
      </w:tr>
      <w:tr w14:paraId="757C6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2" w:hRule="atLeast"/>
        </w:trPr>
        <w:tc>
          <w:tcPr>
            <w:tcW w:w="766" w:type="dxa"/>
            <w:vAlign w:val="center"/>
          </w:tcPr>
          <w:p w14:paraId="346AFDFE">
            <w:pPr>
              <w:autoSpaceDE w:val="0"/>
              <w:autoSpaceDN w:val="0"/>
              <w:spacing w:before="299" w:line="184" w:lineRule="auto"/>
              <w:ind w:left="254" w:leftChars="0"/>
              <w:jc w:val="both"/>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14</w:t>
            </w:r>
          </w:p>
        </w:tc>
        <w:tc>
          <w:tcPr>
            <w:tcW w:w="1600" w:type="dxa"/>
            <w:vAlign w:val="center"/>
          </w:tcPr>
          <w:p w14:paraId="21595C0C">
            <w:pPr>
              <w:autoSpaceDE w:val="0"/>
              <w:autoSpaceDN w:val="0"/>
              <w:spacing w:before="239" w:line="220" w:lineRule="auto"/>
              <w:ind w:left="121" w:leftChars="0"/>
              <w:jc w:val="center"/>
              <w:rPr>
                <w:rFonts w:ascii="宋体" w:hAnsi="宋体" w:eastAsia="宋体" w:cs="宋体"/>
                <w:color w:val="auto"/>
                <w:spacing w:val="-2"/>
                <w:sz w:val="24"/>
                <w:szCs w:val="24"/>
                <w:highlight w:val="none"/>
              </w:rPr>
            </w:pPr>
            <w:r>
              <w:rPr>
                <w:rFonts w:ascii="宋体" w:hAnsi="宋体" w:eastAsia="宋体" w:cs="宋体"/>
                <w:color w:val="auto"/>
                <w:spacing w:val="1"/>
                <w:sz w:val="24"/>
                <w:szCs w:val="24"/>
                <w:highlight w:val="none"/>
              </w:rPr>
              <w:t>其他无效情形</w:t>
            </w:r>
          </w:p>
        </w:tc>
        <w:tc>
          <w:tcPr>
            <w:tcW w:w="5616" w:type="dxa"/>
            <w:vAlign w:val="center"/>
          </w:tcPr>
          <w:p w14:paraId="42FC53A7">
            <w:pPr>
              <w:autoSpaceDE w:val="0"/>
              <w:autoSpaceDN w:val="0"/>
              <w:spacing w:before="108" w:line="229" w:lineRule="auto"/>
              <w:ind w:left="132" w:leftChars="0" w:right="133" w:rightChars="0"/>
              <w:jc w:val="center"/>
              <w:rPr>
                <w:rFonts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ascii="宋体" w:hAnsi="宋体" w:eastAsia="宋体" w:cs="宋体"/>
                <w:color w:val="auto"/>
                <w:sz w:val="24"/>
                <w:szCs w:val="24"/>
                <w:highlight w:val="none"/>
              </w:rPr>
              <w:t>不存在不符合法律、法规和</w:t>
            </w:r>
            <w:r>
              <w:rPr>
                <w:rFonts w:hint="eastAsia" w:ascii="宋体" w:hAnsi="宋体" w:eastAsia="宋体" w:cs="宋体"/>
                <w:color w:val="auto"/>
                <w:sz w:val="24"/>
                <w:szCs w:val="24"/>
                <w:highlight w:val="none"/>
                <w:lang w:eastAsia="zh-CN"/>
              </w:rPr>
              <w:t>磋商文件</w:t>
            </w:r>
            <w:r>
              <w:rPr>
                <w:rFonts w:ascii="宋体" w:hAnsi="宋体" w:eastAsia="宋体" w:cs="宋体"/>
                <w:color w:val="auto"/>
                <w:sz w:val="24"/>
                <w:szCs w:val="24"/>
                <w:highlight w:val="none"/>
              </w:rPr>
              <w:t>规定的</w:t>
            </w:r>
            <w:r>
              <w:rPr>
                <w:rFonts w:ascii="宋体" w:hAnsi="宋体" w:eastAsia="宋体" w:cs="宋体"/>
                <w:color w:val="auto"/>
                <w:spacing w:val="17"/>
                <w:sz w:val="24"/>
                <w:szCs w:val="24"/>
                <w:highlight w:val="none"/>
              </w:rPr>
              <w:t xml:space="preserve"> 其他无效情形。</w:t>
            </w:r>
          </w:p>
        </w:tc>
        <w:tc>
          <w:tcPr>
            <w:tcW w:w="1900" w:type="dxa"/>
            <w:vAlign w:val="center"/>
          </w:tcPr>
          <w:p w14:paraId="166F19AD">
            <w:pPr>
              <w:autoSpaceDE w:val="0"/>
              <w:autoSpaceDN w:val="0"/>
              <w:spacing w:before="108" w:line="229" w:lineRule="auto"/>
              <w:ind w:left="132" w:leftChars="0" w:right="133" w:rightChars="0"/>
              <w:jc w:val="center"/>
              <w:rPr>
                <w:rFonts w:ascii="宋体" w:hAnsi="宋体" w:eastAsia="宋体" w:cs="宋体"/>
                <w:color w:val="auto"/>
                <w:sz w:val="24"/>
                <w:szCs w:val="24"/>
                <w:highlight w:val="none"/>
              </w:rPr>
            </w:pPr>
            <w:r>
              <w:rPr>
                <w:rFonts w:hint="eastAsia" w:hAnsi="宋体"/>
                <w:color w:val="auto"/>
                <w:sz w:val="24"/>
                <w:highlight w:val="none"/>
              </w:rPr>
              <w:t>不允许</w:t>
            </w:r>
          </w:p>
        </w:tc>
      </w:tr>
    </w:tbl>
    <w:p w14:paraId="501DF764">
      <w:pPr>
        <w:widowControl/>
        <w:spacing w:line="360" w:lineRule="auto"/>
        <w:jc w:val="center"/>
        <w:rPr>
          <w:rFonts w:hint="eastAsia" w:hAnsi="宋体"/>
          <w:b/>
          <w:color w:val="auto"/>
          <w:sz w:val="24"/>
        </w:rPr>
      </w:pPr>
    </w:p>
    <w:p w14:paraId="25E6ED17">
      <w:pPr>
        <w:pStyle w:val="17"/>
        <w:kinsoku w:val="0"/>
        <w:overflowPunct w:val="0"/>
        <w:spacing w:before="6"/>
        <w:rPr>
          <w:rFonts w:hAnsi="宋体"/>
          <w:color w:val="auto"/>
          <w:sz w:val="5"/>
          <w:szCs w:val="5"/>
        </w:rPr>
      </w:pPr>
    </w:p>
    <w:p w14:paraId="6F708264">
      <w:pPr>
        <w:pStyle w:val="69"/>
        <w:numPr>
          <w:ilvl w:val="0"/>
          <w:numId w:val="11"/>
        </w:numPr>
        <w:tabs>
          <w:tab w:val="left" w:pos="902"/>
        </w:tabs>
        <w:kinsoku w:val="0"/>
        <w:overflowPunct w:val="0"/>
        <w:ind w:hanging="361"/>
        <w:rPr>
          <w:rFonts w:hAnsi="宋体"/>
          <w:color w:val="auto"/>
        </w:rPr>
      </w:pPr>
      <w:r>
        <w:rPr>
          <w:rFonts w:hint="eastAsia" w:hAnsi="宋体"/>
          <w:color w:val="auto"/>
        </w:rPr>
        <w:t>磋商、响应文件有关事项的澄清、说明或者更正和最后报价</w:t>
      </w:r>
    </w:p>
    <w:p w14:paraId="449AF8FE">
      <w:pPr>
        <w:pStyle w:val="69"/>
        <w:numPr>
          <w:ilvl w:val="1"/>
          <w:numId w:val="11"/>
        </w:numPr>
        <w:tabs>
          <w:tab w:val="left" w:pos="1617"/>
        </w:tabs>
        <w:kinsoku w:val="0"/>
        <w:overflowPunct w:val="0"/>
        <w:spacing w:before="160" w:line="362" w:lineRule="auto"/>
        <w:ind w:right="573"/>
        <w:rPr>
          <w:rFonts w:hAnsi="宋体"/>
          <w:color w:val="auto"/>
        </w:rPr>
      </w:pPr>
      <w:r>
        <w:rPr>
          <w:rFonts w:hint="eastAsia" w:hAnsi="宋体"/>
          <w:color w:val="auto"/>
        </w:rPr>
        <w:t>磋商小组所有成员将集中与单一供应商分别进行磋商，并给予所有参加磋商的供应商平等的磋商机会。</w:t>
      </w:r>
    </w:p>
    <w:p w14:paraId="45F4E643">
      <w:pPr>
        <w:pStyle w:val="69"/>
        <w:numPr>
          <w:ilvl w:val="1"/>
          <w:numId w:val="11"/>
        </w:numPr>
        <w:tabs>
          <w:tab w:val="left" w:pos="1617"/>
        </w:tabs>
        <w:kinsoku w:val="0"/>
        <w:overflowPunct w:val="0"/>
        <w:spacing w:before="5" w:line="364" w:lineRule="auto"/>
        <w:ind w:right="451"/>
        <w:rPr>
          <w:rFonts w:hAnsi="宋体"/>
          <w:color w:val="auto"/>
        </w:rPr>
      </w:pPr>
      <w:r>
        <w:rPr>
          <w:rFonts w:hint="eastAsia" w:hAnsi="宋体"/>
          <w:color w:val="auto"/>
        </w:rPr>
        <w:t>在磋商过程中，磋商小组可以根据磋商文件和磋商情况实质性变动采购需求</w:t>
      </w:r>
      <w:r>
        <w:rPr>
          <w:rFonts w:hint="eastAsia" w:hAnsi="宋体"/>
          <w:color w:val="auto"/>
          <w:spacing w:val="-7"/>
        </w:rPr>
        <w:t>中的技术、服务要求以及合同草案条款，但不得变动磋商文件中的其他内容。</w:t>
      </w:r>
      <w:r>
        <w:rPr>
          <w:rFonts w:hint="eastAsia" w:hAnsi="宋体"/>
          <w:color w:val="auto"/>
        </w:rPr>
        <w:t>实质性变动的内容，须经采购人代表确认。</w:t>
      </w:r>
    </w:p>
    <w:p w14:paraId="0B50B612">
      <w:pPr>
        <w:pStyle w:val="69"/>
        <w:numPr>
          <w:ilvl w:val="1"/>
          <w:numId w:val="11"/>
        </w:numPr>
        <w:tabs>
          <w:tab w:val="left" w:pos="1617"/>
        </w:tabs>
        <w:kinsoku w:val="0"/>
        <w:overflowPunct w:val="0"/>
        <w:spacing w:line="364" w:lineRule="auto"/>
        <w:ind w:right="573"/>
        <w:rPr>
          <w:rFonts w:hAnsi="宋体"/>
          <w:color w:val="auto"/>
        </w:rPr>
      </w:pPr>
      <w:r>
        <w:rPr>
          <w:rFonts w:hint="eastAsia" w:hAnsi="宋体"/>
          <w:color w:val="auto"/>
        </w:rPr>
        <w:t>对磋商文件作出的实质性变动是磋商文件的有效组成部分，磋商小组应当及时以书面形式同时通知所有参加磋商的供应商。</w:t>
      </w:r>
    </w:p>
    <w:p w14:paraId="276EAA7C">
      <w:pPr>
        <w:pStyle w:val="69"/>
        <w:numPr>
          <w:ilvl w:val="1"/>
          <w:numId w:val="11"/>
        </w:numPr>
        <w:tabs>
          <w:tab w:val="left" w:pos="1617"/>
        </w:tabs>
        <w:kinsoku w:val="0"/>
        <w:overflowPunct w:val="0"/>
        <w:spacing w:line="364" w:lineRule="auto"/>
        <w:ind w:right="570"/>
        <w:jc w:val="both"/>
        <w:rPr>
          <w:rFonts w:hAnsi="宋体"/>
          <w:color w:val="auto"/>
        </w:rPr>
      </w:pPr>
      <w:r>
        <w:rPr>
          <w:rFonts w:hint="eastAsia" w:hAnsi="宋体"/>
          <w:color w:val="auto"/>
        </w:rPr>
        <w:t>供应商应当按照磋商文件的变动情况和磋商小组的要求重新提交响应文件，</w:t>
      </w:r>
      <w:r>
        <w:rPr>
          <w:rFonts w:hAnsi="宋体"/>
          <w:color w:val="auto"/>
        </w:rPr>
        <w:t xml:space="preserve"> </w:t>
      </w:r>
      <w:r>
        <w:rPr>
          <w:rFonts w:hint="eastAsia" w:hAnsi="宋体"/>
          <w:color w:val="auto"/>
        </w:rPr>
        <w:t>并由其法定代表人（若供应商为事业单位或其他组织或分支机构，可为单位负责人）或授权代表签字或者加盖公章。由授权代表签字的，应当附授权委托书。供应商为自然人的，应当由本人签字并附身份证明。</w:t>
      </w:r>
    </w:p>
    <w:p w14:paraId="2A3FE4AB">
      <w:pPr>
        <w:pStyle w:val="69"/>
        <w:numPr>
          <w:ilvl w:val="1"/>
          <w:numId w:val="11"/>
        </w:numPr>
        <w:tabs>
          <w:tab w:val="left" w:pos="1617"/>
        </w:tabs>
        <w:kinsoku w:val="0"/>
        <w:overflowPunct w:val="0"/>
        <w:ind w:hanging="721"/>
        <w:jc w:val="both"/>
        <w:rPr>
          <w:rFonts w:hAnsi="宋体"/>
          <w:color w:val="auto"/>
        </w:rPr>
      </w:pPr>
      <w:r>
        <w:rPr>
          <w:rFonts w:hint="eastAsia" w:hAnsi="宋体"/>
          <w:color w:val="auto"/>
        </w:rPr>
        <w:t>响应文件的澄清、说明或者更正：</w:t>
      </w:r>
    </w:p>
    <w:p w14:paraId="4D80CA37">
      <w:pPr>
        <w:pStyle w:val="69"/>
        <w:numPr>
          <w:ilvl w:val="2"/>
          <w:numId w:val="11"/>
        </w:numPr>
        <w:tabs>
          <w:tab w:val="left" w:pos="2522"/>
        </w:tabs>
        <w:kinsoku w:val="0"/>
        <w:overflowPunct w:val="0"/>
        <w:spacing w:before="72" w:line="364" w:lineRule="auto"/>
        <w:ind w:right="570"/>
        <w:jc w:val="both"/>
        <w:rPr>
          <w:rFonts w:hAnsi="宋体"/>
          <w:color w:val="auto"/>
        </w:rPr>
      </w:pPr>
      <w:r>
        <w:rPr>
          <w:rFonts w:hint="eastAsia" w:hAnsi="宋体"/>
          <w:color w:val="auto"/>
          <w:spacing w:val="-7"/>
        </w:rPr>
        <w:t>磋商小组在对响应文件的有效性、完整性和响应程度进行审查时，可</w:t>
      </w:r>
      <w:r>
        <w:rPr>
          <w:rFonts w:hint="eastAsia" w:hAnsi="宋体"/>
          <w:color w:val="auto"/>
          <w:spacing w:val="-8"/>
        </w:rPr>
        <w:t>以要求供应商对响应文件中含义不明确、同类问题表述不一致或者有</w:t>
      </w:r>
      <w:r>
        <w:rPr>
          <w:rFonts w:hint="eastAsia" w:hAnsi="宋体"/>
          <w:color w:val="auto"/>
        </w:rPr>
        <w:t>明显文字和计算错误的内容等作出必要的澄清、说明或者更正。</w:t>
      </w:r>
    </w:p>
    <w:p w14:paraId="1898131C">
      <w:pPr>
        <w:pStyle w:val="69"/>
        <w:numPr>
          <w:ilvl w:val="2"/>
          <w:numId w:val="11"/>
        </w:numPr>
        <w:tabs>
          <w:tab w:val="left" w:pos="2522"/>
        </w:tabs>
        <w:kinsoku w:val="0"/>
        <w:overflowPunct w:val="0"/>
        <w:spacing w:line="364" w:lineRule="auto"/>
        <w:ind w:right="567"/>
        <w:jc w:val="both"/>
        <w:rPr>
          <w:rFonts w:hAnsi="宋体"/>
          <w:color w:val="auto"/>
        </w:rPr>
      </w:pPr>
      <w:r>
        <w:rPr>
          <w:rFonts w:hint="eastAsia" w:hAnsi="宋体"/>
          <w:color w:val="auto"/>
          <w:spacing w:val="-9"/>
        </w:rPr>
        <w:t>磋商小组对响应文件进行审查，如发现供应商提交的响应文件存在不</w:t>
      </w:r>
      <w:r>
        <w:rPr>
          <w:rFonts w:hint="eastAsia" w:hAnsi="宋体"/>
          <w:color w:val="auto"/>
          <w:spacing w:val="-11"/>
        </w:rPr>
        <w:t>满足《符合性审查要求》的内容，如属于表中</w:t>
      </w:r>
      <w:r>
        <w:rPr>
          <w:rFonts w:hAnsi="宋体" w:cs="Arial"/>
          <w:color w:val="auto"/>
          <w:w w:val="135"/>
        </w:rPr>
        <w:t>“</w:t>
      </w:r>
      <w:r>
        <w:rPr>
          <w:rFonts w:hint="eastAsia" w:hAnsi="宋体"/>
          <w:color w:val="auto"/>
        </w:rPr>
        <w:t>不允许</w:t>
      </w:r>
      <w:r>
        <w:rPr>
          <w:rFonts w:hAnsi="宋体" w:cs="Arial"/>
          <w:color w:val="auto"/>
          <w:w w:val="135"/>
        </w:rPr>
        <w:t>”</w:t>
      </w:r>
      <w:r>
        <w:rPr>
          <w:rFonts w:hint="eastAsia" w:hAnsi="宋体"/>
          <w:color w:val="auto"/>
          <w:spacing w:val="-8"/>
        </w:rPr>
        <w:t>澄清、说明或</w:t>
      </w:r>
      <w:r>
        <w:rPr>
          <w:rFonts w:hint="eastAsia" w:hAnsi="宋体"/>
          <w:color w:val="auto"/>
          <w:spacing w:val="-11"/>
        </w:rPr>
        <w:t>者更正的内容，则供应商响应文件按无效处理；如属于表中的</w:t>
      </w:r>
      <w:r>
        <w:rPr>
          <w:rFonts w:hAnsi="宋体" w:cs="Arial"/>
          <w:color w:val="auto"/>
          <w:w w:val="135"/>
        </w:rPr>
        <w:t>“</w:t>
      </w:r>
      <w:r>
        <w:rPr>
          <w:rFonts w:hint="eastAsia" w:hAnsi="宋体"/>
          <w:color w:val="auto"/>
        </w:rPr>
        <w:t>允许</w:t>
      </w:r>
      <w:r>
        <w:rPr>
          <w:rFonts w:hAnsi="宋体" w:cs="Arial"/>
          <w:color w:val="auto"/>
          <w:spacing w:val="-13"/>
          <w:w w:val="135"/>
        </w:rPr>
        <w:t xml:space="preserve">” </w:t>
      </w:r>
      <w:r>
        <w:rPr>
          <w:rFonts w:hint="eastAsia" w:hAnsi="宋体"/>
          <w:color w:val="auto"/>
          <w:spacing w:val="-12"/>
        </w:rPr>
        <w:t>澄清、说明或更正的内容，磋商小组将要求供应商在规定的时间内对</w:t>
      </w:r>
      <w:r>
        <w:rPr>
          <w:rFonts w:hint="eastAsia" w:hAnsi="宋体"/>
          <w:color w:val="auto"/>
          <w:spacing w:val="-11"/>
        </w:rPr>
        <w:t>响应文件进行澄清、说明或者更正。如供应商在磋商小组规定的时间</w:t>
      </w:r>
      <w:r>
        <w:rPr>
          <w:rFonts w:hint="eastAsia" w:hAnsi="宋体"/>
          <w:color w:val="auto"/>
          <w:spacing w:val="-9"/>
        </w:rPr>
        <w:t>内未作出必要的澄清、说明或者更正，或澄清、说明或者更正后仍不</w:t>
      </w:r>
      <w:r>
        <w:rPr>
          <w:rFonts w:hint="eastAsia" w:hAnsi="宋体"/>
          <w:color w:val="auto"/>
        </w:rPr>
        <w:t>能满足采购文件要求的，则供应商的响应文件按无效处理。</w:t>
      </w:r>
    </w:p>
    <w:p w14:paraId="5DEEC8B6">
      <w:pPr>
        <w:pStyle w:val="69"/>
        <w:numPr>
          <w:ilvl w:val="2"/>
          <w:numId w:val="11"/>
        </w:numPr>
        <w:tabs>
          <w:tab w:val="left" w:pos="2522"/>
        </w:tabs>
        <w:kinsoku w:val="0"/>
        <w:overflowPunct w:val="0"/>
        <w:spacing w:line="364" w:lineRule="auto"/>
        <w:ind w:right="451"/>
        <w:rPr>
          <w:rFonts w:hAnsi="宋体"/>
          <w:color w:val="auto"/>
          <w:spacing w:val="-11"/>
        </w:rPr>
      </w:pPr>
      <w:r>
        <w:rPr>
          <w:rFonts w:hint="eastAsia" w:hAnsi="宋体"/>
          <w:color w:val="auto"/>
          <w:spacing w:val="-11"/>
        </w:rPr>
        <w:t>供应商的澄清、说明或者更正不得超出响应文件的范围或者改变响应</w:t>
      </w:r>
      <w:r>
        <w:rPr>
          <w:rFonts w:hint="eastAsia" w:hAnsi="宋体"/>
          <w:color w:val="auto"/>
          <w:spacing w:val="-14"/>
        </w:rPr>
        <w:t>文件的实质性内容。磋商小组要求供应商澄清、说明或者更正响应文</w:t>
      </w:r>
      <w:r>
        <w:rPr>
          <w:rFonts w:hint="eastAsia" w:hAnsi="宋体"/>
          <w:color w:val="auto"/>
          <w:spacing w:val="-17"/>
        </w:rPr>
        <w:t>件应当以书面形式作出。供应商的澄清、说明或者更正应当由法定代</w:t>
      </w:r>
      <w:r>
        <w:rPr>
          <w:rFonts w:hint="eastAsia" w:hAnsi="宋体"/>
          <w:color w:val="auto"/>
          <w:spacing w:val="-67"/>
        </w:rPr>
        <w:t>表人</w:t>
      </w:r>
      <w:r>
        <w:rPr>
          <w:rFonts w:hint="eastAsia" w:hAnsi="宋体"/>
          <w:color w:val="auto"/>
        </w:rPr>
        <w:t>（</w:t>
      </w:r>
      <w:r>
        <w:rPr>
          <w:rFonts w:hint="eastAsia" w:hAnsi="宋体"/>
          <w:color w:val="auto"/>
          <w:spacing w:val="-6"/>
        </w:rPr>
        <w:t>若供应商为事业单位或其他组织或分支机构，可为单位负责人</w:t>
      </w:r>
      <w:r>
        <w:rPr>
          <w:rFonts w:hint="eastAsia" w:hAnsi="宋体"/>
          <w:color w:val="auto"/>
          <w:spacing w:val="-16"/>
        </w:rPr>
        <w:t>）</w:t>
      </w:r>
      <w:r>
        <w:rPr>
          <w:rFonts w:hAnsi="宋体"/>
          <w:color w:val="auto"/>
          <w:spacing w:val="-16"/>
        </w:rPr>
        <w:t xml:space="preserve"> </w:t>
      </w:r>
      <w:r>
        <w:rPr>
          <w:rFonts w:hint="eastAsia" w:hAnsi="宋体"/>
          <w:color w:val="auto"/>
          <w:spacing w:val="-7"/>
        </w:rPr>
        <w:t>或其授权代表签字或者加盖公章。由授权代表签字的，应当附授权委</w:t>
      </w:r>
      <w:r>
        <w:rPr>
          <w:rFonts w:hint="eastAsia" w:hAnsi="宋体"/>
          <w:color w:val="auto"/>
          <w:spacing w:val="-11"/>
        </w:rPr>
        <w:t>托书。供应商为自然人的，应当由本人签字并附身份证明。澄清、说明或者更正文件将作为响应文件内容的一部分。</w:t>
      </w:r>
    </w:p>
    <w:p w14:paraId="1C7C511E">
      <w:pPr>
        <w:pStyle w:val="69"/>
        <w:numPr>
          <w:ilvl w:val="1"/>
          <w:numId w:val="11"/>
        </w:numPr>
        <w:tabs>
          <w:tab w:val="left" w:pos="1617"/>
        </w:tabs>
        <w:kinsoku w:val="0"/>
        <w:overflowPunct w:val="0"/>
        <w:spacing w:line="364" w:lineRule="auto"/>
        <w:ind w:right="573"/>
        <w:jc w:val="both"/>
        <w:rPr>
          <w:rFonts w:hAnsi="宋体"/>
          <w:color w:val="auto"/>
        </w:rPr>
      </w:pPr>
      <w:r>
        <w:rPr>
          <w:rFonts w:hint="eastAsia" w:hAnsi="宋体"/>
          <w:color w:val="auto"/>
        </w:rPr>
        <w:t>磋商结束后，磋商小组将要求所有实质性响应的供应商在规定时间内提交最后报价。最后报价时间为磋商小组指定的时间，具体时间根据磋商进度另行通知。</w:t>
      </w:r>
    </w:p>
    <w:p w14:paraId="285CD46A">
      <w:pPr>
        <w:pStyle w:val="69"/>
        <w:numPr>
          <w:ilvl w:val="1"/>
          <w:numId w:val="11"/>
        </w:numPr>
        <w:tabs>
          <w:tab w:val="left" w:pos="1617"/>
        </w:tabs>
        <w:kinsoku w:val="0"/>
        <w:overflowPunct w:val="0"/>
        <w:spacing w:line="364" w:lineRule="auto"/>
        <w:ind w:right="570"/>
        <w:jc w:val="both"/>
        <w:rPr>
          <w:rFonts w:hAnsi="宋体"/>
          <w:color w:val="auto"/>
        </w:rPr>
      </w:pPr>
      <w:r>
        <w:rPr>
          <w:rFonts w:hint="eastAsia" w:hAnsi="宋体"/>
          <w:color w:val="auto"/>
        </w:rPr>
        <w:t>磋商文件能够详细列明采购标的的技术、服务要求的，磋商结束后，磋商小组应当要求所有实质性响应的供应商在规定时间内提交最后报价，提交最后</w:t>
      </w:r>
      <w:r>
        <w:rPr>
          <w:rFonts w:hint="eastAsia" w:hAnsi="宋体"/>
          <w:color w:val="auto"/>
          <w:spacing w:val="-4"/>
        </w:rPr>
        <w:t>报价的供应商不得少于</w:t>
      </w:r>
      <w:r>
        <w:rPr>
          <w:rFonts w:hAnsi="宋体"/>
          <w:color w:val="auto"/>
          <w:spacing w:val="-4"/>
        </w:rPr>
        <w:t xml:space="preserve"> </w:t>
      </w:r>
      <w:r>
        <w:rPr>
          <w:rFonts w:hAnsi="宋体" w:cs="Arial"/>
          <w:color w:val="auto"/>
        </w:rPr>
        <w:t>3</w:t>
      </w:r>
      <w:r>
        <w:rPr>
          <w:rFonts w:hAnsi="宋体" w:cs="Arial"/>
          <w:color w:val="auto"/>
          <w:spacing w:val="17"/>
        </w:rPr>
        <w:t xml:space="preserve"> </w:t>
      </w:r>
      <w:r>
        <w:rPr>
          <w:rFonts w:hint="eastAsia" w:hAnsi="宋体"/>
          <w:color w:val="auto"/>
        </w:rPr>
        <w:t>家。磋商文件不能详细列明采购标的的技术、服务要求，需经磋商由供应商提供最终设计方案或解决方案的，磋商结束后，磋</w:t>
      </w:r>
      <w:r>
        <w:rPr>
          <w:rFonts w:hint="eastAsia" w:hAnsi="宋体"/>
          <w:color w:val="auto"/>
          <w:spacing w:val="-2"/>
        </w:rPr>
        <w:t>商小组应当按照少数服从多数的原则投票推荐</w:t>
      </w:r>
      <w:r>
        <w:rPr>
          <w:rFonts w:hAnsi="宋体"/>
          <w:color w:val="auto"/>
          <w:spacing w:val="-2"/>
        </w:rPr>
        <w:t xml:space="preserve"> </w:t>
      </w:r>
      <w:r>
        <w:rPr>
          <w:rFonts w:hAnsi="宋体" w:cs="Arial"/>
          <w:color w:val="auto"/>
        </w:rPr>
        <w:t>3</w:t>
      </w:r>
      <w:r>
        <w:rPr>
          <w:rFonts w:hAnsi="宋体" w:cs="Arial"/>
          <w:color w:val="auto"/>
          <w:spacing w:val="18"/>
        </w:rPr>
        <w:t xml:space="preserve"> </w:t>
      </w:r>
      <w:r>
        <w:rPr>
          <w:rFonts w:hint="eastAsia" w:hAnsi="宋体"/>
          <w:color w:val="auto"/>
        </w:rPr>
        <w:t>家以上供应商的设计方案或者解决方案，并要求其在规定时间内提交最后报价。市场竞争不充分的科研</w:t>
      </w:r>
      <w:r>
        <w:rPr>
          <w:rFonts w:hint="eastAsia" w:hAnsi="宋体"/>
          <w:color w:val="auto"/>
          <w:spacing w:val="-1"/>
        </w:rPr>
        <w:t>项目，以及需要扶持的科技成果转化项目，提交最后报价的供应商可以为</w:t>
      </w:r>
      <w:r>
        <w:rPr>
          <w:rFonts w:hAnsi="宋体"/>
          <w:color w:val="auto"/>
          <w:spacing w:val="-1"/>
        </w:rPr>
        <w:t xml:space="preserve"> </w:t>
      </w:r>
      <w:r>
        <w:rPr>
          <w:rFonts w:hAnsi="宋体" w:cs="Arial"/>
          <w:color w:val="auto"/>
        </w:rPr>
        <w:t xml:space="preserve">2 </w:t>
      </w:r>
      <w:r>
        <w:rPr>
          <w:rFonts w:hint="eastAsia" w:hAnsi="宋体"/>
          <w:color w:val="auto"/>
          <w:spacing w:val="-6"/>
        </w:rPr>
        <w:t>家；政府购买服务项目</w:t>
      </w:r>
      <w:r>
        <w:rPr>
          <w:rFonts w:hint="eastAsia" w:hAnsi="宋体"/>
          <w:color w:val="auto"/>
        </w:rPr>
        <w:t>（含政府和社会资本合作项目</w:t>
      </w:r>
      <w:r>
        <w:rPr>
          <w:rFonts w:hint="eastAsia" w:hAnsi="宋体"/>
          <w:color w:val="auto"/>
          <w:spacing w:val="-120"/>
        </w:rPr>
        <w:t>）</w:t>
      </w:r>
      <w:r>
        <w:rPr>
          <w:rFonts w:hint="eastAsia" w:hAnsi="宋体"/>
          <w:color w:val="auto"/>
          <w:spacing w:val="-5"/>
        </w:rPr>
        <w:t>，在采购过程中符合要</w:t>
      </w:r>
      <w:r>
        <w:rPr>
          <w:rFonts w:hint="eastAsia" w:hAnsi="宋体"/>
          <w:color w:val="auto"/>
        </w:rPr>
        <w:t>求的供应商（社会资本）</w:t>
      </w:r>
      <w:r>
        <w:rPr>
          <w:rFonts w:hint="eastAsia" w:hAnsi="宋体"/>
          <w:color w:val="auto"/>
          <w:spacing w:val="-19"/>
        </w:rPr>
        <w:t>只有</w:t>
      </w:r>
      <w:r>
        <w:rPr>
          <w:rFonts w:hAnsi="宋体"/>
          <w:color w:val="auto"/>
          <w:spacing w:val="-19"/>
        </w:rPr>
        <w:t xml:space="preserve"> </w:t>
      </w:r>
      <w:r>
        <w:rPr>
          <w:rFonts w:hAnsi="宋体" w:cs="Arial"/>
          <w:color w:val="auto"/>
        </w:rPr>
        <w:t>2</w:t>
      </w:r>
      <w:r>
        <w:rPr>
          <w:rFonts w:hAnsi="宋体" w:cs="Arial"/>
          <w:color w:val="auto"/>
          <w:spacing w:val="1"/>
        </w:rPr>
        <w:t xml:space="preserve"> </w:t>
      </w:r>
      <w:r>
        <w:rPr>
          <w:rFonts w:hint="eastAsia" w:hAnsi="宋体"/>
          <w:color w:val="auto"/>
        </w:rPr>
        <w:t>家的，竞争性磋商采购活动可以继续进行。</w:t>
      </w:r>
    </w:p>
    <w:p w14:paraId="3B9931DF">
      <w:pPr>
        <w:pStyle w:val="69"/>
        <w:numPr>
          <w:ilvl w:val="1"/>
          <w:numId w:val="11"/>
        </w:numPr>
        <w:tabs>
          <w:tab w:val="left" w:pos="1617"/>
        </w:tabs>
        <w:kinsoku w:val="0"/>
        <w:overflowPunct w:val="0"/>
        <w:spacing w:line="301" w:lineRule="exact"/>
        <w:ind w:hanging="721"/>
        <w:jc w:val="both"/>
        <w:rPr>
          <w:rFonts w:hAnsi="宋体"/>
          <w:color w:val="auto"/>
        </w:rPr>
      </w:pPr>
      <w:r>
        <w:rPr>
          <w:rFonts w:hint="eastAsia" w:hAnsi="宋体"/>
          <w:color w:val="auto"/>
        </w:rPr>
        <w:t>最后报价是供应商响应文件的有效组成部分。</w:t>
      </w:r>
    </w:p>
    <w:p w14:paraId="37D52C1E">
      <w:pPr>
        <w:pStyle w:val="69"/>
        <w:numPr>
          <w:ilvl w:val="1"/>
          <w:numId w:val="11"/>
        </w:numPr>
        <w:tabs>
          <w:tab w:val="left" w:pos="1617"/>
        </w:tabs>
        <w:kinsoku w:val="0"/>
        <w:overflowPunct w:val="0"/>
        <w:spacing w:before="72" w:line="362" w:lineRule="auto"/>
        <w:ind w:right="573"/>
        <w:jc w:val="both"/>
        <w:rPr>
          <w:rFonts w:hAnsi="宋体"/>
          <w:color w:val="auto"/>
        </w:rPr>
      </w:pPr>
      <w:r>
        <w:rPr>
          <w:rFonts w:hint="eastAsia" w:hAnsi="宋体"/>
          <w:color w:val="auto"/>
        </w:rPr>
        <w:t>已提交响应文件的供应商，在提交最后报价之前，可以根据磋商情况退出磋商。</w:t>
      </w:r>
    </w:p>
    <w:p w14:paraId="49FD5385">
      <w:pPr>
        <w:pStyle w:val="69"/>
        <w:numPr>
          <w:ilvl w:val="0"/>
          <w:numId w:val="11"/>
        </w:numPr>
        <w:tabs>
          <w:tab w:val="left" w:pos="902"/>
        </w:tabs>
        <w:kinsoku w:val="0"/>
        <w:overflowPunct w:val="0"/>
        <w:spacing w:before="5"/>
        <w:ind w:hanging="361"/>
        <w:jc w:val="both"/>
        <w:rPr>
          <w:rFonts w:hAnsi="宋体"/>
          <w:color w:val="auto"/>
        </w:rPr>
      </w:pPr>
      <w:r>
        <w:rPr>
          <w:rFonts w:hint="eastAsia" w:hAnsi="宋体"/>
          <w:color w:val="auto"/>
        </w:rPr>
        <w:t>最后报价的算术修正及政策调整</w:t>
      </w:r>
    </w:p>
    <w:p w14:paraId="3AE1BCB3">
      <w:pPr>
        <w:pStyle w:val="69"/>
        <w:numPr>
          <w:ilvl w:val="1"/>
          <w:numId w:val="11"/>
        </w:numPr>
        <w:tabs>
          <w:tab w:val="left" w:pos="1617"/>
        </w:tabs>
        <w:kinsoku w:val="0"/>
        <w:overflowPunct w:val="0"/>
        <w:spacing w:before="161" w:line="364" w:lineRule="auto"/>
        <w:ind w:right="570"/>
        <w:jc w:val="both"/>
        <w:rPr>
          <w:rFonts w:hAnsi="宋体"/>
          <w:color w:val="auto"/>
        </w:rPr>
      </w:pPr>
      <w:r>
        <w:rPr>
          <w:rFonts w:hint="eastAsia" w:hAnsi="宋体"/>
          <w:color w:val="auto"/>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1862F32D">
      <w:pPr>
        <w:pStyle w:val="69"/>
        <w:numPr>
          <w:ilvl w:val="1"/>
          <w:numId w:val="11"/>
        </w:numPr>
        <w:tabs>
          <w:tab w:val="left" w:pos="1617"/>
        </w:tabs>
        <w:kinsoku w:val="0"/>
        <w:overflowPunct w:val="0"/>
        <w:spacing w:line="305" w:lineRule="exact"/>
        <w:ind w:hanging="721"/>
        <w:jc w:val="both"/>
        <w:rPr>
          <w:rFonts w:hAnsi="宋体"/>
          <w:color w:val="auto"/>
        </w:rPr>
      </w:pPr>
      <w:r>
        <w:rPr>
          <w:rFonts w:hint="eastAsia" w:hAnsi="宋体"/>
          <w:color w:val="auto"/>
        </w:rPr>
        <w:t>最后报价出现前后不一致的，按照下列规定修正：</w:t>
      </w:r>
    </w:p>
    <w:p w14:paraId="4E966B80">
      <w:pPr>
        <w:pStyle w:val="69"/>
        <w:numPr>
          <w:ilvl w:val="2"/>
          <w:numId w:val="11"/>
        </w:numPr>
        <w:tabs>
          <w:tab w:val="left" w:pos="2522"/>
        </w:tabs>
        <w:kinsoku w:val="0"/>
        <w:overflowPunct w:val="0"/>
        <w:spacing w:before="158"/>
        <w:ind w:hanging="846"/>
        <w:rPr>
          <w:rFonts w:hAnsi="宋体"/>
          <w:color w:val="auto"/>
        </w:rPr>
      </w:pPr>
      <w:r>
        <w:rPr>
          <w:rFonts w:hint="eastAsia" w:hAnsi="宋体"/>
          <w:color w:val="auto"/>
        </w:rPr>
        <w:t>竞争性磋商文件对于报价修正是否另有规定：</w:t>
      </w:r>
    </w:p>
    <w:p w14:paraId="1D6FC3C0">
      <w:pPr>
        <w:pStyle w:val="17"/>
        <w:tabs>
          <w:tab w:val="left" w:pos="6094"/>
        </w:tabs>
        <w:kinsoku w:val="0"/>
        <w:overflowPunct w:val="0"/>
        <w:spacing w:before="161"/>
        <w:ind w:left="2576"/>
        <w:rPr>
          <w:rFonts w:hAnsi="宋体" w:cs="Times New Roman"/>
          <w:color w:val="auto"/>
        </w:rPr>
      </w:pPr>
      <w:r>
        <w:rPr>
          <w:rFonts w:hAnsi="宋体" w:cs="Arial"/>
          <w:color w:val="auto"/>
          <w:spacing w:val="-1"/>
        </w:rPr>
        <w:t>□</w:t>
      </w:r>
      <w:r>
        <w:rPr>
          <w:rFonts w:hint="eastAsia" w:hAnsi="宋体"/>
          <w:color w:val="auto"/>
          <w:spacing w:val="-1"/>
        </w:rPr>
        <w:t>有，</w:t>
      </w:r>
      <w:r>
        <w:rPr>
          <w:rFonts w:hint="eastAsia" w:hAnsi="宋体"/>
          <w:color w:val="auto"/>
        </w:rPr>
        <w:t>具体规定为：</w:t>
      </w:r>
      <w:r>
        <w:rPr>
          <w:rFonts w:hAnsi="宋体" w:cs="Times New Roman"/>
          <w:color w:val="auto"/>
          <w:u w:val="single" w:color="000000"/>
        </w:rPr>
        <w:t xml:space="preserve"> </w:t>
      </w:r>
      <w:r>
        <w:rPr>
          <w:rFonts w:hAnsi="宋体" w:cs="Times New Roman"/>
          <w:color w:val="auto"/>
          <w:u w:val="single" w:color="000000"/>
        </w:rPr>
        <w:tab/>
      </w:r>
    </w:p>
    <w:p w14:paraId="0069373B">
      <w:pPr>
        <w:pStyle w:val="17"/>
        <w:kinsoku w:val="0"/>
        <w:overflowPunct w:val="0"/>
        <w:spacing w:before="158"/>
        <w:ind w:left="2576"/>
        <w:rPr>
          <w:rFonts w:hAnsi="宋体"/>
          <w:color w:val="auto"/>
          <w:w w:val="110"/>
        </w:rPr>
      </w:pPr>
      <w:r>
        <w:rPr>
          <w:rFonts w:hAnsi="宋体" w:cs="Arial"/>
          <w:color w:val="auto"/>
          <w:w w:val="125"/>
        </w:rPr>
        <w:sym w:font="Wingdings 2" w:char="F052"/>
      </w:r>
      <w:r>
        <w:rPr>
          <w:rFonts w:hint="eastAsia" w:hAnsi="宋体"/>
          <w:color w:val="auto"/>
          <w:w w:val="110"/>
        </w:rPr>
        <w:t>无，按下述</w:t>
      </w:r>
      <w:r>
        <w:rPr>
          <w:rFonts w:hAnsi="宋体"/>
          <w:color w:val="auto"/>
          <w:w w:val="110"/>
        </w:rPr>
        <w:t xml:space="preserve"> </w:t>
      </w:r>
      <w:r>
        <w:rPr>
          <w:rFonts w:hAnsi="宋体" w:cs="Arial"/>
          <w:color w:val="auto"/>
          <w:w w:val="110"/>
        </w:rPr>
        <w:t>3.2.2-3.2.</w:t>
      </w:r>
      <w:r>
        <w:rPr>
          <w:rFonts w:hint="eastAsia" w:hAnsi="宋体" w:cs="Arial"/>
          <w:color w:val="auto"/>
          <w:w w:val="110"/>
          <w:lang w:val="en-US" w:eastAsia="zh-CN"/>
        </w:rPr>
        <w:t>6</w:t>
      </w:r>
      <w:r>
        <w:rPr>
          <w:rFonts w:hAnsi="宋体" w:cs="Arial"/>
          <w:color w:val="auto"/>
          <w:w w:val="110"/>
        </w:rPr>
        <w:t xml:space="preserve"> </w:t>
      </w:r>
      <w:r>
        <w:rPr>
          <w:rFonts w:hint="eastAsia" w:hAnsi="宋体"/>
          <w:color w:val="auto"/>
          <w:w w:val="110"/>
        </w:rPr>
        <w:t>项规定修正。</w:t>
      </w:r>
    </w:p>
    <w:p w14:paraId="222F3C44">
      <w:pPr>
        <w:pStyle w:val="69"/>
        <w:numPr>
          <w:ilvl w:val="2"/>
          <w:numId w:val="11"/>
        </w:numPr>
        <w:tabs>
          <w:tab w:val="left" w:pos="2522"/>
        </w:tabs>
        <w:kinsoku w:val="0"/>
        <w:overflowPunct w:val="0"/>
        <w:spacing w:before="160"/>
        <w:ind w:hanging="846"/>
        <w:rPr>
          <w:rFonts w:hAnsi="宋体"/>
          <w:color w:val="auto"/>
        </w:rPr>
      </w:pPr>
      <w:r>
        <w:rPr>
          <w:rFonts w:hint="eastAsia" w:hAnsi="宋体"/>
          <w:color w:val="auto"/>
        </w:rPr>
        <w:t>大写金额和小写金额不一致的，以大写金额为准；</w:t>
      </w:r>
    </w:p>
    <w:p w14:paraId="0E7E263C">
      <w:pPr>
        <w:pStyle w:val="69"/>
        <w:numPr>
          <w:ilvl w:val="2"/>
          <w:numId w:val="11"/>
        </w:numPr>
        <w:tabs>
          <w:tab w:val="left" w:pos="2522"/>
        </w:tabs>
        <w:kinsoku w:val="0"/>
        <w:overflowPunct w:val="0"/>
        <w:spacing w:before="158"/>
        <w:ind w:hanging="846"/>
        <w:rPr>
          <w:rFonts w:hAnsi="宋体"/>
          <w:color w:val="auto"/>
          <w:spacing w:val="-12"/>
        </w:rPr>
      </w:pPr>
      <w:r>
        <w:rPr>
          <w:rFonts w:hint="eastAsia" w:hAnsi="宋体"/>
          <w:color w:val="auto"/>
          <w:spacing w:val="-12"/>
        </w:rPr>
        <w:t>单价金额小数点或者百分比有明显错位的，以总价为准，并修改单价；</w:t>
      </w:r>
    </w:p>
    <w:p w14:paraId="3B2E7C14">
      <w:pPr>
        <w:pStyle w:val="69"/>
        <w:numPr>
          <w:ilvl w:val="2"/>
          <w:numId w:val="11"/>
        </w:numPr>
        <w:tabs>
          <w:tab w:val="left" w:pos="2522"/>
        </w:tabs>
        <w:kinsoku w:val="0"/>
        <w:overflowPunct w:val="0"/>
        <w:spacing w:before="161"/>
        <w:ind w:hanging="846"/>
        <w:jc w:val="both"/>
        <w:rPr>
          <w:rFonts w:hAnsi="宋体"/>
          <w:color w:val="auto"/>
        </w:rPr>
      </w:pPr>
      <w:r>
        <w:rPr>
          <w:rFonts w:hint="eastAsia" w:hAnsi="宋体"/>
          <w:color w:val="auto"/>
        </w:rPr>
        <w:t>总价金额与按单价汇总金额不一致的，以单价金额计算结果为准。</w:t>
      </w:r>
    </w:p>
    <w:p w14:paraId="2BA0FE5E">
      <w:pPr>
        <w:pStyle w:val="69"/>
        <w:numPr>
          <w:ilvl w:val="2"/>
          <w:numId w:val="11"/>
        </w:numPr>
        <w:tabs>
          <w:tab w:val="left" w:pos="2522"/>
        </w:tabs>
        <w:kinsoku w:val="0"/>
        <w:overflowPunct w:val="0"/>
        <w:spacing w:before="160" w:line="362" w:lineRule="auto"/>
        <w:ind w:left="2576" w:right="451"/>
        <w:jc w:val="both"/>
        <w:rPr>
          <w:rFonts w:hAnsi="宋体"/>
          <w:color w:val="auto"/>
          <w:spacing w:val="-11"/>
        </w:rPr>
      </w:pPr>
      <w:r>
        <w:rPr>
          <w:rFonts w:hint="eastAsia" w:hAnsi="宋体"/>
          <w:color w:val="auto"/>
          <w:spacing w:val="-7"/>
        </w:rPr>
        <w:t>同时出现两种以上不一致的，按照前款规定的顺序修正。修正后的报</w:t>
      </w:r>
      <w:r>
        <w:rPr>
          <w:rFonts w:hint="eastAsia" w:hAnsi="宋体"/>
          <w:color w:val="auto"/>
          <w:spacing w:val="-11"/>
        </w:rPr>
        <w:t>价经供应商书面确认后产生约束力，供应商不确认的，其响应无效。</w:t>
      </w:r>
    </w:p>
    <w:p w14:paraId="0CDC8AD1">
      <w:pPr>
        <w:pStyle w:val="69"/>
        <w:numPr>
          <w:ilvl w:val="2"/>
          <w:numId w:val="11"/>
        </w:numPr>
        <w:tabs>
          <w:tab w:val="left" w:pos="2522"/>
        </w:tabs>
        <w:kinsoku w:val="0"/>
        <w:overflowPunct w:val="0"/>
        <w:spacing w:before="160" w:line="362" w:lineRule="auto"/>
        <w:ind w:left="2576" w:right="451"/>
        <w:jc w:val="both"/>
        <w:rPr>
          <w:rFonts w:hAnsi="宋体"/>
          <w:color w:val="auto"/>
          <w:spacing w:val="-11"/>
        </w:rPr>
      </w:pPr>
      <w:r>
        <w:rPr>
          <w:rFonts w:hAnsi="宋体"/>
          <w:color w:val="auto"/>
          <w:spacing w:val="-11"/>
          <w:lang w:val="en-US" w:eastAsia="zh-CN"/>
        </w:rPr>
        <w:t>修正后的报价经供应商书面确认后产生约束力，供应商不确认的，</w:t>
      </w:r>
      <w:r>
        <w:rPr>
          <w:rFonts w:hint="default" w:hAnsi="宋体"/>
          <w:color w:val="auto"/>
          <w:spacing w:val="-11"/>
          <w:lang w:val="en-US" w:eastAsia="zh-CN"/>
        </w:rPr>
        <w:t>其响应无效。</w:t>
      </w:r>
    </w:p>
    <w:p w14:paraId="3D248ABC">
      <w:pPr>
        <w:pStyle w:val="69"/>
        <w:numPr>
          <w:ilvl w:val="1"/>
          <w:numId w:val="11"/>
        </w:numPr>
        <w:tabs>
          <w:tab w:val="left" w:pos="1617"/>
        </w:tabs>
        <w:kinsoku w:val="0"/>
        <w:overflowPunct w:val="0"/>
        <w:spacing w:before="5" w:line="362" w:lineRule="auto"/>
        <w:ind w:right="571"/>
        <w:jc w:val="both"/>
        <w:rPr>
          <w:rFonts w:hAnsi="宋体"/>
          <w:color w:val="auto"/>
          <w:spacing w:val="1"/>
        </w:rPr>
      </w:pPr>
      <w:r>
        <w:rPr>
          <w:rFonts w:hint="eastAsia" w:hAnsi="宋体"/>
          <w:color w:val="auto"/>
        </w:rPr>
        <w:t>落实政府采购政策的价格调整：只有符合第二章《供应商须知》</w:t>
      </w:r>
      <w:r>
        <w:rPr>
          <w:rFonts w:hAnsi="宋体" w:cs="Arial"/>
          <w:color w:val="auto"/>
        </w:rPr>
        <w:t>4.2</w:t>
      </w:r>
      <w:r>
        <w:rPr>
          <w:rFonts w:hAnsi="宋体" w:cs="Arial"/>
          <w:color w:val="auto"/>
          <w:spacing w:val="49"/>
        </w:rPr>
        <w:t xml:space="preserve"> </w:t>
      </w:r>
      <w:r>
        <w:rPr>
          <w:rFonts w:hint="eastAsia" w:hAnsi="宋体"/>
          <w:color w:val="auto"/>
          <w:spacing w:val="1"/>
        </w:rPr>
        <w:t>条规定情形的，可以享受中小企业扶持政策，用扣除后的价格参加评审；否则，评审时价格不予扣除。</w:t>
      </w:r>
    </w:p>
    <w:p w14:paraId="1F27B298">
      <w:pPr>
        <w:pStyle w:val="69"/>
        <w:numPr>
          <w:ilvl w:val="2"/>
          <w:numId w:val="11"/>
        </w:numPr>
        <w:tabs>
          <w:tab w:val="left" w:pos="2522"/>
        </w:tabs>
        <w:kinsoku w:val="0"/>
        <w:overflowPunct w:val="0"/>
        <w:spacing w:before="6"/>
        <w:ind w:hanging="846"/>
        <w:jc w:val="both"/>
        <w:rPr>
          <w:rFonts w:hAnsi="宋体"/>
          <w:color w:val="auto"/>
          <w:spacing w:val="-5"/>
        </w:rPr>
      </w:pPr>
      <w:r>
        <w:rPr>
          <w:rFonts w:hint="eastAsia" w:hAnsi="宋体"/>
          <w:color w:val="auto"/>
          <w:spacing w:val="-5"/>
        </w:rPr>
        <w:t>对于未预留份额专门面向中小企业采购的采购项目，以及预留份额项</w:t>
      </w:r>
    </w:p>
    <w:p w14:paraId="36C80B80">
      <w:pPr>
        <w:pStyle w:val="17"/>
        <w:kinsoku w:val="0"/>
        <w:overflowPunct w:val="0"/>
        <w:spacing w:before="161" w:line="362" w:lineRule="auto"/>
        <w:ind w:left="2576"/>
        <w:rPr>
          <w:rFonts w:hAnsi="宋体"/>
          <w:color w:val="auto"/>
        </w:rPr>
      </w:pPr>
      <w:r>
        <w:rPr>
          <w:rFonts w:hAnsi="宋体"/>
          <w:color w:val="auto"/>
        </w:rPr>
        <mc:AlternateContent>
          <mc:Choice Requires="wps">
            <w:drawing>
              <wp:anchor distT="0" distB="0" distL="114300" distR="114300" simplePos="0" relativeHeight="251665408" behindDoc="0" locked="0" layoutInCell="0" allowOverlap="1">
                <wp:simplePos x="0" y="0"/>
                <wp:positionH relativeFrom="page">
                  <wp:posOffset>5618480</wp:posOffset>
                </wp:positionH>
                <wp:positionV relativeFrom="paragraph">
                  <wp:posOffset>283210</wp:posOffset>
                </wp:positionV>
                <wp:extent cx="455930" cy="12700"/>
                <wp:effectExtent l="0" t="0" r="0" b="0"/>
                <wp:wrapNone/>
                <wp:docPr id="1514863182" name="Freeform 13"/>
                <wp:cNvGraphicFramePr/>
                <a:graphic xmlns:a="http://schemas.openxmlformats.org/drawingml/2006/main">
                  <a:graphicData uri="http://schemas.microsoft.com/office/word/2010/wordprocessingShape">
                    <wps:wsp>
                      <wps:cNvSpPr/>
                      <wps:spPr bwMode="auto">
                        <a:xfrm>
                          <a:off x="0" y="0"/>
                          <a:ext cx="455930" cy="12700"/>
                        </a:xfrm>
                        <a:custGeom>
                          <a:avLst/>
                          <a:gdLst>
                            <a:gd name="T0" fmla="*/ 0 w 718"/>
                            <a:gd name="T1" fmla="*/ 0 h 20"/>
                            <a:gd name="T2" fmla="*/ 717 w 718"/>
                            <a:gd name="T3" fmla="*/ 0 h 20"/>
                          </a:gdLst>
                          <a:ahLst/>
                          <a:cxnLst>
                            <a:cxn ang="0">
                              <a:pos x="T0" y="T1"/>
                            </a:cxn>
                            <a:cxn ang="0">
                              <a:pos x="T2" y="T3"/>
                            </a:cxn>
                          </a:cxnLst>
                          <a:rect l="0" t="0" r="r" b="b"/>
                          <a:pathLst>
                            <a:path w="718" h="20">
                              <a:moveTo>
                                <a:pt x="0" y="0"/>
                              </a:moveTo>
                              <a:lnTo>
                                <a:pt x="717" y="0"/>
                              </a:lnTo>
                            </a:path>
                          </a:pathLst>
                        </a:custGeom>
                        <a:noFill/>
                        <a:ln w="10668">
                          <a:solidFill>
                            <a:srgbClr val="000000"/>
                          </a:solidFill>
                          <a:round/>
                        </a:ln>
                      </wps:spPr>
                      <wps:bodyPr rot="0" vert="horz" wrap="square" lIns="91440" tIns="45720" rIns="91440" bIns="45720" anchor="t" anchorCtr="0" upright="1">
                        <a:noAutofit/>
                      </wps:bodyPr>
                    </wps:wsp>
                  </a:graphicData>
                </a:graphic>
              </wp:anchor>
            </w:drawing>
          </mc:Choice>
          <mc:Fallback>
            <w:pict>
              <v:shape id="Freeform 13" o:spid="_x0000_s1026" o:spt="100" style="position:absolute;left:0pt;margin-left:442.4pt;margin-top:22.3pt;height:1pt;width:35.9pt;mso-position-horizontal-relative:page;z-index:251665408;mso-width-relative:page;mso-height-relative:page;" filled="f" stroked="t" coordsize="718,20" o:allowincell="f" o:gfxdata="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xlDXzZAAAACQEAAA8AAAAAAAAAAQAgAAAAIgAAAGRycy9kb3ducmV2&#10;LnhtbFBLAQIUABQAAAAIAIdO4kCNFy4rpgIAAMYFAAAOAAAAAAAAAAEAIAAAACgBAABkcnMvZTJv&#10;RG9jLnhtbFBLBQYAAAAABgAGAFkBAABABgAAAAA=&#10;" path="m0,0l717,0e">
                <v:path o:connectlocs="0,0;455295,0" o:connectangles="0,0"/>
                <v:fill on="f" focussize="0,0"/>
                <v:stroke weight="0.84pt" color="#000000" joinstyle="round"/>
                <v:imagedata o:title=""/>
                <o:lock v:ext="edit" aspectratio="f"/>
              </v:shape>
            </w:pict>
          </mc:Fallback>
        </mc:AlternateContent>
      </w:r>
      <w:r>
        <w:rPr>
          <w:rFonts w:hint="eastAsia" w:hAnsi="宋体"/>
          <w:color w:val="auto"/>
        </w:rPr>
        <w:t>目中的非预留部分采购包，对小微企业报价给予</w:t>
      </w:r>
      <w:r>
        <w:rPr>
          <w:rFonts w:hint="eastAsia" w:hAnsi="宋体"/>
          <w:color w:val="auto"/>
          <w:u w:val="single"/>
        </w:rPr>
        <w:t>/</w:t>
      </w:r>
      <w:r>
        <w:rPr>
          <w:rFonts w:hAnsi="宋体"/>
          <w:color w:val="auto"/>
          <w:u w:val="single"/>
        </w:rPr>
        <w:t xml:space="preserve"> % </w:t>
      </w:r>
      <w:r>
        <w:rPr>
          <w:rFonts w:hint="eastAsia" w:hAnsi="宋体"/>
          <w:color w:val="auto"/>
        </w:rPr>
        <w:t>的扣除，用</w:t>
      </w:r>
    </w:p>
    <w:p w14:paraId="2C291CA1">
      <w:pPr>
        <w:pStyle w:val="17"/>
        <w:kinsoku w:val="0"/>
        <w:overflowPunct w:val="0"/>
        <w:spacing w:before="161" w:line="362" w:lineRule="auto"/>
        <w:ind w:left="2576"/>
        <w:rPr>
          <w:rFonts w:hAnsi="宋体"/>
          <w:color w:val="auto"/>
        </w:rPr>
      </w:pPr>
      <w:r>
        <w:rPr>
          <w:rFonts w:hint="eastAsia" w:hAnsi="宋体"/>
          <w:color w:val="auto"/>
        </w:rPr>
        <w:t>扣除后的价格参加评审。</w:t>
      </w:r>
    </w:p>
    <w:p w14:paraId="1D205BAC">
      <w:pPr>
        <w:pStyle w:val="69"/>
        <w:numPr>
          <w:ilvl w:val="2"/>
          <w:numId w:val="11"/>
        </w:numPr>
        <w:tabs>
          <w:tab w:val="left" w:pos="2522"/>
        </w:tabs>
        <w:kinsoku w:val="0"/>
        <w:overflowPunct w:val="0"/>
        <w:spacing w:before="5" w:line="364" w:lineRule="auto"/>
        <w:ind w:left="2576" w:right="570"/>
        <w:jc w:val="both"/>
        <w:rPr>
          <w:rFonts w:hAnsi="宋体"/>
          <w:color w:val="auto"/>
        </w:rPr>
      </w:pPr>
      <w:bookmarkStart w:id="43" w:name="_Hlk149137337"/>
      <w:r>
        <w:rPr>
          <w:rFonts w:hint="eastAsia" w:hAnsi="宋体"/>
          <w:color w:val="auto"/>
          <w:spacing w:val="-6"/>
        </w:rPr>
        <w:t>对于未预留份额专门面向中小企业采购的采购项目，以及预留份额项</w:t>
      </w:r>
      <w:r>
        <w:rPr>
          <w:rFonts w:hint="eastAsia" w:hAnsi="宋体"/>
          <w:color w:val="auto"/>
        </w:rPr>
        <w:t>目中的非预留部分采购包，且接受大中型企业与小微企业组成联合体或者允许大中型企业向一家或者多家小微企业分包的采购项目，</w:t>
      </w:r>
      <w:r>
        <w:rPr>
          <w:rFonts w:hAnsi="宋体"/>
          <w:color w:val="auto"/>
        </w:rPr>
        <w:t xml:space="preserve"> </w:t>
      </w:r>
      <w:r>
        <w:rPr>
          <w:rFonts w:hint="eastAsia" w:hAnsi="宋体"/>
          <w:color w:val="auto"/>
        </w:rPr>
        <w:t>对于联合协议或者分包意向协议约定小微企业的合同份额占到合同</w:t>
      </w:r>
    </w:p>
    <w:p w14:paraId="0552598E">
      <w:pPr>
        <w:pStyle w:val="17"/>
        <w:kinsoku w:val="0"/>
        <w:overflowPunct w:val="0"/>
        <w:spacing w:line="362" w:lineRule="auto"/>
        <w:ind w:left="2576" w:right="571"/>
        <w:rPr>
          <w:rFonts w:hAnsi="宋体"/>
          <w:color w:val="auto"/>
        </w:rPr>
      </w:pPr>
      <w:r>
        <w:rPr>
          <w:rFonts w:hAnsi="宋体"/>
          <w:color w:val="auto"/>
        </w:rPr>
        <mc:AlternateContent>
          <mc:Choice Requires="wps">
            <w:drawing>
              <wp:anchor distT="0" distB="0" distL="114300" distR="114300" simplePos="0" relativeHeight="251666432" behindDoc="1" locked="0" layoutInCell="0" allowOverlap="1">
                <wp:simplePos x="0" y="0"/>
                <wp:positionH relativeFrom="page">
                  <wp:posOffset>6082030</wp:posOffset>
                </wp:positionH>
                <wp:positionV relativeFrom="paragraph">
                  <wp:posOffset>180975</wp:posOffset>
                </wp:positionV>
                <wp:extent cx="455930" cy="12700"/>
                <wp:effectExtent l="0" t="0" r="0" b="0"/>
                <wp:wrapNone/>
                <wp:docPr id="2036918030" name="Freeform 14"/>
                <wp:cNvGraphicFramePr/>
                <a:graphic xmlns:a="http://schemas.openxmlformats.org/drawingml/2006/main">
                  <a:graphicData uri="http://schemas.microsoft.com/office/word/2010/wordprocessingShape">
                    <wps:wsp>
                      <wps:cNvSpPr/>
                      <wps:spPr bwMode="auto">
                        <a:xfrm>
                          <a:off x="0" y="0"/>
                          <a:ext cx="455930" cy="12700"/>
                        </a:xfrm>
                        <a:custGeom>
                          <a:avLst/>
                          <a:gdLst>
                            <a:gd name="T0" fmla="*/ 0 w 718"/>
                            <a:gd name="T1" fmla="*/ 0 h 20"/>
                            <a:gd name="T2" fmla="*/ 717 w 718"/>
                            <a:gd name="T3" fmla="*/ 0 h 20"/>
                          </a:gdLst>
                          <a:ahLst/>
                          <a:cxnLst>
                            <a:cxn ang="0">
                              <a:pos x="T0" y="T1"/>
                            </a:cxn>
                            <a:cxn ang="0">
                              <a:pos x="T2" y="T3"/>
                            </a:cxn>
                          </a:cxnLst>
                          <a:rect l="0" t="0" r="r" b="b"/>
                          <a:pathLst>
                            <a:path w="718" h="20">
                              <a:moveTo>
                                <a:pt x="0" y="0"/>
                              </a:moveTo>
                              <a:lnTo>
                                <a:pt x="717" y="0"/>
                              </a:lnTo>
                            </a:path>
                          </a:pathLst>
                        </a:custGeom>
                        <a:noFill/>
                        <a:ln w="10668">
                          <a:solidFill>
                            <a:srgbClr val="000000"/>
                          </a:solidFill>
                          <a:round/>
                        </a:ln>
                      </wps:spPr>
                      <wps:bodyPr rot="0" vert="horz" wrap="square" lIns="91440" tIns="45720" rIns="91440" bIns="45720" anchor="t" anchorCtr="0" upright="1">
                        <a:noAutofit/>
                      </wps:bodyPr>
                    </wps:wsp>
                  </a:graphicData>
                </a:graphic>
              </wp:anchor>
            </w:drawing>
          </mc:Choice>
          <mc:Fallback>
            <w:pict>
              <v:shape id="Freeform 14" o:spid="_x0000_s1026" o:spt="100" style="position:absolute;left:0pt;margin-left:478.9pt;margin-top:14.25pt;height:1pt;width:35.9pt;mso-position-horizontal-relative:page;z-index:-251650048;mso-width-relative:page;mso-height-relative:page;" filled="f" stroked="t" coordsize="718,20" o:allowincell="f" o:gfxdata="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lsA2GNsAAAAKAQAADwAAAAAAAAABACAAAAAiAAAAZHJzL2Rvd25yZXYu&#10;eG1sUEsBAhQAFAAAAAgAh07iQGvKIRCjAgAAxgUAAA4AAAAAAAAAAQAgAAAAKgEAAGRycy9lMm9E&#10;b2MueG1sUEsFBgAAAAAGAAYAWQEAAD8GAAAAAA==&#10;" path="m0,0l717,0e">
                <v:path o:connectlocs="0,0;455295,0" o:connectangles="0,0"/>
                <v:fill on="f" focussize="0,0"/>
                <v:stroke weight="0.84pt" color="#000000" joinstyle="round"/>
                <v:imagedata o:title=""/>
                <o:lock v:ext="edit" aspectratio="f"/>
              </v:shape>
            </w:pict>
          </mc:Fallback>
        </mc:AlternateContent>
      </w:r>
      <w:r>
        <w:rPr>
          <w:rFonts w:hint="eastAsia" w:hAnsi="宋体"/>
          <w:color w:val="auto"/>
          <w:spacing w:val="7"/>
        </w:rPr>
        <w:t>总</w:t>
      </w:r>
      <w:r>
        <w:rPr>
          <w:rFonts w:hint="eastAsia" w:hAnsi="宋体"/>
          <w:color w:val="auto"/>
          <w:spacing w:val="4"/>
        </w:rPr>
        <w:t>金</w:t>
      </w:r>
      <w:r>
        <w:rPr>
          <w:rFonts w:hint="eastAsia" w:hAnsi="宋体"/>
          <w:color w:val="auto"/>
        </w:rPr>
        <w:t>额</w:t>
      </w:r>
      <w:r>
        <w:rPr>
          <w:rFonts w:hAnsi="宋体"/>
          <w:color w:val="auto"/>
          <w:spacing w:val="36"/>
        </w:rPr>
        <w:t xml:space="preserve"> </w:t>
      </w:r>
      <w:r>
        <w:rPr>
          <w:rFonts w:hAnsi="宋体" w:cs="Arial"/>
          <w:color w:val="auto"/>
        </w:rPr>
        <w:t>30%</w:t>
      </w:r>
      <w:r>
        <w:rPr>
          <w:rFonts w:hint="eastAsia" w:hAnsi="宋体"/>
          <w:color w:val="auto"/>
          <w:spacing w:val="7"/>
        </w:rPr>
        <w:t>以</w:t>
      </w:r>
      <w:r>
        <w:rPr>
          <w:rFonts w:hint="eastAsia" w:hAnsi="宋体"/>
          <w:color w:val="auto"/>
          <w:spacing w:val="4"/>
        </w:rPr>
        <w:t>上</w:t>
      </w:r>
      <w:r>
        <w:rPr>
          <w:rFonts w:hint="eastAsia" w:hAnsi="宋体"/>
          <w:color w:val="auto"/>
          <w:spacing w:val="7"/>
        </w:rPr>
        <w:t>的联合</w:t>
      </w:r>
      <w:r>
        <w:rPr>
          <w:rFonts w:hint="eastAsia" w:hAnsi="宋体"/>
          <w:color w:val="auto"/>
          <w:spacing w:val="4"/>
        </w:rPr>
        <w:t>体</w:t>
      </w:r>
      <w:r>
        <w:rPr>
          <w:rFonts w:hint="eastAsia" w:hAnsi="宋体"/>
          <w:color w:val="auto"/>
          <w:spacing w:val="7"/>
        </w:rPr>
        <w:t>或者大</w:t>
      </w:r>
      <w:r>
        <w:rPr>
          <w:rFonts w:hint="eastAsia" w:hAnsi="宋体"/>
          <w:color w:val="auto"/>
          <w:spacing w:val="4"/>
        </w:rPr>
        <w:t>中</w:t>
      </w:r>
      <w:r>
        <w:rPr>
          <w:rFonts w:hint="eastAsia" w:hAnsi="宋体"/>
          <w:color w:val="auto"/>
          <w:spacing w:val="7"/>
        </w:rPr>
        <w:t>型企</w:t>
      </w:r>
      <w:r>
        <w:rPr>
          <w:rFonts w:hint="eastAsia" w:hAnsi="宋体"/>
          <w:color w:val="auto"/>
          <w:spacing w:val="4"/>
        </w:rPr>
        <w:t>业</w:t>
      </w:r>
      <w:r>
        <w:rPr>
          <w:rFonts w:hint="eastAsia" w:hAnsi="宋体"/>
          <w:color w:val="auto"/>
          <w:spacing w:val="7"/>
        </w:rPr>
        <w:t>的报价</w:t>
      </w:r>
      <w:r>
        <w:rPr>
          <w:rFonts w:hint="eastAsia" w:hAnsi="宋体"/>
          <w:color w:val="auto"/>
          <w:spacing w:val="4"/>
        </w:rPr>
        <w:t>给</w:t>
      </w:r>
      <w:r>
        <w:rPr>
          <w:rFonts w:hint="eastAsia" w:hAnsi="宋体"/>
          <w:color w:val="auto"/>
        </w:rPr>
        <w:t>予</w:t>
      </w:r>
      <w:r>
        <w:rPr>
          <w:rFonts w:hAnsi="宋体"/>
          <w:color w:val="auto"/>
          <w:u w:val="single"/>
        </w:rPr>
        <w:t>/</w:t>
      </w:r>
      <w:r>
        <w:rPr>
          <w:rFonts w:hAnsi="宋体" w:cs="Arial"/>
          <w:color w:val="auto"/>
          <w:spacing w:val="9"/>
          <w:u w:val="single"/>
        </w:rPr>
        <w:t>%</w:t>
      </w:r>
      <w:r>
        <w:rPr>
          <w:rFonts w:hint="eastAsia" w:hAnsi="宋体"/>
          <w:color w:val="auto"/>
          <w:spacing w:val="-17"/>
        </w:rPr>
        <w:t>的</w:t>
      </w:r>
      <w:r>
        <w:rPr>
          <w:rFonts w:hint="eastAsia" w:hAnsi="宋体"/>
          <w:color w:val="auto"/>
        </w:rPr>
        <w:t>扣除，用扣除后的价格参加评审。</w:t>
      </w:r>
    </w:p>
    <w:p w14:paraId="1E92BB81">
      <w:pPr>
        <w:pStyle w:val="69"/>
        <w:numPr>
          <w:ilvl w:val="2"/>
          <w:numId w:val="11"/>
        </w:numPr>
        <w:tabs>
          <w:tab w:val="left" w:pos="2522"/>
        </w:tabs>
        <w:kinsoku w:val="0"/>
        <w:overflowPunct w:val="0"/>
        <w:spacing w:before="2" w:line="362" w:lineRule="auto"/>
        <w:ind w:left="2576" w:right="571"/>
        <w:rPr>
          <w:rFonts w:hAnsi="宋体"/>
          <w:color w:val="auto"/>
        </w:rPr>
      </w:pPr>
      <w:r>
        <w:rPr>
          <w:rFonts w:hint="eastAsia" w:hAnsi="宋体"/>
          <w:color w:val="auto"/>
          <w:spacing w:val="-6"/>
        </w:rPr>
        <w:t>组成联合体或者接受分包的小微企业与联合体内其他企业、分包企业</w:t>
      </w:r>
      <w:r>
        <w:rPr>
          <w:rFonts w:hint="eastAsia" w:hAnsi="宋体"/>
          <w:color w:val="auto"/>
        </w:rPr>
        <w:t>之间存在直接控股、管理关系的，不享受价格扣除优惠政策。</w:t>
      </w:r>
    </w:p>
    <w:p w14:paraId="2D9A9B7C">
      <w:pPr>
        <w:pStyle w:val="69"/>
        <w:numPr>
          <w:ilvl w:val="2"/>
          <w:numId w:val="11"/>
        </w:numPr>
        <w:tabs>
          <w:tab w:val="left" w:pos="2522"/>
        </w:tabs>
        <w:kinsoku w:val="0"/>
        <w:overflowPunct w:val="0"/>
        <w:spacing w:before="72"/>
        <w:ind w:hanging="846"/>
        <w:rPr>
          <w:rFonts w:hAnsi="宋体"/>
          <w:color w:val="auto"/>
        </w:rPr>
      </w:pPr>
      <w:r>
        <w:rPr>
          <w:rFonts w:hint="eastAsia" w:hAnsi="宋体"/>
          <w:color w:val="auto"/>
        </w:rPr>
        <w:t>价格扣除比例对小型企业和微型企业同等对待，不作区分。</w:t>
      </w:r>
    </w:p>
    <w:p w14:paraId="4F570780">
      <w:pPr>
        <w:pStyle w:val="69"/>
        <w:numPr>
          <w:ilvl w:val="2"/>
          <w:numId w:val="11"/>
        </w:numPr>
        <w:tabs>
          <w:tab w:val="left" w:pos="2522"/>
        </w:tabs>
        <w:kinsoku w:val="0"/>
        <w:overflowPunct w:val="0"/>
        <w:spacing w:before="159" w:line="364" w:lineRule="auto"/>
        <w:ind w:left="2576" w:right="570"/>
        <w:rPr>
          <w:rFonts w:hAnsi="宋体"/>
          <w:color w:val="auto"/>
          <w:spacing w:val="-11"/>
        </w:rPr>
      </w:pPr>
      <w:r>
        <w:rPr>
          <w:rFonts w:hint="eastAsia" w:hAnsi="宋体"/>
          <w:color w:val="auto"/>
          <w:spacing w:val="-10"/>
        </w:rPr>
        <w:t>中小企业参加政府采购活动，应当按照竞争性磋商文件给定的格式出</w:t>
      </w:r>
      <w:r>
        <w:rPr>
          <w:rFonts w:hint="eastAsia" w:hAnsi="宋体"/>
          <w:color w:val="auto"/>
          <w:spacing w:val="-11"/>
        </w:rPr>
        <w:t>具《中小企业声明函》，否则不得享受相关中小企业扶持政策。</w:t>
      </w:r>
    </w:p>
    <w:p w14:paraId="74AEB031">
      <w:pPr>
        <w:pStyle w:val="69"/>
        <w:numPr>
          <w:ilvl w:val="2"/>
          <w:numId w:val="11"/>
        </w:numPr>
        <w:tabs>
          <w:tab w:val="left" w:pos="2522"/>
        </w:tabs>
        <w:kinsoku w:val="0"/>
        <w:overflowPunct w:val="0"/>
        <w:spacing w:before="1" w:line="362" w:lineRule="auto"/>
        <w:ind w:left="2576" w:right="570"/>
        <w:rPr>
          <w:rFonts w:hAnsi="宋体"/>
          <w:color w:val="auto"/>
        </w:rPr>
      </w:pPr>
      <w:r>
        <w:rPr>
          <w:rFonts w:hint="eastAsia" w:hAnsi="宋体"/>
          <w:color w:val="auto"/>
          <w:spacing w:val="-7"/>
        </w:rPr>
        <w:t>监狱企业提供了由省级以上监狱管理局、戒毒管理局</w:t>
      </w:r>
      <w:r>
        <w:rPr>
          <w:rFonts w:hint="eastAsia" w:hAnsi="宋体"/>
          <w:color w:val="auto"/>
        </w:rPr>
        <w:t>（</w:t>
      </w:r>
      <w:r>
        <w:rPr>
          <w:rFonts w:hint="eastAsia" w:hAnsi="宋体"/>
          <w:color w:val="auto"/>
          <w:spacing w:val="-3"/>
        </w:rPr>
        <w:t>含新疆生产建</w:t>
      </w:r>
      <w:r>
        <w:rPr>
          <w:rFonts w:hint="eastAsia" w:hAnsi="宋体"/>
          <w:color w:val="auto"/>
        </w:rPr>
        <w:t>设兵团）出具的属于监狱企业的证明文件的，视同小微企业。</w:t>
      </w:r>
    </w:p>
    <w:p w14:paraId="06D8CD19">
      <w:pPr>
        <w:pStyle w:val="69"/>
        <w:numPr>
          <w:ilvl w:val="2"/>
          <w:numId w:val="11"/>
        </w:numPr>
        <w:tabs>
          <w:tab w:val="left" w:pos="2522"/>
        </w:tabs>
        <w:kinsoku w:val="0"/>
        <w:overflowPunct w:val="0"/>
        <w:spacing w:before="5" w:line="362" w:lineRule="auto"/>
        <w:ind w:left="2576" w:right="570"/>
        <w:rPr>
          <w:rFonts w:hAnsi="宋体"/>
          <w:color w:val="auto"/>
        </w:rPr>
      </w:pPr>
      <w:r>
        <w:rPr>
          <w:rFonts w:hint="eastAsia" w:hAnsi="宋体"/>
          <w:color w:val="auto"/>
          <w:spacing w:val="-7"/>
        </w:rPr>
        <w:t>残疾人福利性单位按竞争性磋商文件要求提供了《残疾人福利性单位</w:t>
      </w:r>
      <w:r>
        <w:rPr>
          <w:rFonts w:hint="eastAsia" w:hAnsi="宋体"/>
          <w:color w:val="auto"/>
        </w:rPr>
        <w:t>声明函》的，视同小微企业。</w:t>
      </w:r>
    </w:p>
    <w:p w14:paraId="0A98E9A8">
      <w:pPr>
        <w:pStyle w:val="69"/>
        <w:numPr>
          <w:ilvl w:val="2"/>
          <w:numId w:val="11"/>
        </w:numPr>
        <w:tabs>
          <w:tab w:val="left" w:pos="2522"/>
        </w:tabs>
        <w:kinsoku w:val="0"/>
        <w:overflowPunct w:val="0"/>
        <w:spacing w:before="5" w:line="362" w:lineRule="auto"/>
        <w:ind w:left="2576" w:right="570"/>
        <w:rPr>
          <w:rFonts w:hAnsi="宋体"/>
          <w:color w:val="auto"/>
        </w:rPr>
      </w:pPr>
      <w:r>
        <w:rPr>
          <w:rFonts w:hint="eastAsia" w:hAnsi="宋体"/>
          <w:color w:val="auto"/>
          <w:spacing w:val="-8"/>
        </w:rPr>
        <w:t>若供应商同时属于小型或微型企业、监狱企业、残疾人福利性单位中</w:t>
      </w:r>
      <w:r>
        <w:rPr>
          <w:rFonts w:hint="eastAsia" w:hAnsi="宋体"/>
          <w:color w:val="auto"/>
        </w:rPr>
        <w:t>的两种及以上，将不重复享受小微企业价格扣减的优惠政策。</w:t>
      </w:r>
    </w:p>
    <w:p w14:paraId="32627573">
      <w:pPr>
        <w:pStyle w:val="69"/>
        <w:numPr>
          <w:ilvl w:val="2"/>
          <w:numId w:val="11"/>
        </w:numPr>
        <w:tabs>
          <w:tab w:val="left" w:pos="2522"/>
          <w:tab w:val="left" w:pos="7801"/>
        </w:tabs>
        <w:kinsoku w:val="0"/>
        <w:overflowPunct w:val="0"/>
        <w:spacing w:before="5"/>
        <w:ind w:hanging="846"/>
        <w:rPr>
          <w:rFonts w:hAnsi="宋体"/>
          <w:color w:val="auto"/>
        </w:rPr>
      </w:pPr>
      <w:r>
        <w:rPr>
          <w:rFonts w:hint="eastAsia" w:hAnsi="宋体"/>
          <w:color w:val="auto"/>
        </w:rPr>
        <w:t>其他为落实政府采购政策实施的优先采购：</w:t>
      </w:r>
      <w:r>
        <w:rPr>
          <w:rFonts w:hAnsi="宋体"/>
          <w:color w:val="auto"/>
          <w:u w:val="single" w:color="000000"/>
        </w:rPr>
        <w:t xml:space="preserve"> /</w:t>
      </w:r>
      <w:r>
        <w:rPr>
          <w:rFonts w:hAnsi="宋体"/>
          <w:color w:val="auto"/>
          <w:u w:val="single" w:color="000000"/>
        </w:rPr>
        <w:tab/>
      </w:r>
      <w:r>
        <w:rPr>
          <w:rFonts w:hint="eastAsia" w:hAnsi="宋体"/>
          <w:color w:val="auto"/>
        </w:rPr>
        <w:t>。</w:t>
      </w:r>
    </w:p>
    <w:p w14:paraId="628D1C5D">
      <w:pPr>
        <w:pStyle w:val="69"/>
        <w:numPr>
          <w:ilvl w:val="0"/>
          <w:numId w:val="11"/>
        </w:numPr>
        <w:tabs>
          <w:tab w:val="left" w:pos="902"/>
        </w:tabs>
        <w:kinsoku w:val="0"/>
        <w:overflowPunct w:val="0"/>
        <w:spacing w:before="158"/>
        <w:ind w:hanging="361"/>
        <w:jc w:val="both"/>
        <w:rPr>
          <w:rFonts w:hAnsi="宋体"/>
          <w:color w:val="auto"/>
        </w:rPr>
      </w:pPr>
      <w:r>
        <w:rPr>
          <w:rFonts w:hint="eastAsia" w:hAnsi="宋体"/>
          <w:color w:val="auto"/>
        </w:rPr>
        <w:t>磋商环节及提交最后报价后如出现以下情况的，供应商的响应文件无效：</w:t>
      </w:r>
    </w:p>
    <w:p w14:paraId="510E9018">
      <w:pPr>
        <w:pStyle w:val="69"/>
        <w:numPr>
          <w:ilvl w:val="1"/>
          <w:numId w:val="11"/>
        </w:numPr>
        <w:tabs>
          <w:tab w:val="left" w:pos="1617"/>
        </w:tabs>
        <w:kinsoku w:val="0"/>
        <w:overflowPunct w:val="0"/>
        <w:spacing w:before="160"/>
        <w:ind w:hanging="721"/>
        <w:rPr>
          <w:rFonts w:hAnsi="宋体"/>
          <w:color w:val="auto"/>
        </w:rPr>
      </w:pPr>
      <w:r>
        <w:rPr>
          <w:rFonts w:hint="eastAsia" w:hAnsi="宋体"/>
          <w:color w:val="auto"/>
        </w:rPr>
        <w:t>供应商对实质性变动不予确认的；</w:t>
      </w:r>
    </w:p>
    <w:p w14:paraId="2C619158">
      <w:pPr>
        <w:pStyle w:val="69"/>
        <w:numPr>
          <w:ilvl w:val="1"/>
          <w:numId w:val="11"/>
        </w:numPr>
        <w:tabs>
          <w:tab w:val="left" w:pos="1617"/>
        </w:tabs>
        <w:kinsoku w:val="0"/>
        <w:overflowPunct w:val="0"/>
        <w:spacing w:before="158" w:line="367" w:lineRule="auto"/>
        <w:ind w:right="573"/>
        <w:rPr>
          <w:rFonts w:hAnsi="宋体"/>
          <w:color w:val="auto"/>
        </w:rPr>
      </w:pPr>
      <w:r>
        <w:rPr>
          <w:rFonts w:hint="eastAsia" w:hAnsi="宋体"/>
          <w:color w:val="auto"/>
        </w:rPr>
        <w:t>不满足磋商文件★号条款或磋商文件技术指标超出磋商文件《采购需求》中主要技术参数允许偏差的最大范围的（如有</w:t>
      </w:r>
      <w:r>
        <w:rPr>
          <w:rFonts w:hint="eastAsia" w:hAnsi="宋体"/>
          <w:color w:val="auto"/>
          <w:spacing w:val="-120"/>
        </w:rPr>
        <w:t>）</w:t>
      </w:r>
      <w:r>
        <w:rPr>
          <w:rFonts w:hint="eastAsia" w:hAnsi="宋体"/>
          <w:color w:val="auto"/>
        </w:rPr>
        <w:t>；</w:t>
      </w:r>
    </w:p>
    <w:p w14:paraId="5F75A23B">
      <w:pPr>
        <w:pStyle w:val="69"/>
        <w:numPr>
          <w:ilvl w:val="1"/>
          <w:numId w:val="11"/>
        </w:numPr>
        <w:tabs>
          <w:tab w:val="left" w:pos="1617"/>
        </w:tabs>
        <w:kinsoku w:val="0"/>
        <w:overflowPunct w:val="0"/>
        <w:spacing w:line="305" w:lineRule="exact"/>
        <w:ind w:hanging="721"/>
        <w:rPr>
          <w:rFonts w:hAnsi="宋体"/>
          <w:color w:val="auto"/>
        </w:rPr>
      </w:pPr>
      <w:r>
        <w:rPr>
          <w:rFonts w:hint="eastAsia" w:hAnsi="宋体"/>
          <w:color w:val="auto"/>
        </w:rPr>
        <w:t>未按照磋商小组规定的时间、逾期提交最后报价的；</w:t>
      </w:r>
    </w:p>
    <w:p w14:paraId="08B85A35">
      <w:pPr>
        <w:pStyle w:val="69"/>
        <w:numPr>
          <w:ilvl w:val="1"/>
          <w:numId w:val="11"/>
        </w:numPr>
        <w:tabs>
          <w:tab w:val="left" w:pos="1617"/>
        </w:tabs>
        <w:kinsoku w:val="0"/>
        <w:overflowPunct w:val="0"/>
        <w:spacing w:before="158" w:line="364" w:lineRule="auto"/>
        <w:ind w:right="573"/>
        <w:rPr>
          <w:rFonts w:hAnsi="宋体"/>
          <w:color w:val="auto"/>
          <w:spacing w:val="6"/>
        </w:rPr>
      </w:pPr>
      <w:r>
        <w:rPr>
          <w:rFonts w:hint="eastAsia" w:hAnsi="宋体"/>
          <w:color w:val="auto"/>
          <w:spacing w:val="7"/>
        </w:rPr>
        <w:t>如供应商的最后报价超过竞争性磋商文件中规定的项目</w:t>
      </w:r>
      <w:r>
        <w:rPr>
          <w:rFonts w:hAnsi="宋体" w:cs="Arial"/>
          <w:color w:val="auto"/>
          <w:spacing w:val="5"/>
        </w:rPr>
        <w:t>/</w:t>
      </w:r>
      <w:r>
        <w:rPr>
          <w:rFonts w:hint="eastAsia" w:hAnsi="宋体"/>
          <w:color w:val="auto"/>
          <w:spacing w:val="6"/>
        </w:rPr>
        <w:t>采购包预算金额或者项目</w:t>
      </w:r>
      <w:r>
        <w:rPr>
          <w:rFonts w:hAnsi="宋体" w:cs="Arial"/>
          <w:color w:val="auto"/>
          <w:spacing w:val="6"/>
        </w:rPr>
        <w:t>/</w:t>
      </w:r>
      <w:r>
        <w:rPr>
          <w:rFonts w:hint="eastAsia" w:hAnsi="宋体"/>
          <w:color w:val="auto"/>
          <w:spacing w:val="6"/>
        </w:rPr>
        <w:t>采购包最高限价的；</w:t>
      </w:r>
    </w:p>
    <w:p w14:paraId="1348FD70">
      <w:pPr>
        <w:pStyle w:val="69"/>
        <w:numPr>
          <w:ilvl w:val="1"/>
          <w:numId w:val="11"/>
        </w:numPr>
        <w:tabs>
          <w:tab w:val="left" w:pos="1617"/>
        </w:tabs>
        <w:kinsoku w:val="0"/>
        <w:overflowPunct w:val="0"/>
        <w:spacing w:before="2" w:line="362" w:lineRule="auto"/>
        <w:ind w:right="573"/>
        <w:rPr>
          <w:rFonts w:hAnsi="宋体"/>
          <w:color w:val="auto"/>
        </w:rPr>
      </w:pPr>
      <w:r>
        <w:rPr>
          <w:rFonts w:hint="eastAsia" w:hAnsi="宋体"/>
          <w:color w:val="auto"/>
        </w:rPr>
        <w:t>响应文件中出现可选择性或可调整的报价的（竞争性磋商文件另有规定的除外</w:t>
      </w:r>
      <w:r>
        <w:rPr>
          <w:rFonts w:hint="eastAsia" w:hAnsi="宋体"/>
          <w:color w:val="auto"/>
          <w:spacing w:val="-120"/>
        </w:rPr>
        <w:t>）</w:t>
      </w:r>
      <w:r>
        <w:rPr>
          <w:rFonts w:hint="eastAsia" w:hAnsi="宋体"/>
          <w:color w:val="auto"/>
        </w:rPr>
        <w:t>；</w:t>
      </w:r>
    </w:p>
    <w:p w14:paraId="3A8F6F00">
      <w:pPr>
        <w:pStyle w:val="69"/>
        <w:numPr>
          <w:ilvl w:val="1"/>
          <w:numId w:val="11"/>
        </w:numPr>
        <w:tabs>
          <w:tab w:val="left" w:pos="1617"/>
        </w:tabs>
        <w:kinsoku w:val="0"/>
        <w:overflowPunct w:val="0"/>
        <w:spacing w:before="2"/>
        <w:ind w:hanging="721"/>
        <w:rPr>
          <w:rFonts w:hAnsi="宋体"/>
          <w:color w:val="auto"/>
        </w:rPr>
      </w:pPr>
      <w:r>
        <w:rPr>
          <w:rFonts w:hint="eastAsia" w:hAnsi="宋体"/>
          <w:color w:val="auto"/>
        </w:rPr>
        <w:t>最后报价出现前后不一致，供应商对修正后的报价不予确认的；</w:t>
      </w:r>
    </w:p>
    <w:p w14:paraId="213EE420">
      <w:pPr>
        <w:pStyle w:val="69"/>
        <w:numPr>
          <w:ilvl w:val="1"/>
          <w:numId w:val="11"/>
        </w:numPr>
        <w:tabs>
          <w:tab w:val="left" w:pos="1617"/>
          <w:tab w:val="left" w:pos="3056"/>
        </w:tabs>
        <w:kinsoku w:val="0"/>
        <w:overflowPunct w:val="0"/>
        <w:spacing w:before="161"/>
        <w:ind w:hanging="721"/>
        <w:rPr>
          <w:rFonts w:hAnsi="宋体"/>
          <w:color w:val="auto"/>
        </w:rPr>
      </w:pPr>
      <w:r>
        <w:rPr>
          <w:rFonts w:hint="eastAsia" w:hAnsi="宋体"/>
          <w:color w:val="auto"/>
        </w:rPr>
        <w:t>其他：</w:t>
      </w:r>
      <w:r>
        <w:rPr>
          <w:rFonts w:hAnsi="宋体"/>
          <w:color w:val="auto"/>
          <w:u w:val="single" w:color="000000"/>
        </w:rPr>
        <w:t xml:space="preserve"> /</w:t>
      </w:r>
      <w:r>
        <w:rPr>
          <w:rFonts w:hAnsi="宋体"/>
          <w:color w:val="auto"/>
          <w:u w:val="single" w:color="000000"/>
        </w:rPr>
        <w:tab/>
      </w:r>
      <w:r>
        <w:rPr>
          <w:rFonts w:hint="eastAsia" w:hAnsi="宋体"/>
          <w:color w:val="auto"/>
        </w:rPr>
        <w:t>。</w:t>
      </w:r>
    </w:p>
    <w:p w14:paraId="6192D95D">
      <w:pPr>
        <w:pStyle w:val="69"/>
        <w:numPr>
          <w:ilvl w:val="0"/>
          <w:numId w:val="11"/>
        </w:numPr>
        <w:tabs>
          <w:tab w:val="left" w:pos="902"/>
        </w:tabs>
        <w:kinsoku w:val="0"/>
        <w:overflowPunct w:val="0"/>
        <w:spacing w:before="158"/>
        <w:ind w:hanging="361"/>
        <w:jc w:val="both"/>
        <w:rPr>
          <w:rFonts w:hAnsi="宋体"/>
          <w:color w:val="auto"/>
        </w:rPr>
      </w:pPr>
      <w:r>
        <w:rPr>
          <w:rFonts w:hint="eastAsia" w:hAnsi="宋体"/>
          <w:color w:val="auto"/>
        </w:rPr>
        <w:t>评审方法和评审标准</w:t>
      </w:r>
    </w:p>
    <w:p w14:paraId="619B2E80">
      <w:pPr>
        <w:pStyle w:val="69"/>
        <w:numPr>
          <w:ilvl w:val="1"/>
          <w:numId w:val="11"/>
        </w:numPr>
        <w:tabs>
          <w:tab w:val="left" w:pos="1617"/>
        </w:tabs>
        <w:kinsoku w:val="0"/>
        <w:overflowPunct w:val="0"/>
        <w:spacing w:before="160" w:line="364" w:lineRule="auto"/>
        <w:ind w:right="573"/>
        <w:jc w:val="both"/>
        <w:rPr>
          <w:rFonts w:hAnsi="宋体"/>
          <w:color w:val="auto"/>
        </w:rPr>
      </w:pPr>
      <w:r>
        <w:rPr>
          <w:rFonts w:hint="eastAsia" w:hAnsi="宋体"/>
          <w:color w:val="auto"/>
        </w:rPr>
        <w:t>本项目采用的评审方法为：本项目的评审采用综合评分法。综合评分法，是指响应文件满足磋商文件全部实质性要求且按评审因素的量化指标评审得分最高的供应商为成交候选供应商的评审方法。</w:t>
      </w:r>
    </w:p>
    <w:p w14:paraId="2BBFF3AC">
      <w:pPr>
        <w:pStyle w:val="69"/>
        <w:numPr>
          <w:ilvl w:val="1"/>
          <w:numId w:val="11"/>
        </w:numPr>
        <w:tabs>
          <w:tab w:val="left" w:pos="1617"/>
        </w:tabs>
        <w:kinsoku w:val="0"/>
        <w:overflowPunct w:val="0"/>
        <w:spacing w:line="307" w:lineRule="exact"/>
        <w:ind w:hanging="721"/>
        <w:jc w:val="both"/>
        <w:rPr>
          <w:rFonts w:hAnsi="宋体"/>
          <w:color w:val="auto"/>
        </w:rPr>
      </w:pPr>
      <w:r>
        <w:rPr>
          <w:rFonts w:hint="eastAsia" w:hAnsi="宋体"/>
          <w:color w:val="auto"/>
        </w:rPr>
        <w:t>竞争性磋商文件中没有规定的评审标准不得作为评审依据。</w:t>
      </w:r>
    </w:p>
    <w:p w14:paraId="4590B332">
      <w:pPr>
        <w:pStyle w:val="69"/>
        <w:numPr>
          <w:ilvl w:val="1"/>
          <w:numId w:val="11"/>
        </w:numPr>
        <w:tabs>
          <w:tab w:val="left" w:pos="1617"/>
          <w:tab w:val="left" w:pos="7376"/>
        </w:tabs>
        <w:kinsoku w:val="0"/>
        <w:overflowPunct w:val="0"/>
        <w:spacing w:before="158" w:line="364" w:lineRule="auto"/>
        <w:ind w:right="573"/>
        <w:jc w:val="both"/>
        <w:rPr>
          <w:rFonts w:hAnsi="宋体"/>
          <w:color w:val="auto"/>
        </w:rPr>
      </w:pPr>
      <w:r>
        <w:rPr>
          <w:rFonts w:hint="eastAsia" w:hAnsi="宋体"/>
          <w:color w:val="auto"/>
        </w:rPr>
        <w:t>非政府强制采购的节能产品或环境标志产品，依据品目清单和认证证书实施政府优先采购。优先采购的具体规定（如涉及）</w:t>
      </w:r>
      <w:r>
        <w:rPr>
          <w:rFonts w:hAnsi="宋体"/>
          <w:color w:val="auto"/>
          <w:u w:val="single" w:color="000000"/>
        </w:rPr>
        <w:t xml:space="preserve"> /</w:t>
      </w:r>
      <w:r>
        <w:rPr>
          <w:rFonts w:hAnsi="宋体"/>
          <w:color w:val="auto"/>
          <w:u w:val="single" w:color="000000"/>
        </w:rPr>
        <w:tab/>
      </w:r>
      <w:r>
        <w:rPr>
          <w:rFonts w:hint="eastAsia" w:hAnsi="宋体"/>
          <w:color w:val="auto"/>
        </w:rPr>
        <w:t>。</w:t>
      </w:r>
    </w:p>
    <w:bookmarkEnd w:id="43"/>
    <w:p w14:paraId="7D623FFB">
      <w:pPr>
        <w:pStyle w:val="69"/>
        <w:numPr>
          <w:ilvl w:val="0"/>
          <w:numId w:val="11"/>
        </w:numPr>
        <w:tabs>
          <w:tab w:val="left" w:pos="902"/>
        </w:tabs>
        <w:kinsoku w:val="0"/>
        <w:overflowPunct w:val="0"/>
        <w:spacing w:before="72"/>
        <w:ind w:hanging="361"/>
        <w:jc w:val="both"/>
        <w:rPr>
          <w:rFonts w:hAnsi="宋体"/>
          <w:color w:val="auto"/>
        </w:rPr>
      </w:pPr>
      <w:r>
        <w:rPr>
          <w:rFonts w:hint="eastAsia" w:hAnsi="宋体"/>
          <w:color w:val="auto"/>
        </w:rPr>
        <w:t>确定成交候选人名单</w:t>
      </w:r>
    </w:p>
    <w:p w14:paraId="249D11E0">
      <w:pPr>
        <w:pStyle w:val="69"/>
        <w:numPr>
          <w:ilvl w:val="1"/>
          <w:numId w:val="11"/>
        </w:numPr>
        <w:tabs>
          <w:tab w:val="left" w:pos="1617"/>
        </w:tabs>
        <w:kinsoku w:val="0"/>
        <w:overflowPunct w:val="0"/>
        <w:spacing w:before="159" w:line="364" w:lineRule="auto"/>
        <w:ind w:right="573"/>
        <w:jc w:val="both"/>
        <w:rPr>
          <w:rFonts w:hAnsi="宋体"/>
          <w:color w:val="auto"/>
        </w:rPr>
      </w:pPr>
      <w:r>
        <w:rPr>
          <w:rFonts w:hint="eastAsia" w:hAnsi="宋体"/>
          <w:color w:val="auto"/>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3C5F9512">
      <w:pPr>
        <w:pStyle w:val="69"/>
        <w:numPr>
          <w:ilvl w:val="1"/>
          <w:numId w:val="11"/>
        </w:numPr>
        <w:tabs>
          <w:tab w:val="left" w:pos="1617"/>
          <w:tab w:val="left" w:pos="7068"/>
        </w:tabs>
        <w:kinsoku w:val="0"/>
        <w:overflowPunct w:val="0"/>
        <w:spacing w:line="364" w:lineRule="auto"/>
        <w:ind w:right="571"/>
        <w:jc w:val="both"/>
        <w:rPr>
          <w:rFonts w:hAnsi="宋体"/>
          <w:color w:val="auto"/>
        </w:rPr>
      </w:pPr>
      <w:r>
        <w:rPr>
          <w:rFonts w:hint="eastAsia" w:hAnsi="宋体"/>
          <w:color w:val="auto"/>
        </w:rPr>
        <w:t>磋商小组根据上述供应商排</w:t>
      </w:r>
      <w:r>
        <w:rPr>
          <w:rFonts w:hint="eastAsia" w:hAnsi="宋体"/>
          <w:color w:val="auto"/>
          <w:spacing w:val="4"/>
        </w:rPr>
        <w:t>序</w:t>
      </w:r>
      <w:r>
        <w:rPr>
          <w:rFonts w:hint="eastAsia" w:hAnsi="宋体"/>
          <w:color w:val="auto"/>
        </w:rPr>
        <w:t>，依次推荐排序前</w:t>
      </w:r>
      <w:r>
        <w:rPr>
          <w:rFonts w:hAnsi="宋体"/>
          <w:color w:val="auto"/>
          <w:u w:val="single" w:color="000000"/>
        </w:rPr>
        <w:t xml:space="preserve"> 3</w:t>
      </w:r>
      <w:r>
        <w:rPr>
          <w:rFonts w:hAnsi="宋体"/>
          <w:color w:val="auto"/>
          <w:u w:val="single" w:color="000000"/>
        </w:rPr>
        <w:tab/>
      </w:r>
      <w:r>
        <w:rPr>
          <w:rFonts w:hint="eastAsia" w:hAnsi="宋体"/>
          <w:color w:val="auto"/>
        </w:rPr>
        <w:t>名的供应商</w:t>
      </w:r>
      <w:r>
        <w:rPr>
          <w:rFonts w:hint="eastAsia" w:hAnsi="宋体"/>
          <w:color w:val="auto"/>
          <w:spacing w:val="5"/>
        </w:rPr>
        <w:t>为</w:t>
      </w:r>
      <w:r>
        <w:rPr>
          <w:rFonts w:hint="eastAsia" w:hAnsi="宋体"/>
          <w:color w:val="auto"/>
        </w:rPr>
        <w:t>成交</w:t>
      </w:r>
      <w:r>
        <w:rPr>
          <w:rFonts w:hint="eastAsia" w:hAnsi="宋体"/>
          <w:color w:val="auto"/>
          <w:spacing w:val="-14"/>
        </w:rPr>
        <w:t>候</w:t>
      </w:r>
      <w:r>
        <w:rPr>
          <w:rFonts w:hint="eastAsia" w:hAnsi="宋体"/>
          <w:color w:val="auto"/>
        </w:rPr>
        <w:t>选供应商（若在磋商文件允许的情形下提交最后报价的供应商为二家，则依次推荐二名供应商为成交候选供应商），并编写评审报告。</w:t>
      </w:r>
    </w:p>
    <w:p w14:paraId="27EF179E">
      <w:pPr>
        <w:pStyle w:val="69"/>
        <w:numPr>
          <w:ilvl w:val="1"/>
          <w:numId w:val="11"/>
        </w:numPr>
        <w:tabs>
          <w:tab w:val="left" w:pos="1617"/>
        </w:tabs>
        <w:kinsoku w:val="0"/>
        <w:overflowPunct w:val="0"/>
        <w:spacing w:line="362" w:lineRule="auto"/>
        <w:ind w:right="573"/>
        <w:jc w:val="both"/>
        <w:rPr>
          <w:rFonts w:hAnsi="宋体"/>
          <w:color w:val="auto"/>
        </w:rPr>
      </w:pPr>
      <w:r>
        <w:rPr>
          <w:rFonts w:hint="eastAsia" w:hAnsi="宋体"/>
          <w:color w:val="auto"/>
        </w:rPr>
        <w:t>磋商小组要对评分汇总情况进行复核，特别是对排名第一的、报价最低的、响应文件被认定为无效的情形进行重点复核。</w:t>
      </w:r>
    </w:p>
    <w:p w14:paraId="029BCEC6">
      <w:pPr>
        <w:pStyle w:val="69"/>
        <w:numPr>
          <w:ilvl w:val="0"/>
          <w:numId w:val="11"/>
        </w:numPr>
        <w:tabs>
          <w:tab w:val="left" w:pos="902"/>
        </w:tabs>
        <w:kinsoku w:val="0"/>
        <w:overflowPunct w:val="0"/>
        <w:spacing w:before="1"/>
        <w:ind w:hanging="361"/>
        <w:jc w:val="both"/>
        <w:rPr>
          <w:rFonts w:hAnsi="宋体"/>
          <w:color w:val="auto"/>
        </w:rPr>
      </w:pPr>
      <w:r>
        <w:rPr>
          <w:rFonts w:hint="eastAsia" w:hAnsi="宋体"/>
          <w:color w:val="auto"/>
        </w:rPr>
        <w:t>报告违法行为</w:t>
      </w:r>
    </w:p>
    <w:p w14:paraId="43AA5CEE">
      <w:pPr>
        <w:pStyle w:val="69"/>
        <w:numPr>
          <w:ilvl w:val="1"/>
          <w:numId w:val="11"/>
        </w:numPr>
        <w:tabs>
          <w:tab w:val="left" w:pos="1617"/>
        </w:tabs>
        <w:kinsoku w:val="0"/>
        <w:overflowPunct w:val="0"/>
        <w:spacing w:before="160" w:line="362" w:lineRule="auto"/>
        <w:ind w:right="647"/>
        <w:jc w:val="both"/>
        <w:rPr>
          <w:rFonts w:hAnsi="宋体"/>
          <w:color w:val="auto"/>
        </w:rPr>
      </w:pPr>
      <w:r>
        <w:rPr>
          <w:rFonts w:hint="eastAsia" w:hAnsi="宋体"/>
          <w:color w:val="auto"/>
          <w:spacing w:val="-1"/>
        </w:rPr>
        <w:t>磋商小组在评审过程中发现供应商有行贿、提供虚假材料或者串通等违法行</w:t>
      </w:r>
      <w:r>
        <w:rPr>
          <w:rFonts w:hint="eastAsia" w:hAnsi="宋体"/>
          <w:color w:val="auto"/>
        </w:rPr>
        <w:t>为时，</w:t>
      </w:r>
      <w:r>
        <w:rPr>
          <w:rFonts w:hint="eastAsia" w:hAnsi="宋体"/>
          <w:color w:val="auto"/>
          <w:lang w:val="en-US" w:eastAsia="zh-CN"/>
        </w:rPr>
        <w:t>应当及时向财政部门报告</w:t>
      </w:r>
      <w:r>
        <w:rPr>
          <w:rFonts w:hint="eastAsia" w:hAnsi="宋体"/>
          <w:color w:val="auto"/>
          <w:lang w:eastAsia="zh-CN"/>
        </w:rPr>
        <w:t>。</w:t>
      </w:r>
    </w:p>
    <w:p w14:paraId="6F888490">
      <w:pPr>
        <w:pStyle w:val="69"/>
        <w:widowControl w:val="0"/>
        <w:numPr>
          <w:ilvl w:val="0"/>
          <w:numId w:val="0"/>
        </w:numPr>
        <w:tabs>
          <w:tab w:val="left" w:pos="1617"/>
        </w:tabs>
        <w:kinsoku w:val="0"/>
        <w:overflowPunct w:val="0"/>
        <w:autoSpaceDE w:val="0"/>
        <w:autoSpaceDN w:val="0"/>
        <w:adjustRightInd w:val="0"/>
        <w:spacing w:before="160" w:line="362" w:lineRule="auto"/>
        <w:ind w:right="647" w:rightChars="0"/>
        <w:jc w:val="both"/>
        <w:rPr>
          <w:rFonts w:hint="eastAsia" w:hAnsi="宋体"/>
          <w:color w:val="auto"/>
          <w:lang w:eastAsia="zh-CN"/>
        </w:rPr>
      </w:pPr>
    </w:p>
    <w:p w14:paraId="7F7F032B">
      <w:pPr>
        <w:pStyle w:val="69"/>
        <w:numPr>
          <w:ilvl w:val="1"/>
          <w:numId w:val="11"/>
        </w:numPr>
        <w:tabs>
          <w:tab w:val="left" w:pos="1617"/>
        </w:tabs>
        <w:kinsoku w:val="0"/>
        <w:overflowPunct w:val="0"/>
        <w:spacing w:before="160" w:line="362" w:lineRule="auto"/>
        <w:ind w:right="647"/>
        <w:jc w:val="both"/>
        <w:rPr>
          <w:rFonts w:hAnsi="宋体"/>
          <w:color w:val="auto"/>
        </w:rPr>
        <w:sectPr>
          <w:pgSz w:w="11910" w:h="16840"/>
          <w:pgMar w:top="1340" w:right="560" w:bottom="1080" w:left="1160" w:header="879" w:footer="879" w:gutter="0"/>
          <w:pgNumType w:fmt="decimal"/>
          <w:cols w:space="720" w:num="1"/>
        </w:sectPr>
      </w:pPr>
    </w:p>
    <w:p w14:paraId="1B0149B4">
      <w:pPr>
        <w:pStyle w:val="17"/>
        <w:kinsoku w:val="0"/>
        <w:overflowPunct w:val="0"/>
        <w:spacing w:before="72"/>
        <w:ind w:right="25"/>
        <w:jc w:val="center"/>
        <w:rPr>
          <w:rFonts w:hAnsi="宋体"/>
          <w:color w:val="auto"/>
          <w:highlight w:val="none"/>
        </w:rPr>
      </w:pPr>
      <w:r>
        <w:rPr>
          <w:rFonts w:hint="eastAsia" w:hAnsi="宋体"/>
          <w:color w:val="auto"/>
          <w:highlight w:val="none"/>
        </w:rPr>
        <w:t>二、评审标准</w:t>
      </w:r>
    </w:p>
    <w:tbl>
      <w:tblPr>
        <w:tblStyle w:val="43"/>
        <w:tblW w:w="101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971"/>
        <w:gridCol w:w="1107"/>
        <w:gridCol w:w="6867"/>
        <w:gridCol w:w="587"/>
      </w:tblGrid>
      <w:tr w14:paraId="5DA0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2" w:type="dxa"/>
            <w:vAlign w:val="center"/>
          </w:tcPr>
          <w:p w14:paraId="3C19567B">
            <w:pPr>
              <w:spacing w:line="360" w:lineRule="auto"/>
              <w:ind w:firstLine="28"/>
              <w:jc w:val="center"/>
              <w:rPr>
                <w:rFonts w:hAnsi="宋体"/>
                <w:b/>
                <w:color w:val="auto"/>
                <w:sz w:val="21"/>
                <w:szCs w:val="21"/>
              </w:rPr>
            </w:pPr>
            <w:r>
              <w:rPr>
                <w:rFonts w:hint="eastAsia" w:hAnsi="宋体"/>
                <w:b/>
                <w:color w:val="auto"/>
                <w:sz w:val="21"/>
                <w:szCs w:val="21"/>
              </w:rPr>
              <w:t>序号</w:t>
            </w:r>
          </w:p>
        </w:tc>
        <w:tc>
          <w:tcPr>
            <w:tcW w:w="971" w:type="dxa"/>
            <w:vAlign w:val="center"/>
          </w:tcPr>
          <w:p w14:paraId="1A94555F">
            <w:pPr>
              <w:spacing w:line="360" w:lineRule="auto"/>
              <w:ind w:firstLine="28"/>
              <w:jc w:val="center"/>
              <w:rPr>
                <w:rFonts w:hAnsi="宋体"/>
                <w:b/>
                <w:color w:val="auto"/>
                <w:sz w:val="21"/>
                <w:szCs w:val="21"/>
              </w:rPr>
            </w:pPr>
            <w:r>
              <w:rPr>
                <w:rFonts w:hint="eastAsia" w:hAnsi="宋体"/>
                <w:b/>
                <w:color w:val="auto"/>
                <w:sz w:val="21"/>
                <w:szCs w:val="21"/>
              </w:rPr>
              <w:t>评分因素和分值</w:t>
            </w:r>
          </w:p>
        </w:tc>
        <w:tc>
          <w:tcPr>
            <w:tcW w:w="1107" w:type="dxa"/>
            <w:vAlign w:val="center"/>
          </w:tcPr>
          <w:p w14:paraId="60F835D1">
            <w:pPr>
              <w:spacing w:line="360" w:lineRule="auto"/>
              <w:ind w:firstLine="28"/>
              <w:jc w:val="center"/>
              <w:rPr>
                <w:rFonts w:hAnsi="宋体"/>
                <w:b/>
                <w:color w:val="auto"/>
                <w:sz w:val="21"/>
                <w:szCs w:val="21"/>
              </w:rPr>
            </w:pPr>
            <w:r>
              <w:rPr>
                <w:rFonts w:hint="eastAsia" w:hAnsi="宋体"/>
                <w:b/>
                <w:color w:val="auto"/>
                <w:sz w:val="21"/>
                <w:szCs w:val="21"/>
              </w:rPr>
              <w:t>详细因素分值</w:t>
            </w:r>
          </w:p>
        </w:tc>
        <w:tc>
          <w:tcPr>
            <w:tcW w:w="6867" w:type="dxa"/>
            <w:vAlign w:val="center"/>
          </w:tcPr>
          <w:p w14:paraId="0BBECB06">
            <w:pPr>
              <w:spacing w:line="360" w:lineRule="auto"/>
              <w:ind w:firstLine="28"/>
              <w:jc w:val="center"/>
              <w:rPr>
                <w:rFonts w:hAnsi="宋体"/>
                <w:b/>
                <w:color w:val="auto"/>
                <w:sz w:val="21"/>
                <w:szCs w:val="21"/>
              </w:rPr>
            </w:pPr>
            <w:r>
              <w:rPr>
                <w:rFonts w:hint="eastAsia" w:hAnsi="宋体"/>
                <w:b/>
                <w:color w:val="auto"/>
                <w:sz w:val="21"/>
                <w:szCs w:val="21"/>
              </w:rPr>
              <w:t>评分标准</w:t>
            </w:r>
          </w:p>
        </w:tc>
        <w:tc>
          <w:tcPr>
            <w:tcW w:w="587" w:type="dxa"/>
            <w:vAlign w:val="center"/>
          </w:tcPr>
          <w:p w14:paraId="319EEBEC">
            <w:pPr>
              <w:pStyle w:val="75"/>
              <w:spacing w:before="0" w:after="0"/>
              <w:rPr>
                <w:rFonts w:ascii="宋体" w:hAnsi="宋体" w:eastAsia="宋体"/>
                <w:color w:val="auto"/>
                <w:sz w:val="21"/>
                <w:szCs w:val="21"/>
              </w:rPr>
            </w:pPr>
            <w:r>
              <w:rPr>
                <w:rFonts w:hint="eastAsia" w:ascii="宋体" w:hAnsi="宋体" w:eastAsia="宋体"/>
                <w:color w:val="auto"/>
                <w:sz w:val="21"/>
                <w:szCs w:val="21"/>
              </w:rPr>
              <w:t>说明</w:t>
            </w:r>
          </w:p>
        </w:tc>
      </w:tr>
      <w:tr w14:paraId="1E0E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trPr>
        <w:tc>
          <w:tcPr>
            <w:tcW w:w="622" w:type="dxa"/>
            <w:vAlign w:val="center"/>
          </w:tcPr>
          <w:p w14:paraId="5283F30E">
            <w:pPr>
              <w:snapToGrid w:val="0"/>
              <w:spacing w:line="360" w:lineRule="auto"/>
              <w:jc w:val="center"/>
              <w:rPr>
                <w:rFonts w:hAnsi="宋体"/>
                <w:bCs/>
                <w:color w:val="auto"/>
                <w:sz w:val="21"/>
                <w:szCs w:val="21"/>
              </w:rPr>
            </w:pPr>
            <w:r>
              <w:rPr>
                <w:rFonts w:hAnsi="宋体"/>
                <w:bCs/>
                <w:color w:val="auto"/>
                <w:sz w:val="21"/>
                <w:szCs w:val="21"/>
              </w:rPr>
              <w:t>1</w:t>
            </w:r>
          </w:p>
        </w:tc>
        <w:tc>
          <w:tcPr>
            <w:tcW w:w="971" w:type="dxa"/>
            <w:vMerge w:val="restart"/>
            <w:vAlign w:val="center"/>
          </w:tcPr>
          <w:p w14:paraId="37492A03">
            <w:pPr>
              <w:spacing w:line="360" w:lineRule="auto"/>
              <w:rPr>
                <w:rFonts w:hAnsi="宋体"/>
                <w:color w:val="auto"/>
                <w:sz w:val="21"/>
                <w:szCs w:val="21"/>
              </w:rPr>
            </w:pPr>
            <w:r>
              <w:rPr>
                <w:rFonts w:hint="eastAsia" w:hAnsi="宋体"/>
                <w:color w:val="auto"/>
                <w:sz w:val="21"/>
                <w:szCs w:val="21"/>
              </w:rPr>
              <w:t>商务评审（</w:t>
            </w:r>
            <w:r>
              <w:rPr>
                <w:rFonts w:hint="eastAsia" w:hAnsi="宋体"/>
                <w:color w:val="auto"/>
                <w:sz w:val="21"/>
                <w:szCs w:val="21"/>
                <w:lang w:val="en-US" w:eastAsia="zh-CN"/>
              </w:rPr>
              <w:t>12</w:t>
            </w:r>
            <w:r>
              <w:rPr>
                <w:rFonts w:hint="eastAsia" w:hAnsi="宋体"/>
                <w:color w:val="auto"/>
                <w:sz w:val="21"/>
                <w:szCs w:val="21"/>
              </w:rPr>
              <w:t>分）</w:t>
            </w:r>
          </w:p>
        </w:tc>
        <w:tc>
          <w:tcPr>
            <w:tcW w:w="1107" w:type="dxa"/>
            <w:vAlign w:val="center"/>
          </w:tcPr>
          <w:p w14:paraId="48A67F05">
            <w:pPr>
              <w:spacing w:line="360" w:lineRule="auto"/>
              <w:ind w:firstLine="28"/>
              <w:jc w:val="center"/>
              <w:rPr>
                <w:rFonts w:hAnsi="宋体"/>
                <w:b/>
                <w:color w:val="auto"/>
                <w:sz w:val="21"/>
                <w:szCs w:val="21"/>
              </w:rPr>
            </w:pPr>
            <w:r>
              <w:rPr>
                <w:rFonts w:hint="eastAsia" w:hAnsi="宋体"/>
                <w:color w:val="auto"/>
                <w:sz w:val="21"/>
                <w:szCs w:val="21"/>
              </w:rPr>
              <w:t>类似业绩（</w:t>
            </w:r>
            <w:r>
              <w:rPr>
                <w:rFonts w:hint="eastAsia" w:hAnsi="宋体"/>
                <w:color w:val="auto"/>
                <w:sz w:val="21"/>
                <w:szCs w:val="21"/>
                <w:lang w:val="en-US" w:eastAsia="zh-CN"/>
              </w:rPr>
              <w:t>2</w:t>
            </w:r>
            <w:r>
              <w:rPr>
                <w:rFonts w:hint="eastAsia" w:hAnsi="宋体"/>
                <w:color w:val="auto"/>
                <w:sz w:val="21"/>
                <w:szCs w:val="21"/>
              </w:rPr>
              <w:t>分）</w:t>
            </w:r>
          </w:p>
        </w:tc>
        <w:tc>
          <w:tcPr>
            <w:tcW w:w="6867" w:type="dxa"/>
            <w:vAlign w:val="center"/>
          </w:tcPr>
          <w:p w14:paraId="09D312B3">
            <w:pPr>
              <w:pStyle w:val="76"/>
              <w:spacing w:line="360" w:lineRule="auto"/>
              <w:rPr>
                <w:color w:val="auto"/>
                <w:sz w:val="21"/>
                <w:szCs w:val="21"/>
              </w:rPr>
            </w:pPr>
            <w:r>
              <w:rPr>
                <w:rFonts w:hint="eastAsia" w:cs="宋体"/>
                <w:color w:val="auto"/>
                <w:sz w:val="21"/>
                <w:szCs w:val="21"/>
              </w:rPr>
              <w:t>供应商</w:t>
            </w:r>
            <w:r>
              <w:rPr>
                <w:rFonts w:cs="宋体"/>
                <w:color w:val="auto"/>
                <w:sz w:val="21"/>
                <w:szCs w:val="21"/>
              </w:rPr>
              <w:t>202</w:t>
            </w:r>
            <w:r>
              <w:rPr>
                <w:rFonts w:hint="eastAsia" w:cs="宋体"/>
                <w:color w:val="auto"/>
                <w:sz w:val="21"/>
                <w:szCs w:val="21"/>
                <w:lang w:val="en-US" w:eastAsia="zh-CN"/>
              </w:rPr>
              <w:t>1</w:t>
            </w:r>
            <w:r>
              <w:rPr>
                <w:rFonts w:hint="eastAsia" w:cs="宋体"/>
                <w:color w:val="auto"/>
                <w:sz w:val="21"/>
                <w:szCs w:val="21"/>
              </w:rPr>
              <w:t>年</w:t>
            </w:r>
            <w:r>
              <w:rPr>
                <w:rFonts w:hint="eastAsia" w:cs="宋体"/>
                <w:color w:val="auto"/>
                <w:sz w:val="21"/>
                <w:szCs w:val="21"/>
                <w:lang w:val="en-US" w:eastAsia="zh-CN"/>
              </w:rPr>
              <w:t>12</w:t>
            </w:r>
            <w:r>
              <w:rPr>
                <w:rFonts w:hint="eastAsia" w:cs="宋体"/>
                <w:color w:val="auto"/>
                <w:sz w:val="21"/>
                <w:szCs w:val="21"/>
              </w:rPr>
              <w:t>月至今承担过的与本项目类似的业绩（以合同签订时间为准），每个业绩</w:t>
            </w:r>
            <w:r>
              <w:rPr>
                <w:rFonts w:hint="eastAsia" w:cs="宋体"/>
                <w:color w:val="auto"/>
                <w:sz w:val="21"/>
                <w:szCs w:val="21"/>
                <w:lang w:val="en-US" w:eastAsia="zh-CN"/>
              </w:rPr>
              <w:t>1</w:t>
            </w:r>
            <w:r>
              <w:rPr>
                <w:rFonts w:hint="eastAsia" w:cs="宋体"/>
                <w:color w:val="auto"/>
                <w:sz w:val="21"/>
                <w:szCs w:val="21"/>
              </w:rPr>
              <w:t>分，最高</w:t>
            </w:r>
            <w:r>
              <w:rPr>
                <w:rFonts w:hint="eastAsia" w:cs="宋体"/>
                <w:color w:val="auto"/>
                <w:sz w:val="21"/>
                <w:szCs w:val="21"/>
                <w:lang w:val="en-US" w:eastAsia="zh-CN"/>
              </w:rPr>
              <w:t>2</w:t>
            </w:r>
            <w:r>
              <w:rPr>
                <w:rFonts w:hint="eastAsia" w:cs="宋体"/>
                <w:color w:val="auto"/>
                <w:sz w:val="21"/>
                <w:szCs w:val="21"/>
              </w:rPr>
              <w:t>分。注：须提供合同关键页复印件（包括但不限于首页、体现项目名称页面、服务内容页面、签订日期页面及合同双方签章页），否则不得分。</w:t>
            </w:r>
          </w:p>
        </w:tc>
        <w:tc>
          <w:tcPr>
            <w:tcW w:w="587" w:type="dxa"/>
            <w:vAlign w:val="center"/>
          </w:tcPr>
          <w:p w14:paraId="24DE9D95">
            <w:pPr>
              <w:pStyle w:val="75"/>
              <w:spacing w:before="0" w:after="0"/>
              <w:rPr>
                <w:rFonts w:ascii="宋体" w:hAnsi="宋体" w:eastAsia="宋体"/>
                <w:color w:val="auto"/>
                <w:sz w:val="21"/>
                <w:szCs w:val="21"/>
              </w:rPr>
            </w:pPr>
          </w:p>
        </w:tc>
      </w:tr>
      <w:tr w14:paraId="4018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22" w:type="dxa"/>
            <w:vAlign w:val="center"/>
          </w:tcPr>
          <w:p w14:paraId="0CD0915C">
            <w:pPr>
              <w:snapToGrid w:val="0"/>
              <w:spacing w:line="360" w:lineRule="auto"/>
              <w:jc w:val="center"/>
              <w:rPr>
                <w:rFonts w:hint="eastAsia" w:hAnsi="宋体" w:eastAsia="宋体"/>
                <w:bCs/>
                <w:color w:val="auto"/>
                <w:sz w:val="21"/>
                <w:szCs w:val="21"/>
                <w:lang w:eastAsia="zh-CN"/>
              </w:rPr>
            </w:pPr>
            <w:r>
              <w:rPr>
                <w:rFonts w:hint="eastAsia" w:hAnsi="宋体"/>
                <w:bCs/>
                <w:color w:val="auto"/>
                <w:sz w:val="21"/>
                <w:szCs w:val="21"/>
                <w:lang w:val="en-US" w:eastAsia="zh-CN"/>
              </w:rPr>
              <w:t>2</w:t>
            </w:r>
          </w:p>
        </w:tc>
        <w:tc>
          <w:tcPr>
            <w:tcW w:w="971" w:type="dxa"/>
            <w:vMerge w:val="continue"/>
            <w:vAlign w:val="center"/>
          </w:tcPr>
          <w:p w14:paraId="5E8C8A2D">
            <w:pPr>
              <w:spacing w:line="360" w:lineRule="auto"/>
              <w:rPr>
                <w:rFonts w:hAnsi="宋体"/>
                <w:color w:val="auto"/>
                <w:sz w:val="21"/>
                <w:szCs w:val="21"/>
              </w:rPr>
            </w:pPr>
          </w:p>
        </w:tc>
        <w:tc>
          <w:tcPr>
            <w:tcW w:w="1107" w:type="dxa"/>
            <w:vAlign w:val="center"/>
          </w:tcPr>
          <w:p w14:paraId="623A1A51">
            <w:pPr>
              <w:spacing w:line="360" w:lineRule="auto"/>
              <w:ind w:firstLine="28"/>
              <w:jc w:val="center"/>
              <w:rPr>
                <w:rFonts w:hAnsi="宋体"/>
                <w:color w:val="auto"/>
                <w:sz w:val="21"/>
                <w:szCs w:val="21"/>
              </w:rPr>
            </w:pPr>
            <w:r>
              <w:rPr>
                <w:rFonts w:hint="eastAsia" w:hAnsi="宋体" w:cs="Tahoma"/>
                <w:color w:val="auto"/>
                <w:sz w:val="21"/>
                <w:szCs w:val="21"/>
              </w:rPr>
              <w:t>人员配备（</w:t>
            </w:r>
            <w:r>
              <w:rPr>
                <w:rFonts w:hAnsi="宋体" w:cs="Tahoma"/>
                <w:color w:val="auto"/>
                <w:sz w:val="21"/>
                <w:szCs w:val="21"/>
              </w:rPr>
              <w:t>10</w:t>
            </w:r>
            <w:r>
              <w:rPr>
                <w:rFonts w:hint="eastAsia" w:hAnsi="宋体" w:cs="Tahoma"/>
                <w:color w:val="auto"/>
                <w:sz w:val="21"/>
                <w:szCs w:val="21"/>
              </w:rPr>
              <w:t>分）</w:t>
            </w:r>
          </w:p>
        </w:tc>
        <w:tc>
          <w:tcPr>
            <w:tcW w:w="6867" w:type="dxa"/>
            <w:vAlign w:val="center"/>
          </w:tcPr>
          <w:p w14:paraId="58084302">
            <w:pPr>
              <w:pStyle w:val="76"/>
              <w:spacing w:line="360" w:lineRule="auto"/>
              <w:rPr>
                <w:rFonts w:cs="宋体"/>
                <w:b/>
                <w:bCs/>
                <w:color w:val="auto"/>
                <w:sz w:val="21"/>
                <w:szCs w:val="21"/>
              </w:rPr>
            </w:pPr>
            <w:r>
              <w:rPr>
                <w:rFonts w:hint="eastAsia" w:cs="宋体"/>
                <w:color w:val="auto"/>
                <w:sz w:val="21"/>
                <w:szCs w:val="21"/>
              </w:rPr>
              <w:t>人员数量充足、分工明确，岗位齐全、配置合理，组织架构清晰，完全满足或优于项目需求，得</w:t>
            </w:r>
            <w:r>
              <w:rPr>
                <w:rFonts w:cs="宋体"/>
                <w:color w:val="auto"/>
                <w:sz w:val="21"/>
                <w:szCs w:val="21"/>
              </w:rPr>
              <w:t>10</w:t>
            </w:r>
            <w:r>
              <w:rPr>
                <w:rFonts w:hint="eastAsia" w:cs="宋体"/>
                <w:color w:val="auto"/>
                <w:sz w:val="21"/>
                <w:szCs w:val="21"/>
              </w:rPr>
              <w:t>分；人员数量多、分工合理、岗位配置合理、组织架构合理，满足本项目需求，得</w:t>
            </w:r>
            <w:r>
              <w:rPr>
                <w:rFonts w:cs="宋体"/>
                <w:color w:val="auto"/>
                <w:sz w:val="21"/>
                <w:szCs w:val="21"/>
              </w:rPr>
              <w:t>8</w:t>
            </w:r>
            <w:r>
              <w:rPr>
                <w:rFonts w:hint="eastAsia" w:cs="宋体"/>
                <w:color w:val="auto"/>
                <w:sz w:val="21"/>
                <w:szCs w:val="21"/>
              </w:rPr>
              <w:t>分；人员数量少、分工基本明确、岗位基本齐全、配置基本合理、组织架构基本清晰，基本满足项目需求，得</w:t>
            </w:r>
            <w:r>
              <w:rPr>
                <w:rFonts w:cs="宋体"/>
                <w:color w:val="auto"/>
                <w:sz w:val="21"/>
                <w:szCs w:val="21"/>
              </w:rPr>
              <w:t>5</w:t>
            </w:r>
            <w:r>
              <w:rPr>
                <w:rFonts w:hint="eastAsia" w:cs="宋体"/>
                <w:color w:val="auto"/>
                <w:sz w:val="21"/>
                <w:szCs w:val="21"/>
              </w:rPr>
              <w:t>分；人员数量不足、分工不明确，岗位不齐全、配置不合理，组织架构不清晰，不能满足项目需求，得</w:t>
            </w:r>
            <w:r>
              <w:rPr>
                <w:rFonts w:cs="宋体"/>
                <w:color w:val="auto"/>
                <w:sz w:val="21"/>
                <w:szCs w:val="21"/>
              </w:rPr>
              <w:t>3</w:t>
            </w:r>
            <w:r>
              <w:rPr>
                <w:rFonts w:hint="eastAsia" w:cs="宋体"/>
                <w:color w:val="auto"/>
                <w:sz w:val="21"/>
                <w:szCs w:val="21"/>
              </w:rPr>
              <w:t>分；未提供，得</w:t>
            </w:r>
            <w:r>
              <w:rPr>
                <w:rFonts w:cs="宋体"/>
                <w:color w:val="auto"/>
                <w:sz w:val="21"/>
                <w:szCs w:val="21"/>
              </w:rPr>
              <w:t>0</w:t>
            </w:r>
            <w:r>
              <w:rPr>
                <w:rFonts w:hint="eastAsia" w:cs="宋体"/>
                <w:color w:val="auto"/>
                <w:sz w:val="21"/>
                <w:szCs w:val="21"/>
              </w:rPr>
              <w:t>分。</w:t>
            </w:r>
          </w:p>
        </w:tc>
        <w:tc>
          <w:tcPr>
            <w:tcW w:w="587" w:type="dxa"/>
            <w:vAlign w:val="center"/>
          </w:tcPr>
          <w:p w14:paraId="357AEF8B">
            <w:pPr>
              <w:pStyle w:val="75"/>
              <w:spacing w:before="0" w:after="0"/>
              <w:rPr>
                <w:rFonts w:ascii="宋体" w:hAnsi="宋体" w:eastAsia="宋体"/>
                <w:color w:val="auto"/>
                <w:sz w:val="21"/>
                <w:szCs w:val="21"/>
              </w:rPr>
            </w:pPr>
          </w:p>
        </w:tc>
      </w:tr>
      <w:tr w14:paraId="3573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2" w:type="dxa"/>
            <w:vAlign w:val="center"/>
          </w:tcPr>
          <w:p w14:paraId="51300977">
            <w:pPr>
              <w:spacing w:line="360" w:lineRule="auto"/>
              <w:ind w:firstLine="28"/>
              <w:jc w:val="center"/>
              <w:rPr>
                <w:rFonts w:hint="eastAsia" w:hAnsi="宋体" w:eastAsia="宋体"/>
                <w:color w:val="auto"/>
                <w:sz w:val="21"/>
                <w:szCs w:val="21"/>
                <w:lang w:eastAsia="zh-CN"/>
              </w:rPr>
            </w:pPr>
            <w:r>
              <w:rPr>
                <w:rFonts w:hint="eastAsia" w:hAnsi="宋体"/>
                <w:color w:val="auto"/>
                <w:sz w:val="21"/>
                <w:szCs w:val="21"/>
                <w:lang w:val="en-US" w:eastAsia="zh-CN"/>
              </w:rPr>
              <w:t>3</w:t>
            </w:r>
          </w:p>
        </w:tc>
        <w:tc>
          <w:tcPr>
            <w:tcW w:w="971" w:type="dxa"/>
            <w:vMerge w:val="restart"/>
            <w:vAlign w:val="center"/>
          </w:tcPr>
          <w:p w14:paraId="30711ACA">
            <w:pPr>
              <w:spacing w:line="360" w:lineRule="auto"/>
              <w:jc w:val="center"/>
              <w:rPr>
                <w:rFonts w:hAnsi="宋体"/>
                <w:color w:val="auto"/>
                <w:sz w:val="21"/>
                <w:szCs w:val="21"/>
              </w:rPr>
            </w:pPr>
            <w:r>
              <w:rPr>
                <w:rFonts w:hint="eastAsia" w:hAnsi="宋体"/>
                <w:color w:val="auto"/>
                <w:sz w:val="21"/>
                <w:szCs w:val="21"/>
              </w:rPr>
              <w:t>技术评审（</w:t>
            </w:r>
            <w:r>
              <w:rPr>
                <w:rFonts w:hint="eastAsia" w:hAnsi="宋体"/>
                <w:color w:val="auto"/>
                <w:sz w:val="21"/>
                <w:szCs w:val="21"/>
                <w:lang w:val="en-US" w:eastAsia="zh-CN"/>
              </w:rPr>
              <w:t>78</w:t>
            </w:r>
            <w:r>
              <w:rPr>
                <w:rFonts w:hint="eastAsia" w:hAnsi="宋体"/>
                <w:color w:val="auto"/>
                <w:sz w:val="21"/>
                <w:szCs w:val="21"/>
              </w:rPr>
              <w:t>分）</w:t>
            </w:r>
          </w:p>
        </w:tc>
        <w:tc>
          <w:tcPr>
            <w:tcW w:w="1107" w:type="dxa"/>
            <w:vAlign w:val="center"/>
          </w:tcPr>
          <w:p w14:paraId="1EEBC87B">
            <w:pPr>
              <w:spacing w:line="360" w:lineRule="auto"/>
              <w:ind w:firstLine="28"/>
              <w:jc w:val="center"/>
              <w:rPr>
                <w:rFonts w:hAnsi="宋体"/>
                <w:color w:val="auto"/>
                <w:sz w:val="21"/>
                <w:szCs w:val="21"/>
              </w:rPr>
            </w:pPr>
            <w:r>
              <w:rPr>
                <w:rFonts w:hint="eastAsia" w:hAnsi="宋体"/>
                <w:color w:val="auto"/>
                <w:kern w:val="1"/>
                <w:sz w:val="21"/>
                <w:szCs w:val="21"/>
              </w:rPr>
              <w:t>针对本项目的服务整体方案（</w:t>
            </w:r>
            <w:r>
              <w:rPr>
                <w:rFonts w:hint="eastAsia" w:hAnsi="宋体"/>
                <w:color w:val="auto"/>
                <w:kern w:val="1"/>
                <w:sz w:val="21"/>
                <w:szCs w:val="21"/>
                <w:lang w:val="en-US" w:eastAsia="zh-CN"/>
              </w:rPr>
              <w:t>30</w:t>
            </w:r>
            <w:r>
              <w:rPr>
                <w:rFonts w:hint="eastAsia" w:hAnsi="宋体"/>
                <w:color w:val="auto"/>
                <w:kern w:val="1"/>
                <w:sz w:val="21"/>
                <w:szCs w:val="21"/>
              </w:rPr>
              <w:t>分）</w:t>
            </w:r>
          </w:p>
        </w:tc>
        <w:tc>
          <w:tcPr>
            <w:tcW w:w="6867" w:type="dxa"/>
            <w:vAlign w:val="center"/>
          </w:tcPr>
          <w:p w14:paraId="53240469">
            <w:pPr>
              <w:spacing w:line="360" w:lineRule="auto"/>
              <w:rPr>
                <w:rFonts w:hAnsi="宋体"/>
                <w:color w:val="auto"/>
                <w:sz w:val="21"/>
                <w:szCs w:val="21"/>
              </w:rPr>
            </w:pPr>
            <w:r>
              <w:rPr>
                <w:rFonts w:hint="eastAsia" w:hAnsi="宋体"/>
                <w:color w:val="auto"/>
                <w:kern w:val="1"/>
                <w:sz w:val="21"/>
                <w:szCs w:val="21"/>
              </w:rPr>
              <w:t>针对本项目的服务整体方案</w:t>
            </w:r>
            <w:r>
              <w:rPr>
                <w:rFonts w:hint="eastAsia" w:hAnsi="宋体"/>
                <w:color w:val="auto"/>
                <w:sz w:val="21"/>
                <w:szCs w:val="21"/>
              </w:rPr>
              <w:t>内容完整、专业，针对性强，重点和难点的相关内容突出、先进、可行，优于项目需求得</w:t>
            </w:r>
            <w:r>
              <w:rPr>
                <w:rFonts w:hint="eastAsia" w:hAnsi="宋体"/>
                <w:color w:val="auto"/>
                <w:sz w:val="21"/>
                <w:szCs w:val="21"/>
                <w:lang w:val="en-US" w:eastAsia="zh-CN"/>
              </w:rPr>
              <w:t>3</w:t>
            </w:r>
            <w:r>
              <w:rPr>
                <w:rFonts w:hAnsi="宋体"/>
                <w:color w:val="auto"/>
                <w:sz w:val="21"/>
                <w:szCs w:val="21"/>
              </w:rPr>
              <w:t>0</w:t>
            </w:r>
            <w:r>
              <w:rPr>
                <w:rFonts w:hint="eastAsia" w:hAnsi="宋体"/>
                <w:color w:val="auto"/>
                <w:sz w:val="21"/>
                <w:szCs w:val="21"/>
              </w:rPr>
              <w:t>分；</w:t>
            </w:r>
          </w:p>
          <w:p w14:paraId="5E2C4963">
            <w:pPr>
              <w:spacing w:line="360" w:lineRule="auto"/>
              <w:rPr>
                <w:rFonts w:hAnsi="宋体"/>
                <w:color w:val="auto"/>
                <w:sz w:val="21"/>
                <w:szCs w:val="21"/>
              </w:rPr>
            </w:pPr>
            <w:r>
              <w:rPr>
                <w:rFonts w:hint="eastAsia" w:hAnsi="宋体"/>
                <w:color w:val="auto"/>
                <w:kern w:val="1"/>
                <w:sz w:val="21"/>
                <w:szCs w:val="21"/>
              </w:rPr>
              <w:t>针对本项目的服务整体方案</w:t>
            </w:r>
            <w:r>
              <w:rPr>
                <w:rFonts w:hint="eastAsia" w:hAnsi="宋体"/>
                <w:color w:val="auto"/>
                <w:sz w:val="21"/>
                <w:szCs w:val="21"/>
              </w:rPr>
              <w:t>内容完整、专业，针对性较强，重点和难点的相关内容较突出、较先进、较可行，满足项目需求得</w:t>
            </w:r>
            <w:r>
              <w:rPr>
                <w:rFonts w:hint="eastAsia" w:hAnsi="宋体"/>
                <w:color w:val="auto"/>
                <w:sz w:val="21"/>
                <w:szCs w:val="21"/>
                <w:lang w:val="en-US" w:eastAsia="zh-CN"/>
              </w:rPr>
              <w:t>25</w:t>
            </w:r>
            <w:r>
              <w:rPr>
                <w:rFonts w:hint="eastAsia" w:hAnsi="宋体"/>
                <w:color w:val="auto"/>
                <w:sz w:val="21"/>
                <w:szCs w:val="21"/>
              </w:rPr>
              <w:t>分；</w:t>
            </w:r>
          </w:p>
          <w:p w14:paraId="005CF87A">
            <w:pPr>
              <w:spacing w:line="360" w:lineRule="auto"/>
              <w:rPr>
                <w:rFonts w:hAnsi="宋体"/>
                <w:color w:val="auto"/>
                <w:sz w:val="21"/>
                <w:szCs w:val="21"/>
              </w:rPr>
            </w:pPr>
            <w:r>
              <w:rPr>
                <w:rFonts w:hint="eastAsia" w:hAnsi="宋体"/>
                <w:color w:val="auto"/>
                <w:kern w:val="1"/>
                <w:sz w:val="21"/>
                <w:szCs w:val="21"/>
              </w:rPr>
              <w:t>针对本项目的服务整体方案</w:t>
            </w:r>
            <w:r>
              <w:rPr>
                <w:rFonts w:hint="eastAsia" w:hAnsi="宋体"/>
                <w:color w:val="auto"/>
                <w:sz w:val="21"/>
                <w:szCs w:val="21"/>
              </w:rPr>
              <w:t>内容完整性低、专业度低、针对性一般，重点和难点的相关内容较突出、较先进，基本满足项目需求的得</w:t>
            </w:r>
            <w:r>
              <w:rPr>
                <w:rFonts w:hint="eastAsia" w:hAnsi="宋体"/>
                <w:color w:val="auto"/>
                <w:sz w:val="21"/>
                <w:szCs w:val="21"/>
                <w:lang w:val="en-US" w:eastAsia="zh-CN"/>
              </w:rPr>
              <w:t>20</w:t>
            </w:r>
            <w:r>
              <w:rPr>
                <w:rFonts w:hint="eastAsia" w:hAnsi="宋体"/>
                <w:color w:val="auto"/>
                <w:sz w:val="21"/>
                <w:szCs w:val="21"/>
              </w:rPr>
              <w:t>分；</w:t>
            </w:r>
          </w:p>
          <w:p w14:paraId="3E40B0D2">
            <w:pPr>
              <w:spacing w:line="360" w:lineRule="auto"/>
              <w:rPr>
                <w:rFonts w:hAnsi="宋体"/>
                <w:color w:val="auto"/>
                <w:sz w:val="21"/>
                <w:szCs w:val="21"/>
              </w:rPr>
            </w:pPr>
            <w:r>
              <w:rPr>
                <w:rFonts w:hint="eastAsia" w:hAnsi="宋体"/>
                <w:color w:val="auto"/>
                <w:kern w:val="1"/>
                <w:sz w:val="21"/>
                <w:szCs w:val="21"/>
              </w:rPr>
              <w:t>针对本项目的服务整体方案</w:t>
            </w:r>
            <w:r>
              <w:rPr>
                <w:rFonts w:hint="eastAsia" w:hAnsi="宋体"/>
                <w:color w:val="auto"/>
                <w:sz w:val="21"/>
                <w:szCs w:val="21"/>
              </w:rPr>
              <w:t>内容不完整、不专业、针对性较差，重点和难点的相关内容欠突出、欠先进、欠可行，不满足项目需求得</w:t>
            </w:r>
            <w:r>
              <w:rPr>
                <w:rFonts w:hint="eastAsia" w:hAnsi="宋体"/>
                <w:color w:val="auto"/>
                <w:sz w:val="21"/>
                <w:szCs w:val="21"/>
                <w:lang w:val="en-US" w:eastAsia="zh-CN"/>
              </w:rPr>
              <w:t>10</w:t>
            </w:r>
            <w:r>
              <w:rPr>
                <w:rFonts w:hint="eastAsia" w:hAnsi="宋体"/>
                <w:color w:val="auto"/>
                <w:sz w:val="21"/>
                <w:szCs w:val="21"/>
              </w:rPr>
              <w:t>分；</w:t>
            </w:r>
          </w:p>
          <w:p w14:paraId="44666F0F">
            <w:pPr>
              <w:spacing w:line="360" w:lineRule="auto"/>
              <w:rPr>
                <w:rFonts w:hAnsi="宋体"/>
                <w:color w:val="auto"/>
                <w:sz w:val="21"/>
                <w:szCs w:val="21"/>
              </w:rPr>
            </w:pPr>
            <w:r>
              <w:rPr>
                <w:rFonts w:hint="eastAsia" w:hAnsi="宋体"/>
                <w:color w:val="auto"/>
                <w:sz w:val="21"/>
                <w:szCs w:val="21"/>
              </w:rPr>
              <w:t>未提供，得</w:t>
            </w:r>
            <w:r>
              <w:rPr>
                <w:rFonts w:hAnsi="宋体"/>
                <w:color w:val="auto"/>
                <w:sz w:val="21"/>
                <w:szCs w:val="21"/>
              </w:rPr>
              <w:t>0</w:t>
            </w:r>
            <w:r>
              <w:rPr>
                <w:rFonts w:hint="eastAsia" w:hAnsi="宋体"/>
                <w:color w:val="auto"/>
                <w:sz w:val="21"/>
                <w:szCs w:val="21"/>
              </w:rPr>
              <w:t>分。</w:t>
            </w:r>
          </w:p>
        </w:tc>
        <w:tc>
          <w:tcPr>
            <w:tcW w:w="587" w:type="dxa"/>
            <w:vAlign w:val="center"/>
          </w:tcPr>
          <w:p w14:paraId="09BA2A55">
            <w:pPr>
              <w:spacing w:line="360" w:lineRule="auto"/>
              <w:rPr>
                <w:rFonts w:hAnsi="宋体"/>
                <w:color w:val="auto"/>
                <w:sz w:val="21"/>
                <w:szCs w:val="21"/>
              </w:rPr>
            </w:pPr>
          </w:p>
          <w:p w14:paraId="3FB790AE">
            <w:pPr>
              <w:spacing w:line="360" w:lineRule="auto"/>
              <w:rPr>
                <w:rFonts w:hAnsi="宋体"/>
                <w:color w:val="auto"/>
                <w:sz w:val="21"/>
                <w:szCs w:val="21"/>
              </w:rPr>
            </w:pPr>
          </w:p>
          <w:p w14:paraId="51DE6502">
            <w:pPr>
              <w:spacing w:line="360" w:lineRule="auto"/>
              <w:rPr>
                <w:rFonts w:hAnsi="宋体"/>
                <w:color w:val="auto"/>
                <w:sz w:val="21"/>
                <w:szCs w:val="21"/>
              </w:rPr>
            </w:pPr>
          </w:p>
          <w:p w14:paraId="3A384765">
            <w:pPr>
              <w:spacing w:line="360" w:lineRule="auto"/>
              <w:rPr>
                <w:rFonts w:hAnsi="宋体"/>
                <w:color w:val="auto"/>
                <w:sz w:val="21"/>
                <w:szCs w:val="21"/>
              </w:rPr>
            </w:pPr>
          </w:p>
          <w:p w14:paraId="395E5732">
            <w:pPr>
              <w:spacing w:line="360" w:lineRule="auto"/>
              <w:rPr>
                <w:rFonts w:hAnsi="宋体"/>
                <w:color w:val="auto"/>
                <w:sz w:val="21"/>
                <w:szCs w:val="21"/>
              </w:rPr>
            </w:pPr>
          </w:p>
        </w:tc>
      </w:tr>
      <w:tr w14:paraId="667F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2" w:type="dxa"/>
            <w:vAlign w:val="center"/>
          </w:tcPr>
          <w:p w14:paraId="2082BE5F">
            <w:pPr>
              <w:spacing w:line="360" w:lineRule="auto"/>
              <w:ind w:firstLine="28"/>
              <w:jc w:val="center"/>
              <w:rPr>
                <w:rFonts w:hint="eastAsia" w:hAnsi="宋体" w:eastAsia="宋体"/>
                <w:color w:val="auto"/>
                <w:sz w:val="21"/>
                <w:szCs w:val="21"/>
                <w:lang w:eastAsia="zh-CN"/>
              </w:rPr>
            </w:pPr>
            <w:r>
              <w:rPr>
                <w:rFonts w:hint="eastAsia" w:hAnsi="宋体"/>
                <w:color w:val="auto"/>
                <w:sz w:val="21"/>
                <w:szCs w:val="21"/>
                <w:lang w:val="en-US" w:eastAsia="zh-CN"/>
              </w:rPr>
              <w:t>4</w:t>
            </w:r>
          </w:p>
        </w:tc>
        <w:tc>
          <w:tcPr>
            <w:tcW w:w="971" w:type="dxa"/>
            <w:vMerge w:val="continue"/>
            <w:vAlign w:val="center"/>
          </w:tcPr>
          <w:p w14:paraId="724CC49A">
            <w:pPr>
              <w:spacing w:line="360" w:lineRule="auto"/>
              <w:jc w:val="center"/>
              <w:rPr>
                <w:rFonts w:hAnsi="宋体"/>
                <w:color w:val="auto"/>
                <w:sz w:val="21"/>
                <w:szCs w:val="21"/>
              </w:rPr>
            </w:pPr>
          </w:p>
        </w:tc>
        <w:tc>
          <w:tcPr>
            <w:tcW w:w="1107" w:type="dxa"/>
            <w:vAlign w:val="center"/>
          </w:tcPr>
          <w:p w14:paraId="59CD521F">
            <w:pPr>
              <w:spacing w:line="360" w:lineRule="auto"/>
              <w:ind w:firstLine="28"/>
              <w:jc w:val="center"/>
              <w:rPr>
                <w:rFonts w:hAnsi="宋体"/>
                <w:color w:val="auto"/>
                <w:sz w:val="21"/>
                <w:szCs w:val="21"/>
              </w:rPr>
            </w:pPr>
            <w:r>
              <w:rPr>
                <w:rFonts w:hint="eastAsia" w:hAnsi="宋体"/>
                <w:color w:val="auto"/>
                <w:sz w:val="21"/>
                <w:szCs w:val="21"/>
              </w:rPr>
              <w:t>进度计划与保证措施</w:t>
            </w:r>
          </w:p>
          <w:p w14:paraId="658CFF9D">
            <w:pPr>
              <w:spacing w:line="360" w:lineRule="auto"/>
              <w:ind w:firstLine="28"/>
              <w:jc w:val="center"/>
              <w:rPr>
                <w:rFonts w:hAnsi="宋体"/>
                <w:color w:val="auto"/>
                <w:kern w:val="1"/>
                <w:sz w:val="21"/>
                <w:szCs w:val="21"/>
                <w:highlight w:val="yellow"/>
              </w:rPr>
            </w:pPr>
            <w:r>
              <w:rPr>
                <w:rFonts w:hint="eastAsia" w:hAnsi="宋体"/>
                <w:color w:val="auto"/>
                <w:kern w:val="1"/>
                <w:sz w:val="21"/>
                <w:szCs w:val="21"/>
              </w:rPr>
              <w:t>（10分）</w:t>
            </w:r>
          </w:p>
        </w:tc>
        <w:tc>
          <w:tcPr>
            <w:tcW w:w="6867" w:type="dxa"/>
            <w:vAlign w:val="center"/>
          </w:tcPr>
          <w:p w14:paraId="146DB0E8">
            <w:pPr>
              <w:spacing w:line="360" w:lineRule="auto"/>
              <w:rPr>
                <w:rFonts w:hAnsi="宋体"/>
                <w:color w:val="auto"/>
                <w:sz w:val="21"/>
                <w:szCs w:val="21"/>
              </w:rPr>
            </w:pPr>
            <w:r>
              <w:rPr>
                <w:rFonts w:hint="eastAsia" w:hAnsi="宋体"/>
                <w:color w:val="auto"/>
                <w:sz w:val="21"/>
                <w:szCs w:val="21"/>
              </w:rPr>
              <w:t>有完整的、科学合理的进度计划与保证措施且可操作性强，满足或优于项目需求，得10分；</w:t>
            </w:r>
          </w:p>
          <w:p w14:paraId="1DE8D724">
            <w:pPr>
              <w:spacing w:line="360" w:lineRule="auto"/>
              <w:rPr>
                <w:rFonts w:hAnsi="宋体"/>
                <w:color w:val="auto"/>
                <w:sz w:val="21"/>
                <w:szCs w:val="21"/>
              </w:rPr>
            </w:pPr>
            <w:r>
              <w:rPr>
                <w:rFonts w:hint="eastAsia" w:hAnsi="宋体"/>
                <w:color w:val="auto"/>
                <w:sz w:val="21"/>
                <w:szCs w:val="21"/>
              </w:rPr>
              <w:t>有完整的、合理可的进度计划与保证措施，基本满足项目需求，得6分；</w:t>
            </w:r>
          </w:p>
          <w:p w14:paraId="19683969">
            <w:pPr>
              <w:spacing w:line="360" w:lineRule="auto"/>
              <w:rPr>
                <w:rFonts w:hAnsi="宋体"/>
                <w:color w:val="auto"/>
                <w:sz w:val="21"/>
                <w:szCs w:val="21"/>
              </w:rPr>
            </w:pPr>
            <w:r>
              <w:rPr>
                <w:rFonts w:hint="eastAsia" w:hAnsi="宋体"/>
                <w:color w:val="auto"/>
                <w:sz w:val="21"/>
                <w:szCs w:val="21"/>
              </w:rPr>
              <w:t>进度计划与保证措施不完整、不合理，得3分；</w:t>
            </w:r>
          </w:p>
          <w:p w14:paraId="31D53E93">
            <w:pPr>
              <w:spacing w:line="360" w:lineRule="auto"/>
              <w:rPr>
                <w:rFonts w:hAnsi="宋体"/>
                <w:color w:val="auto"/>
                <w:kern w:val="1"/>
                <w:sz w:val="21"/>
                <w:szCs w:val="21"/>
                <w:highlight w:val="yellow"/>
              </w:rPr>
            </w:pPr>
            <w:r>
              <w:rPr>
                <w:rFonts w:hint="eastAsia" w:hAnsi="宋体"/>
                <w:color w:val="auto"/>
                <w:sz w:val="21"/>
                <w:szCs w:val="21"/>
              </w:rPr>
              <w:t>未提供，得</w:t>
            </w:r>
            <w:r>
              <w:rPr>
                <w:rFonts w:hAnsi="宋体"/>
                <w:color w:val="auto"/>
                <w:sz w:val="21"/>
                <w:szCs w:val="21"/>
              </w:rPr>
              <w:t>0</w:t>
            </w:r>
            <w:r>
              <w:rPr>
                <w:rFonts w:hint="eastAsia" w:hAnsi="宋体"/>
                <w:color w:val="auto"/>
                <w:sz w:val="21"/>
                <w:szCs w:val="21"/>
              </w:rPr>
              <w:t>分。</w:t>
            </w:r>
          </w:p>
        </w:tc>
        <w:tc>
          <w:tcPr>
            <w:tcW w:w="587" w:type="dxa"/>
            <w:vAlign w:val="center"/>
          </w:tcPr>
          <w:p w14:paraId="13C7DC2D">
            <w:pPr>
              <w:spacing w:line="360" w:lineRule="auto"/>
              <w:rPr>
                <w:rFonts w:hAnsi="宋体"/>
                <w:color w:val="auto"/>
                <w:sz w:val="21"/>
                <w:szCs w:val="21"/>
              </w:rPr>
            </w:pPr>
          </w:p>
        </w:tc>
      </w:tr>
      <w:tr w14:paraId="0B1D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22" w:type="dxa"/>
            <w:vAlign w:val="center"/>
          </w:tcPr>
          <w:p w14:paraId="409D65E3">
            <w:pPr>
              <w:spacing w:line="360" w:lineRule="auto"/>
              <w:ind w:firstLine="28"/>
              <w:jc w:val="center"/>
              <w:rPr>
                <w:rFonts w:hAnsi="宋体"/>
                <w:color w:val="auto"/>
                <w:sz w:val="21"/>
                <w:szCs w:val="21"/>
              </w:rPr>
            </w:pPr>
            <w:r>
              <w:rPr>
                <w:rFonts w:hint="eastAsia" w:hAnsi="宋体"/>
                <w:color w:val="auto"/>
                <w:sz w:val="21"/>
                <w:szCs w:val="21"/>
                <w:lang w:val="en-US" w:eastAsia="zh-CN"/>
              </w:rPr>
              <w:t>5</w:t>
            </w:r>
          </w:p>
        </w:tc>
        <w:tc>
          <w:tcPr>
            <w:tcW w:w="971" w:type="dxa"/>
            <w:vMerge w:val="continue"/>
            <w:vAlign w:val="center"/>
          </w:tcPr>
          <w:p w14:paraId="5EF3B748">
            <w:pPr>
              <w:spacing w:line="360" w:lineRule="auto"/>
              <w:rPr>
                <w:rFonts w:hAnsi="宋体"/>
                <w:color w:val="auto"/>
                <w:sz w:val="21"/>
                <w:szCs w:val="21"/>
              </w:rPr>
            </w:pPr>
          </w:p>
        </w:tc>
        <w:tc>
          <w:tcPr>
            <w:tcW w:w="1107" w:type="dxa"/>
            <w:vAlign w:val="center"/>
          </w:tcPr>
          <w:p w14:paraId="0F9E58A3">
            <w:pPr>
              <w:spacing w:line="360" w:lineRule="auto"/>
              <w:ind w:firstLine="28"/>
              <w:jc w:val="center"/>
              <w:rPr>
                <w:rFonts w:hAnsi="宋体"/>
                <w:color w:val="auto"/>
                <w:sz w:val="21"/>
                <w:szCs w:val="21"/>
              </w:rPr>
            </w:pPr>
            <w:r>
              <w:rPr>
                <w:rFonts w:hint="eastAsia" w:hAnsi="宋体"/>
                <w:color w:val="auto"/>
                <w:sz w:val="21"/>
                <w:szCs w:val="21"/>
              </w:rPr>
              <w:t>各种应急情况处理预案</w:t>
            </w:r>
            <w:r>
              <w:rPr>
                <w:rFonts w:hint="eastAsia" w:hAnsi="宋体"/>
                <w:color w:val="auto"/>
                <w:kern w:val="1"/>
                <w:sz w:val="21"/>
                <w:szCs w:val="21"/>
              </w:rPr>
              <w:t>（10分）</w:t>
            </w:r>
          </w:p>
        </w:tc>
        <w:tc>
          <w:tcPr>
            <w:tcW w:w="6867" w:type="dxa"/>
            <w:vAlign w:val="center"/>
          </w:tcPr>
          <w:p w14:paraId="6ED000C2">
            <w:pPr>
              <w:spacing w:line="360" w:lineRule="auto"/>
              <w:rPr>
                <w:rFonts w:hAnsi="宋体"/>
                <w:color w:val="auto"/>
                <w:sz w:val="21"/>
                <w:szCs w:val="21"/>
              </w:rPr>
            </w:pPr>
            <w:r>
              <w:rPr>
                <w:rFonts w:hint="eastAsia" w:hAnsi="宋体"/>
                <w:color w:val="auto"/>
                <w:sz w:val="21"/>
                <w:szCs w:val="21"/>
              </w:rPr>
              <w:t>针对各种紧急情况预估全面，处理方案有很强的针对性能够充分保障工作的正常运行，得 10 分；</w:t>
            </w:r>
          </w:p>
          <w:p w14:paraId="0D69D98B">
            <w:pPr>
              <w:spacing w:line="360" w:lineRule="auto"/>
              <w:rPr>
                <w:rFonts w:hAnsi="宋体"/>
                <w:color w:val="auto"/>
                <w:sz w:val="21"/>
                <w:szCs w:val="21"/>
              </w:rPr>
            </w:pPr>
            <w:r>
              <w:rPr>
                <w:rFonts w:hint="eastAsia" w:hAnsi="宋体"/>
                <w:color w:val="auto"/>
                <w:sz w:val="21"/>
                <w:szCs w:val="21"/>
              </w:rPr>
              <w:t xml:space="preserve">针对各种紧急情况预估较全面，处理方案有针对性，能够较好的保障工作的正常运行，得 </w:t>
            </w:r>
            <w:r>
              <w:rPr>
                <w:rFonts w:hint="eastAsia" w:hAnsi="宋体"/>
                <w:color w:val="auto"/>
                <w:sz w:val="21"/>
                <w:szCs w:val="21"/>
                <w:lang w:val="en-US" w:eastAsia="zh-CN"/>
              </w:rPr>
              <w:t>8</w:t>
            </w:r>
            <w:r>
              <w:rPr>
                <w:rFonts w:hint="eastAsia" w:hAnsi="宋体"/>
                <w:color w:val="auto"/>
                <w:sz w:val="21"/>
                <w:szCs w:val="21"/>
              </w:rPr>
              <w:t>分；</w:t>
            </w:r>
          </w:p>
          <w:p w14:paraId="1ED14B6A">
            <w:pPr>
              <w:spacing w:line="360" w:lineRule="auto"/>
              <w:rPr>
                <w:rFonts w:hAnsi="宋体"/>
                <w:color w:val="auto"/>
                <w:sz w:val="21"/>
                <w:szCs w:val="21"/>
              </w:rPr>
            </w:pPr>
            <w:r>
              <w:rPr>
                <w:rFonts w:hint="eastAsia" w:hAnsi="宋体"/>
                <w:color w:val="auto"/>
                <w:sz w:val="21"/>
                <w:szCs w:val="21"/>
              </w:rPr>
              <w:t xml:space="preserve">针对各种紧急情况预估基本全面，处理方案针对性一般，能够保障工作的正常运行，得 </w:t>
            </w:r>
            <w:r>
              <w:rPr>
                <w:rFonts w:hint="eastAsia" w:hAnsi="宋体"/>
                <w:color w:val="auto"/>
                <w:sz w:val="21"/>
                <w:szCs w:val="21"/>
                <w:lang w:val="en-US" w:eastAsia="zh-CN"/>
              </w:rPr>
              <w:t>5</w:t>
            </w:r>
            <w:r>
              <w:rPr>
                <w:rFonts w:hint="eastAsia" w:hAnsi="宋体"/>
                <w:color w:val="auto"/>
                <w:sz w:val="21"/>
                <w:szCs w:val="21"/>
              </w:rPr>
              <w:t>分；</w:t>
            </w:r>
          </w:p>
          <w:p w14:paraId="79C6AC4F">
            <w:pPr>
              <w:spacing w:line="360" w:lineRule="auto"/>
              <w:rPr>
                <w:rFonts w:hAnsi="宋体"/>
                <w:color w:val="auto"/>
                <w:sz w:val="21"/>
                <w:szCs w:val="21"/>
              </w:rPr>
            </w:pPr>
            <w:r>
              <w:rPr>
                <w:rFonts w:hint="eastAsia" w:hAnsi="宋体"/>
                <w:color w:val="auto"/>
                <w:sz w:val="21"/>
                <w:szCs w:val="21"/>
              </w:rPr>
              <w:t>针对各种紧急情况预估不全面，处理方案针对性较差不能保障工作的正常运行，得</w:t>
            </w:r>
            <w:r>
              <w:rPr>
                <w:rFonts w:hint="eastAsia" w:hAnsi="宋体"/>
                <w:color w:val="auto"/>
                <w:sz w:val="21"/>
                <w:szCs w:val="21"/>
                <w:lang w:val="en-US" w:eastAsia="zh-CN"/>
              </w:rPr>
              <w:t>3</w:t>
            </w:r>
            <w:r>
              <w:rPr>
                <w:rFonts w:hint="eastAsia" w:hAnsi="宋体"/>
                <w:color w:val="auto"/>
                <w:sz w:val="21"/>
                <w:szCs w:val="21"/>
              </w:rPr>
              <w:t>分；</w:t>
            </w:r>
          </w:p>
          <w:p w14:paraId="6A8C75C1">
            <w:pPr>
              <w:spacing w:line="360" w:lineRule="auto"/>
              <w:rPr>
                <w:color w:val="auto"/>
                <w:sz w:val="21"/>
                <w:szCs w:val="21"/>
              </w:rPr>
            </w:pPr>
            <w:r>
              <w:rPr>
                <w:rFonts w:hint="eastAsia" w:hAnsi="宋体"/>
                <w:color w:val="auto"/>
                <w:sz w:val="21"/>
                <w:szCs w:val="21"/>
              </w:rPr>
              <w:t>未提供，得0分。</w:t>
            </w:r>
          </w:p>
        </w:tc>
        <w:tc>
          <w:tcPr>
            <w:tcW w:w="587" w:type="dxa"/>
            <w:vAlign w:val="center"/>
          </w:tcPr>
          <w:p w14:paraId="16DA2A74">
            <w:pPr>
              <w:spacing w:line="360" w:lineRule="auto"/>
              <w:rPr>
                <w:rFonts w:hAnsi="宋体"/>
                <w:color w:val="auto"/>
                <w:sz w:val="21"/>
                <w:szCs w:val="21"/>
              </w:rPr>
            </w:pPr>
          </w:p>
        </w:tc>
      </w:tr>
      <w:tr w14:paraId="46C3B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622" w:type="dxa"/>
            <w:vAlign w:val="center"/>
          </w:tcPr>
          <w:p w14:paraId="46D03C61">
            <w:pPr>
              <w:snapToGrid w:val="0"/>
              <w:spacing w:line="360" w:lineRule="auto"/>
              <w:jc w:val="center"/>
              <w:rPr>
                <w:rFonts w:hint="eastAsia" w:hAnsi="宋体" w:eastAsia="宋体"/>
                <w:color w:val="auto"/>
                <w:sz w:val="21"/>
                <w:szCs w:val="21"/>
                <w:lang w:eastAsia="zh-CN"/>
              </w:rPr>
            </w:pPr>
            <w:r>
              <w:rPr>
                <w:rFonts w:hint="eastAsia" w:hAnsi="宋体"/>
                <w:bCs/>
                <w:color w:val="auto"/>
                <w:sz w:val="21"/>
                <w:szCs w:val="21"/>
                <w:lang w:val="en-US" w:eastAsia="zh-CN"/>
              </w:rPr>
              <w:t>6</w:t>
            </w:r>
          </w:p>
        </w:tc>
        <w:tc>
          <w:tcPr>
            <w:tcW w:w="971" w:type="dxa"/>
            <w:vMerge w:val="continue"/>
            <w:vAlign w:val="center"/>
          </w:tcPr>
          <w:p w14:paraId="50F39F86">
            <w:pPr>
              <w:spacing w:line="360" w:lineRule="auto"/>
              <w:rPr>
                <w:rFonts w:hAnsi="宋体"/>
                <w:color w:val="auto"/>
                <w:sz w:val="21"/>
                <w:szCs w:val="21"/>
              </w:rPr>
            </w:pPr>
          </w:p>
        </w:tc>
        <w:tc>
          <w:tcPr>
            <w:tcW w:w="1107" w:type="dxa"/>
            <w:vAlign w:val="center"/>
          </w:tcPr>
          <w:p w14:paraId="7E33A275">
            <w:pPr>
              <w:pStyle w:val="76"/>
              <w:spacing w:line="360" w:lineRule="auto"/>
              <w:jc w:val="center"/>
              <w:rPr>
                <w:rFonts w:cs="宋体"/>
                <w:color w:val="auto"/>
                <w:sz w:val="21"/>
                <w:szCs w:val="21"/>
              </w:rPr>
            </w:pPr>
            <w:r>
              <w:rPr>
                <w:rFonts w:hint="eastAsia" w:cs="宋体"/>
                <w:color w:val="auto"/>
                <w:sz w:val="21"/>
                <w:szCs w:val="21"/>
              </w:rPr>
              <w:t>机械、材料、器具设备和交通工具配置</w:t>
            </w:r>
          </w:p>
          <w:p w14:paraId="12A6B9FC">
            <w:pPr>
              <w:pStyle w:val="76"/>
              <w:spacing w:line="360" w:lineRule="auto"/>
              <w:jc w:val="center"/>
              <w:rPr>
                <w:color w:val="auto"/>
                <w:kern w:val="1"/>
                <w:sz w:val="21"/>
                <w:szCs w:val="21"/>
              </w:rPr>
            </w:pPr>
            <w:r>
              <w:rPr>
                <w:rFonts w:hint="eastAsia" w:cs="宋体"/>
                <w:color w:val="auto"/>
                <w:sz w:val="21"/>
                <w:szCs w:val="21"/>
              </w:rPr>
              <w:t>（10分）</w:t>
            </w:r>
          </w:p>
        </w:tc>
        <w:tc>
          <w:tcPr>
            <w:tcW w:w="6867" w:type="dxa"/>
            <w:vAlign w:val="center"/>
          </w:tcPr>
          <w:p w14:paraId="0FD4CF21">
            <w:pPr>
              <w:spacing w:line="360" w:lineRule="auto"/>
              <w:rPr>
                <w:rFonts w:hAnsi="宋体"/>
                <w:color w:val="auto"/>
                <w:sz w:val="21"/>
                <w:szCs w:val="21"/>
              </w:rPr>
            </w:pPr>
            <w:r>
              <w:rPr>
                <w:rFonts w:hint="eastAsia" w:hAnsi="宋体"/>
                <w:color w:val="auto"/>
                <w:sz w:val="21"/>
                <w:szCs w:val="21"/>
              </w:rPr>
              <w:t>拟投入的机械、材料、器具设备和交通工具配置数量充足、功能性强、多样性强，得10分；</w:t>
            </w:r>
          </w:p>
          <w:p w14:paraId="5C39E265">
            <w:pPr>
              <w:spacing w:line="360" w:lineRule="auto"/>
              <w:rPr>
                <w:rFonts w:hAnsi="宋体"/>
                <w:color w:val="auto"/>
                <w:sz w:val="21"/>
                <w:szCs w:val="21"/>
              </w:rPr>
            </w:pPr>
            <w:r>
              <w:rPr>
                <w:rFonts w:hint="eastAsia" w:hAnsi="宋体"/>
                <w:color w:val="auto"/>
                <w:sz w:val="21"/>
                <w:szCs w:val="21"/>
              </w:rPr>
              <w:t>拟投入的机械、材料、器具设备和交通工具配置数量多、功能性符合项目要求、具备多样性好，得6分；</w:t>
            </w:r>
          </w:p>
          <w:p w14:paraId="2D85CCEF">
            <w:pPr>
              <w:spacing w:line="360" w:lineRule="auto"/>
              <w:rPr>
                <w:rFonts w:hAnsi="宋体"/>
                <w:color w:val="auto"/>
                <w:sz w:val="21"/>
                <w:szCs w:val="21"/>
              </w:rPr>
            </w:pPr>
            <w:r>
              <w:rPr>
                <w:rFonts w:hint="eastAsia" w:hAnsi="宋体"/>
                <w:color w:val="auto"/>
                <w:sz w:val="21"/>
                <w:szCs w:val="21"/>
              </w:rPr>
              <w:t>拟投入的机械、材料、器具设备和交通工具配置数量不足、功能性不满足项目基本要求、不具备多样性，得3分；</w:t>
            </w:r>
          </w:p>
          <w:p w14:paraId="6C958D30">
            <w:pPr>
              <w:spacing w:line="360" w:lineRule="auto"/>
              <w:rPr>
                <w:rFonts w:hAnsi="宋体"/>
                <w:color w:val="auto"/>
                <w:sz w:val="21"/>
                <w:szCs w:val="21"/>
              </w:rPr>
            </w:pPr>
            <w:r>
              <w:rPr>
                <w:rFonts w:hint="eastAsia" w:hAnsi="宋体"/>
                <w:color w:val="auto"/>
                <w:sz w:val="21"/>
                <w:szCs w:val="21"/>
              </w:rPr>
              <w:t>未提供，得</w:t>
            </w:r>
            <w:r>
              <w:rPr>
                <w:rFonts w:hAnsi="宋体"/>
                <w:color w:val="auto"/>
                <w:sz w:val="21"/>
                <w:szCs w:val="21"/>
              </w:rPr>
              <w:t>0</w:t>
            </w:r>
            <w:r>
              <w:rPr>
                <w:rFonts w:hint="eastAsia" w:hAnsi="宋体"/>
                <w:color w:val="auto"/>
                <w:sz w:val="21"/>
                <w:szCs w:val="21"/>
              </w:rPr>
              <w:t>分。</w:t>
            </w:r>
          </w:p>
        </w:tc>
        <w:tc>
          <w:tcPr>
            <w:tcW w:w="587" w:type="dxa"/>
            <w:vAlign w:val="center"/>
          </w:tcPr>
          <w:p w14:paraId="18BC402F">
            <w:pPr>
              <w:spacing w:line="360" w:lineRule="auto"/>
              <w:ind w:firstLine="28"/>
              <w:jc w:val="center"/>
              <w:rPr>
                <w:rFonts w:hAnsi="宋体"/>
                <w:color w:val="auto"/>
                <w:sz w:val="21"/>
                <w:szCs w:val="21"/>
              </w:rPr>
            </w:pPr>
          </w:p>
        </w:tc>
      </w:tr>
      <w:tr w14:paraId="5A47D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trPr>
        <w:tc>
          <w:tcPr>
            <w:tcW w:w="622" w:type="dxa"/>
            <w:vAlign w:val="center"/>
          </w:tcPr>
          <w:p w14:paraId="35CFB580">
            <w:pPr>
              <w:spacing w:line="360" w:lineRule="auto"/>
              <w:ind w:firstLine="28"/>
              <w:jc w:val="center"/>
              <w:rPr>
                <w:rFonts w:hint="eastAsia" w:hAnsi="宋体" w:eastAsia="宋体"/>
                <w:color w:val="auto"/>
                <w:sz w:val="21"/>
                <w:szCs w:val="21"/>
                <w:lang w:eastAsia="zh-CN"/>
              </w:rPr>
            </w:pPr>
            <w:r>
              <w:rPr>
                <w:rFonts w:hint="eastAsia" w:hAnsi="宋体"/>
                <w:color w:val="auto"/>
                <w:sz w:val="21"/>
                <w:szCs w:val="21"/>
                <w:lang w:val="en-US" w:eastAsia="zh-CN"/>
              </w:rPr>
              <w:t>7</w:t>
            </w:r>
          </w:p>
        </w:tc>
        <w:tc>
          <w:tcPr>
            <w:tcW w:w="971" w:type="dxa"/>
            <w:vMerge w:val="continue"/>
            <w:vAlign w:val="center"/>
          </w:tcPr>
          <w:p w14:paraId="427BF741">
            <w:pPr>
              <w:spacing w:line="360" w:lineRule="auto"/>
              <w:rPr>
                <w:rFonts w:hAnsi="宋体"/>
                <w:color w:val="auto"/>
                <w:sz w:val="21"/>
                <w:szCs w:val="21"/>
              </w:rPr>
            </w:pPr>
          </w:p>
        </w:tc>
        <w:tc>
          <w:tcPr>
            <w:tcW w:w="1107" w:type="dxa"/>
            <w:vAlign w:val="center"/>
          </w:tcPr>
          <w:p w14:paraId="06242896">
            <w:pPr>
              <w:spacing w:line="360" w:lineRule="auto"/>
              <w:jc w:val="center"/>
              <w:rPr>
                <w:rFonts w:hAnsi="宋体"/>
                <w:color w:val="auto"/>
                <w:sz w:val="21"/>
                <w:szCs w:val="21"/>
              </w:rPr>
            </w:pPr>
            <w:r>
              <w:rPr>
                <w:rFonts w:hint="eastAsia" w:hAnsi="宋体"/>
                <w:color w:val="auto"/>
                <w:sz w:val="21"/>
                <w:szCs w:val="21"/>
              </w:rPr>
              <w:t>内部管理制度（10）</w:t>
            </w:r>
          </w:p>
        </w:tc>
        <w:tc>
          <w:tcPr>
            <w:tcW w:w="6867" w:type="dxa"/>
            <w:vAlign w:val="center"/>
          </w:tcPr>
          <w:p w14:paraId="0202F705">
            <w:pPr>
              <w:spacing w:line="360" w:lineRule="auto"/>
              <w:rPr>
                <w:rFonts w:hAnsi="宋体"/>
                <w:color w:val="auto"/>
                <w:sz w:val="21"/>
                <w:szCs w:val="21"/>
              </w:rPr>
            </w:pPr>
            <w:r>
              <w:rPr>
                <w:rFonts w:hint="eastAsia" w:hAnsi="宋体"/>
                <w:color w:val="auto"/>
                <w:sz w:val="21"/>
                <w:szCs w:val="21"/>
              </w:rPr>
              <w:t>具备健全完善的健全的内部管理制度，包括安全文明作业制度、质量控制制度、职业培训制度、档案管理制度、内部考核管理制度等，分工合理明确，制度清晰，日常管理工作执行到位且行之有效，得10分；分工较为合理，制度较为清晰，日常管理工作基本得到落实，但有效性略有不足，得6分；制度内容不够细化，日常管理工作执行有所欠缺，且缺乏有效性，得3分；无内部管理制度得0分。</w:t>
            </w:r>
          </w:p>
        </w:tc>
        <w:tc>
          <w:tcPr>
            <w:tcW w:w="587" w:type="dxa"/>
            <w:vAlign w:val="center"/>
          </w:tcPr>
          <w:p w14:paraId="191A420D">
            <w:pPr>
              <w:spacing w:line="360" w:lineRule="auto"/>
              <w:rPr>
                <w:rFonts w:hAnsi="宋体"/>
                <w:color w:val="auto"/>
                <w:sz w:val="21"/>
                <w:szCs w:val="21"/>
              </w:rPr>
            </w:pPr>
          </w:p>
        </w:tc>
      </w:tr>
      <w:tr w14:paraId="7AEF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622" w:type="dxa"/>
            <w:vAlign w:val="center"/>
          </w:tcPr>
          <w:p w14:paraId="079C0F30">
            <w:pPr>
              <w:spacing w:line="360" w:lineRule="auto"/>
              <w:ind w:firstLine="28"/>
              <w:jc w:val="center"/>
              <w:rPr>
                <w:rFonts w:hint="eastAsia" w:hAnsi="宋体" w:eastAsia="宋体"/>
                <w:color w:val="auto"/>
                <w:sz w:val="21"/>
                <w:szCs w:val="21"/>
                <w:lang w:eastAsia="zh-CN"/>
              </w:rPr>
            </w:pPr>
            <w:r>
              <w:rPr>
                <w:rFonts w:hint="eastAsia" w:hAnsi="宋体"/>
                <w:color w:val="auto"/>
                <w:sz w:val="21"/>
                <w:szCs w:val="21"/>
                <w:lang w:val="en-US" w:eastAsia="zh-CN"/>
              </w:rPr>
              <w:t>8</w:t>
            </w:r>
          </w:p>
        </w:tc>
        <w:tc>
          <w:tcPr>
            <w:tcW w:w="971" w:type="dxa"/>
            <w:vMerge w:val="continue"/>
            <w:vAlign w:val="center"/>
          </w:tcPr>
          <w:p w14:paraId="62B59FBE">
            <w:pPr>
              <w:spacing w:line="360" w:lineRule="auto"/>
              <w:rPr>
                <w:rFonts w:hAnsi="宋体"/>
                <w:color w:val="auto"/>
                <w:sz w:val="21"/>
                <w:szCs w:val="21"/>
              </w:rPr>
            </w:pPr>
          </w:p>
        </w:tc>
        <w:tc>
          <w:tcPr>
            <w:tcW w:w="1107" w:type="dxa"/>
            <w:vAlign w:val="center"/>
          </w:tcPr>
          <w:p w14:paraId="4328BE7A">
            <w:pPr>
              <w:spacing w:line="360" w:lineRule="auto"/>
              <w:jc w:val="center"/>
              <w:rPr>
                <w:rFonts w:hAnsi="宋体"/>
                <w:color w:val="auto"/>
                <w:sz w:val="21"/>
                <w:szCs w:val="21"/>
              </w:rPr>
            </w:pPr>
            <w:r>
              <w:rPr>
                <w:rFonts w:hint="eastAsia" w:hAnsi="宋体"/>
                <w:color w:val="auto"/>
                <w:sz w:val="21"/>
                <w:szCs w:val="21"/>
              </w:rPr>
              <w:t>服务承诺及合理化建议   （</w:t>
            </w:r>
            <w:r>
              <w:rPr>
                <w:rFonts w:hint="eastAsia" w:hAnsi="宋体"/>
                <w:color w:val="auto"/>
                <w:sz w:val="21"/>
                <w:szCs w:val="21"/>
                <w:lang w:val="en-US" w:eastAsia="zh-CN"/>
              </w:rPr>
              <w:t>8</w:t>
            </w:r>
            <w:r>
              <w:rPr>
                <w:rFonts w:hint="eastAsia" w:hAnsi="宋体"/>
                <w:color w:val="auto"/>
                <w:sz w:val="21"/>
                <w:szCs w:val="21"/>
              </w:rPr>
              <w:t>分）</w:t>
            </w:r>
          </w:p>
        </w:tc>
        <w:tc>
          <w:tcPr>
            <w:tcW w:w="6867" w:type="dxa"/>
            <w:vAlign w:val="center"/>
          </w:tcPr>
          <w:p w14:paraId="3EE68B1E">
            <w:pPr>
              <w:spacing w:line="360" w:lineRule="auto"/>
              <w:rPr>
                <w:rFonts w:hAnsi="宋体"/>
                <w:color w:val="auto"/>
                <w:sz w:val="21"/>
                <w:szCs w:val="21"/>
              </w:rPr>
            </w:pPr>
            <w:r>
              <w:rPr>
                <w:rFonts w:hint="eastAsia" w:hAnsi="宋体"/>
                <w:color w:val="auto"/>
                <w:sz w:val="21"/>
                <w:szCs w:val="21"/>
              </w:rPr>
              <w:t>服务承诺完善可行，合理化建议科学、可行、针对性强得</w:t>
            </w:r>
            <w:r>
              <w:rPr>
                <w:rFonts w:hint="eastAsia" w:hAnsi="宋体"/>
                <w:color w:val="auto"/>
                <w:sz w:val="21"/>
                <w:szCs w:val="21"/>
                <w:lang w:val="en-US" w:eastAsia="zh-CN"/>
              </w:rPr>
              <w:t>8</w:t>
            </w:r>
            <w:r>
              <w:rPr>
                <w:rFonts w:hint="eastAsia" w:hAnsi="宋体"/>
                <w:color w:val="auto"/>
                <w:sz w:val="21"/>
                <w:szCs w:val="21"/>
              </w:rPr>
              <w:t>分</w:t>
            </w:r>
          </w:p>
          <w:p w14:paraId="0DEB81D7">
            <w:pPr>
              <w:spacing w:line="360" w:lineRule="auto"/>
              <w:rPr>
                <w:rFonts w:hAnsi="宋体"/>
                <w:color w:val="auto"/>
                <w:sz w:val="21"/>
                <w:szCs w:val="21"/>
              </w:rPr>
            </w:pPr>
            <w:r>
              <w:rPr>
                <w:rFonts w:hint="eastAsia" w:hAnsi="宋体"/>
                <w:color w:val="auto"/>
                <w:sz w:val="21"/>
                <w:szCs w:val="21"/>
              </w:rPr>
              <w:t>服务承诺较完善，合理化建议较科学、较可行、细节待完善得</w:t>
            </w:r>
            <w:r>
              <w:rPr>
                <w:rFonts w:hint="eastAsia" w:hAnsi="宋体"/>
                <w:color w:val="auto"/>
                <w:sz w:val="21"/>
                <w:szCs w:val="21"/>
                <w:lang w:val="en-US" w:eastAsia="zh-CN"/>
              </w:rPr>
              <w:t>5</w:t>
            </w:r>
            <w:r>
              <w:rPr>
                <w:rFonts w:hint="eastAsia" w:hAnsi="宋体"/>
                <w:color w:val="auto"/>
                <w:sz w:val="21"/>
                <w:szCs w:val="21"/>
              </w:rPr>
              <w:t>分</w:t>
            </w:r>
          </w:p>
          <w:p w14:paraId="00332D54">
            <w:pPr>
              <w:spacing w:line="360" w:lineRule="auto"/>
              <w:rPr>
                <w:rFonts w:hAnsi="宋体"/>
                <w:color w:val="auto"/>
                <w:sz w:val="21"/>
                <w:szCs w:val="21"/>
              </w:rPr>
            </w:pPr>
            <w:r>
              <w:rPr>
                <w:rFonts w:hint="eastAsia" w:hAnsi="宋体"/>
                <w:color w:val="auto"/>
                <w:sz w:val="21"/>
                <w:szCs w:val="21"/>
              </w:rPr>
              <w:t>服务承诺不完善，合理化建议欠合理，可行性较差，基本满足项目需要得</w:t>
            </w:r>
            <w:r>
              <w:rPr>
                <w:rFonts w:hint="eastAsia" w:hAnsi="宋体"/>
                <w:color w:val="auto"/>
                <w:sz w:val="21"/>
                <w:szCs w:val="21"/>
                <w:lang w:val="en-US" w:eastAsia="zh-CN"/>
              </w:rPr>
              <w:t>3</w:t>
            </w:r>
            <w:r>
              <w:rPr>
                <w:rFonts w:hint="eastAsia" w:hAnsi="宋体"/>
                <w:color w:val="auto"/>
                <w:sz w:val="21"/>
                <w:szCs w:val="21"/>
              </w:rPr>
              <w:t>分</w:t>
            </w:r>
            <w:r>
              <w:rPr>
                <w:rFonts w:hint="eastAsia" w:hAnsi="宋体"/>
                <w:color w:val="auto"/>
                <w:sz w:val="21"/>
                <w:szCs w:val="21"/>
                <w:lang w:eastAsia="zh-CN"/>
              </w:rPr>
              <w:t>。</w:t>
            </w:r>
            <w:r>
              <w:rPr>
                <w:rFonts w:hint="eastAsia" w:hAnsi="宋体"/>
                <w:color w:val="auto"/>
                <w:sz w:val="21"/>
                <w:szCs w:val="21"/>
              </w:rPr>
              <w:t>不提供0分。</w:t>
            </w:r>
          </w:p>
        </w:tc>
        <w:tc>
          <w:tcPr>
            <w:tcW w:w="587" w:type="dxa"/>
            <w:vAlign w:val="center"/>
          </w:tcPr>
          <w:p w14:paraId="4202BA73">
            <w:pPr>
              <w:spacing w:line="360" w:lineRule="auto"/>
              <w:rPr>
                <w:rFonts w:hAnsi="宋体"/>
                <w:color w:val="auto"/>
                <w:sz w:val="21"/>
                <w:szCs w:val="21"/>
              </w:rPr>
            </w:pPr>
          </w:p>
        </w:tc>
      </w:tr>
      <w:tr w14:paraId="7AD8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622" w:type="dxa"/>
            <w:vAlign w:val="center"/>
          </w:tcPr>
          <w:p w14:paraId="24306BEE">
            <w:pPr>
              <w:spacing w:line="360" w:lineRule="auto"/>
              <w:ind w:firstLine="28"/>
              <w:rPr>
                <w:rFonts w:hint="eastAsia" w:hAnsi="宋体" w:eastAsia="宋体"/>
                <w:color w:val="auto"/>
                <w:sz w:val="21"/>
                <w:szCs w:val="21"/>
                <w:lang w:eastAsia="zh-CN"/>
              </w:rPr>
            </w:pPr>
            <w:r>
              <w:rPr>
                <w:rFonts w:hint="eastAsia" w:hAnsi="宋体"/>
                <w:color w:val="auto"/>
                <w:sz w:val="21"/>
                <w:szCs w:val="21"/>
                <w:lang w:val="en-US" w:eastAsia="zh-CN"/>
              </w:rPr>
              <w:t>9</w:t>
            </w:r>
          </w:p>
        </w:tc>
        <w:tc>
          <w:tcPr>
            <w:tcW w:w="971" w:type="dxa"/>
            <w:vAlign w:val="center"/>
          </w:tcPr>
          <w:p w14:paraId="6194CC1A">
            <w:pPr>
              <w:spacing w:line="360" w:lineRule="auto"/>
              <w:rPr>
                <w:rFonts w:hAnsi="宋体"/>
                <w:color w:val="auto"/>
                <w:sz w:val="21"/>
                <w:szCs w:val="21"/>
              </w:rPr>
            </w:pPr>
            <w:r>
              <w:rPr>
                <w:rFonts w:hint="eastAsia" w:hAnsi="宋体"/>
                <w:color w:val="auto"/>
                <w:sz w:val="21"/>
                <w:szCs w:val="21"/>
              </w:rPr>
              <w:t>报价评审</w:t>
            </w:r>
            <w:r>
              <w:rPr>
                <w:rFonts w:hAnsi="宋体"/>
                <w:color w:val="auto"/>
                <w:sz w:val="21"/>
                <w:szCs w:val="21"/>
              </w:rPr>
              <w:t>(</w:t>
            </w:r>
            <w:r>
              <w:rPr>
                <w:rFonts w:hint="eastAsia" w:hAnsi="宋体"/>
                <w:color w:val="auto"/>
                <w:sz w:val="21"/>
                <w:szCs w:val="21"/>
              </w:rPr>
              <w:t>1</w:t>
            </w:r>
            <w:r>
              <w:rPr>
                <w:rFonts w:hAnsi="宋体"/>
                <w:color w:val="auto"/>
                <w:sz w:val="21"/>
                <w:szCs w:val="21"/>
              </w:rPr>
              <w:t>0</w:t>
            </w:r>
            <w:r>
              <w:rPr>
                <w:rFonts w:hint="eastAsia" w:hAnsi="宋体"/>
                <w:color w:val="auto"/>
                <w:sz w:val="21"/>
                <w:szCs w:val="21"/>
              </w:rPr>
              <w:t>分</w:t>
            </w:r>
            <w:r>
              <w:rPr>
                <w:rFonts w:hAnsi="宋体"/>
                <w:color w:val="auto"/>
                <w:sz w:val="21"/>
                <w:szCs w:val="21"/>
              </w:rPr>
              <w:t>)</w:t>
            </w:r>
          </w:p>
        </w:tc>
        <w:tc>
          <w:tcPr>
            <w:tcW w:w="1107" w:type="dxa"/>
            <w:vAlign w:val="center"/>
          </w:tcPr>
          <w:p w14:paraId="28FF2E76">
            <w:pPr>
              <w:spacing w:line="360" w:lineRule="auto"/>
              <w:ind w:firstLine="210" w:firstLineChars="100"/>
              <w:rPr>
                <w:rFonts w:hAnsi="宋体"/>
                <w:color w:val="auto"/>
                <w:sz w:val="21"/>
                <w:szCs w:val="21"/>
              </w:rPr>
            </w:pPr>
            <w:r>
              <w:rPr>
                <w:rFonts w:hint="eastAsia" w:hAnsi="宋体"/>
                <w:color w:val="auto"/>
                <w:sz w:val="21"/>
                <w:szCs w:val="21"/>
              </w:rPr>
              <w:t>报价</w:t>
            </w:r>
          </w:p>
          <w:p w14:paraId="26197C08">
            <w:pPr>
              <w:spacing w:line="360" w:lineRule="auto"/>
              <w:rPr>
                <w:rFonts w:hAnsi="宋体"/>
                <w:color w:val="auto"/>
                <w:sz w:val="21"/>
                <w:szCs w:val="21"/>
              </w:rPr>
            </w:pPr>
            <w:r>
              <w:rPr>
                <w:rFonts w:hint="eastAsia" w:hAnsi="宋体"/>
                <w:color w:val="auto"/>
                <w:sz w:val="21"/>
                <w:szCs w:val="21"/>
              </w:rPr>
              <w:t>（1</w:t>
            </w:r>
            <w:r>
              <w:rPr>
                <w:rFonts w:hAnsi="宋体"/>
                <w:color w:val="auto"/>
                <w:sz w:val="21"/>
                <w:szCs w:val="21"/>
              </w:rPr>
              <w:t>0</w:t>
            </w:r>
            <w:r>
              <w:rPr>
                <w:rFonts w:hint="eastAsia" w:hAnsi="宋体"/>
                <w:color w:val="auto"/>
                <w:sz w:val="21"/>
                <w:szCs w:val="21"/>
              </w:rPr>
              <w:t>分）</w:t>
            </w:r>
          </w:p>
        </w:tc>
        <w:tc>
          <w:tcPr>
            <w:tcW w:w="6867" w:type="dxa"/>
            <w:vAlign w:val="center"/>
          </w:tcPr>
          <w:p w14:paraId="78E21D5B">
            <w:pPr>
              <w:spacing w:line="360" w:lineRule="auto"/>
              <w:rPr>
                <w:rFonts w:hAnsi="宋体"/>
                <w:color w:val="auto"/>
                <w:sz w:val="21"/>
                <w:szCs w:val="21"/>
              </w:rPr>
            </w:pPr>
            <w:r>
              <w:rPr>
                <w:rFonts w:hint="eastAsia" w:hAnsi="宋体"/>
                <w:color w:val="auto"/>
                <w:sz w:val="21"/>
                <w:szCs w:val="21"/>
              </w:rPr>
              <w:t>满足磋商文件要求的最后报价最低的供应商的价格为磋商基准价，其价格分为满分。其他供应商的价格分统一按照下列公式计算：磋商报价得分</w:t>
            </w:r>
            <w:r>
              <w:rPr>
                <w:rFonts w:hAnsi="宋体"/>
                <w:color w:val="auto"/>
                <w:sz w:val="21"/>
                <w:szCs w:val="21"/>
              </w:rPr>
              <w:t>=</w:t>
            </w:r>
            <w:r>
              <w:rPr>
                <w:rFonts w:hint="eastAsia" w:hAnsi="宋体"/>
                <w:color w:val="auto"/>
                <w:sz w:val="21"/>
                <w:szCs w:val="21"/>
              </w:rPr>
              <w:t>（磋商基准价</w:t>
            </w:r>
            <w:r>
              <w:rPr>
                <w:rFonts w:hAnsi="宋体"/>
                <w:color w:val="auto"/>
                <w:sz w:val="21"/>
                <w:szCs w:val="21"/>
              </w:rPr>
              <w:t>/</w:t>
            </w:r>
            <w:r>
              <w:rPr>
                <w:rFonts w:hint="eastAsia" w:hAnsi="宋体"/>
                <w:color w:val="auto"/>
                <w:sz w:val="21"/>
                <w:szCs w:val="21"/>
              </w:rPr>
              <w:t>最后报价）×1</w:t>
            </w:r>
            <w:r>
              <w:rPr>
                <w:rFonts w:hAnsi="宋体"/>
                <w:color w:val="auto"/>
                <w:sz w:val="21"/>
                <w:szCs w:val="21"/>
              </w:rPr>
              <w:t>0</w:t>
            </w:r>
            <w:r>
              <w:rPr>
                <w:rFonts w:hint="eastAsia" w:hAnsi="宋体"/>
                <w:color w:val="auto"/>
                <w:sz w:val="21"/>
                <w:szCs w:val="21"/>
              </w:rPr>
              <w:t>。</w:t>
            </w:r>
          </w:p>
          <w:p w14:paraId="51CD4C91">
            <w:pPr>
              <w:pStyle w:val="19"/>
              <w:spacing w:line="360" w:lineRule="auto"/>
              <w:ind w:left="0" w:leftChars="0" w:firstLine="0" w:firstLineChars="0"/>
              <w:jc w:val="left"/>
              <w:rPr>
                <w:rFonts w:ascii="宋体" w:hAnsi="宋体"/>
                <w:color w:val="auto"/>
                <w:szCs w:val="21"/>
              </w:rPr>
            </w:pPr>
            <w:r>
              <w:rPr>
                <w:rFonts w:hint="eastAsia" w:ascii="宋体" w:hAnsi="宋体"/>
                <w:color w:val="auto"/>
                <w:szCs w:val="21"/>
              </w:rPr>
              <w:t>注：此处最后报价指经过报价修正，及因落实政府采购政策进行价格调整后的报价，详见第三章《评审方法和评审标准》</w:t>
            </w:r>
            <w:r>
              <w:rPr>
                <w:rFonts w:ascii="宋体" w:hAnsi="宋体"/>
                <w:color w:val="auto"/>
                <w:szCs w:val="21"/>
              </w:rPr>
              <w:t>3.2</w:t>
            </w:r>
            <w:r>
              <w:rPr>
                <w:rFonts w:hint="eastAsia" w:ascii="宋体" w:hAnsi="宋体"/>
                <w:color w:val="auto"/>
                <w:szCs w:val="21"/>
              </w:rPr>
              <w:t>、</w:t>
            </w:r>
            <w:r>
              <w:rPr>
                <w:rFonts w:ascii="宋体" w:hAnsi="宋体"/>
                <w:color w:val="auto"/>
                <w:szCs w:val="21"/>
              </w:rPr>
              <w:t>3.3</w:t>
            </w:r>
            <w:r>
              <w:rPr>
                <w:rFonts w:hint="eastAsia" w:ascii="宋体" w:hAnsi="宋体"/>
                <w:color w:val="auto"/>
                <w:szCs w:val="21"/>
              </w:rPr>
              <w:t>。</w:t>
            </w:r>
          </w:p>
        </w:tc>
        <w:tc>
          <w:tcPr>
            <w:tcW w:w="587" w:type="dxa"/>
            <w:vAlign w:val="center"/>
          </w:tcPr>
          <w:p w14:paraId="224B79FD">
            <w:pPr>
              <w:spacing w:line="360" w:lineRule="auto"/>
              <w:rPr>
                <w:rFonts w:hAnsi="宋体"/>
                <w:color w:val="auto"/>
                <w:sz w:val="21"/>
                <w:szCs w:val="21"/>
              </w:rPr>
            </w:pPr>
          </w:p>
        </w:tc>
      </w:tr>
      <w:tr w14:paraId="4A00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593" w:type="dxa"/>
            <w:gridSpan w:val="2"/>
            <w:vAlign w:val="center"/>
          </w:tcPr>
          <w:p w14:paraId="48646666">
            <w:pPr>
              <w:spacing w:line="360" w:lineRule="auto"/>
              <w:ind w:firstLine="28"/>
              <w:jc w:val="center"/>
              <w:rPr>
                <w:rFonts w:hAnsi="宋体"/>
                <w:color w:val="auto"/>
                <w:sz w:val="21"/>
                <w:szCs w:val="21"/>
              </w:rPr>
            </w:pPr>
            <w:r>
              <w:rPr>
                <w:rFonts w:hint="eastAsia" w:hAnsi="宋体"/>
                <w:color w:val="auto"/>
                <w:sz w:val="21"/>
                <w:szCs w:val="21"/>
              </w:rPr>
              <w:t>合计</w:t>
            </w:r>
          </w:p>
        </w:tc>
        <w:tc>
          <w:tcPr>
            <w:tcW w:w="1107" w:type="dxa"/>
            <w:vAlign w:val="center"/>
          </w:tcPr>
          <w:p w14:paraId="4E8A7AFC">
            <w:pPr>
              <w:spacing w:line="360" w:lineRule="auto"/>
              <w:ind w:firstLine="28"/>
              <w:jc w:val="center"/>
              <w:rPr>
                <w:rFonts w:hAnsi="宋体"/>
                <w:color w:val="auto"/>
                <w:sz w:val="21"/>
                <w:szCs w:val="21"/>
              </w:rPr>
            </w:pPr>
            <w:r>
              <w:rPr>
                <w:rFonts w:hAnsi="宋体"/>
                <w:color w:val="auto"/>
                <w:sz w:val="21"/>
                <w:szCs w:val="21"/>
              </w:rPr>
              <w:t>100</w:t>
            </w:r>
            <w:r>
              <w:rPr>
                <w:rFonts w:hint="eastAsia" w:hAnsi="宋体"/>
                <w:color w:val="auto"/>
                <w:sz w:val="21"/>
                <w:szCs w:val="21"/>
              </w:rPr>
              <w:t>分</w:t>
            </w:r>
          </w:p>
        </w:tc>
        <w:tc>
          <w:tcPr>
            <w:tcW w:w="7454" w:type="dxa"/>
            <w:gridSpan w:val="2"/>
            <w:vAlign w:val="center"/>
          </w:tcPr>
          <w:p w14:paraId="6500FE84">
            <w:pPr>
              <w:spacing w:line="360" w:lineRule="auto"/>
              <w:rPr>
                <w:rFonts w:hAnsi="宋体"/>
                <w:color w:val="auto"/>
                <w:sz w:val="21"/>
                <w:szCs w:val="21"/>
              </w:rPr>
            </w:pPr>
          </w:p>
        </w:tc>
      </w:tr>
    </w:tbl>
    <w:p w14:paraId="4C7EF1A4">
      <w:pPr>
        <w:pStyle w:val="17"/>
        <w:kinsoku w:val="0"/>
        <w:overflowPunct w:val="0"/>
        <w:rPr>
          <w:rFonts w:hAnsi="宋体"/>
          <w:color w:val="auto"/>
          <w:sz w:val="20"/>
          <w:szCs w:val="20"/>
        </w:rPr>
      </w:pPr>
    </w:p>
    <w:p w14:paraId="28C91E2B">
      <w:pPr>
        <w:rPr>
          <w:rFonts w:hAnsi="宋体"/>
          <w:color w:val="auto"/>
          <w:sz w:val="25"/>
          <w:szCs w:val="25"/>
        </w:rPr>
      </w:pPr>
      <w:r>
        <w:rPr>
          <w:rFonts w:hAnsi="宋体"/>
          <w:color w:val="auto"/>
          <w:sz w:val="25"/>
          <w:szCs w:val="25"/>
        </w:rPr>
        <w:br w:type="page"/>
      </w:r>
    </w:p>
    <w:p w14:paraId="089F5C7F">
      <w:pPr>
        <w:pStyle w:val="2"/>
        <w:numPr>
          <w:ilvl w:val="0"/>
          <w:numId w:val="12"/>
        </w:numPr>
        <w:tabs>
          <w:tab w:val="left" w:pos="1622"/>
        </w:tabs>
        <w:kinsoku w:val="0"/>
        <w:overflowPunct w:val="0"/>
        <w:ind w:right="29"/>
        <w:jc w:val="center"/>
        <w:rPr>
          <w:rFonts w:hAnsi="宋体"/>
          <w:color w:val="auto"/>
          <w:highlight w:val="none"/>
        </w:rPr>
      </w:pPr>
      <w:bookmarkStart w:id="44" w:name="_Toc149147705"/>
      <w:bookmarkStart w:id="45" w:name="_Toc149147550"/>
      <w:r>
        <w:rPr>
          <w:rFonts w:hint="eastAsia" w:hAnsi="宋体"/>
          <w:color w:val="auto"/>
          <w:highlight w:val="none"/>
        </w:rPr>
        <w:t>采购需求</w:t>
      </w:r>
      <w:bookmarkEnd w:id="44"/>
      <w:bookmarkEnd w:id="45"/>
    </w:p>
    <w:p w14:paraId="7B1672C3">
      <w:pPr>
        <w:rPr>
          <w:color w:val="auto"/>
          <w:highlight w:val="none"/>
        </w:rPr>
      </w:pPr>
    </w:p>
    <w:p w14:paraId="02D98B42">
      <w:pPr>
        <w:rPr>
          <w:rFonts w:hint="eastAsia" w:hAnsi="宋体"/>
          <w:color w:val="auto"/>
          <w:highlight w:val="none"/>
        </w:rPr>
      </w:pPr>
      <w:bookmarkStart w:id="46" w:name="_Toc149147706"/>
      <w:bookmarkStart w:id="47" w:name="_Toc149147551"/>
      <w:r>
        <w:rPr>
          <w:rFonts w:hint="eastAsia" w:hAnsi="宋体"/>
          <w:color w:val="auto"/>
          <w:highlight w:val="none"/>
        </w:rPr>
        <w:br w:type="page"/>
      </w:r>
    </w:p>
    <w:p w14:paraId="48135974">
      <w:pPr>
        <w:pStyle w:val="69"/>
        <w:numPr>
          <w:ilvl w:val="0"/>
          <w:numId w:val="13"/>
        </w:numPr>
        <w:spacing w:line="360" w:lineRule="auto"/>
        <w:ind w:firstLineChars="0"/>
        <w:contextualSpacing/>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p w14:paraId="35932F1A">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1.采购标的</w:t>
      </w:r>
      <w:r>
        <w:rPr>
          <w:rFonts w:hint="eastAsia" w:ascii="宋体" w:hAnsi="宋体" w:eastAsia="宋体" w:cs="宋体"/>
          <w:color w:val="auto"/>
          <w:sz w:val="24"/>
          <w:szCs w:val="24"/>
          <w:highlight w:val="none"/>
        </w:rPr>
        <w:t>：负责路基、路面、边沟、桥涵整治维护；道路巡查保洁；打草；沙尘、杨毛、柳絮湿化等农村公路日常养护</w:t>
      </w:r>
      <w:r>
        <w:rPr>
          <w:rFonts w:hint="eastAsia" w:ascii="宋体" w:hAnsi="宋体" w:eastAsia="宋体" w:cs="宋体"/>
          <w:color w:val="auto"/>
          <w:sz w:val="24"/>
          <w:szCs w:val="24"/>
          <w:highlight w:val="none"/>
          <w:lang w:val="en-US" w:eastAsia="zh-CN"/>
        </w:rPr>
        <w:t>。</w:t>
      </w:r>
    </w:p>
    <w:p w14:paraId="7C2F0931">
      <w:pPr>
        <w:pStyle w:val="69"/>
        <w:numPr>
          <w:ilvl w:val="0"/>
          <w:numId w:val="13"/>
        </w:numPr>
        <w:spacing w:line="360" w:lineRule="auto"/>
        <w:ind w:firstLineChars="0"/>
        <w:contextualSpacing/>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p w14:paraId="2A05DD59">
      <w:pPr>
        <w:spacing w:line="360" w:lineRule="auto"/>
        <w:ind w:firstLine="240" w:firstLineChars="100"/>
        <w:contextualSpacing/>
        <w:rPr>
          <w:rFonts w:hint="eastAsia" w:ascii="宋体" w:hAnsi="宋体" w:eastAsia="宋体" w:cs="宋体"/>
          <w:i/>
          <w:color w:val="auto"/>
          <w:sz w:val="24"/>
        </w:rPr>
      </w:pPr>
      <w:r>
        <w:rPr>
          <w:rFonts w:hint="eastAsia" w:ascii="宋体" w:hAnsi="宋体" w:eastAsia="宋体" w:cs="宋体"/>
          <w:color w:val="auto"/>
          <w:sz w:val="24"/>
        </w:rPr>
        <w:t>1.交付（实施）的时间（期限）和地点（范围）</w:t>
      </w:r>
    </w:p>
    <w:p w14:paraId="2E57C2C3">
      <w:pPr>
        <w:spacing w:line="360" w:lineRule="auto"/>
        <w:ind w:firstLine="480" w:firstLineChars="200"/>
        <w:contextualSpacing/>
        <w:rPr>
          <w:rFonts w:hint="eastAsia" w:ascii="宋体" w:hAnsi="宋体" w:eastAsia="宋体" w:cs="宋体"/>
          <w:bCs/>
          <w:color w:val="auto"/>
          <w:sz w:val="24"/>
          <w:lang w:eastAsia="zh-CN"/>
        </w:rPr>
      </w:pPr>
      <w:r>
        <w:rPr>
          <w:rFonts w:hint="eastAsia" w:hAnsi="宋体" w:cs="宋体"/>
          <w:bCs/>
          <w:color w:val="auto"/>
          <w:sz w:val="24"/>
          <w:lang w:val="en-US" w:eastAsia="zh-CN"/>
        </w:rPr>
        <w:t>服务期限</w:t>
      </w:r>
      <w:r>
        <w:rPr>
          <w:rFonts w:hint="eastAsia" w:ascii="宋体" w:hAnsi="宋体" w:eastAsia="宋体" w:cs="宋体"/>
          <w:bCs/>
          <w:color w:val="auto"/>
          <w:sz w:val="24"/>
        </w:rPr>
        <w:t>：</w:t>
      </w:r>
      <w:r>
        <w:rPr>
          <w:rFonts w:hint="eastAsia" w:hAnsi="宋体" w:cs="宋体"/>
          <w:bCs/>
          <w:color w:val="auto"/>
          <w:sz w:val="24"/>
          <w:lang w:eastAsia="zh-CN"/>
        </w:rPr>
        <w:t>自签订合同之日起</w:t>
      </w:r>
      <w:r>
        <w:rPr>
          <w:rFonts w:hint="eastAsia" w:hAnsi="宋体" w:cs="宋体"/>
          <w:bCs/>
          <w:color w:val="auto"/>
          <w:sz w:val="24"/>
          <w:lang w:val="en-US" w:eastAsia="zh-CN"/>
        </w:rPr>
        <w:t>壹年</w:t>
      </w:r>
      <w:r>
        <w:rPr>
          <w:rFonts w:hint="eastAsia" w:hAnsi="宋体" w:cs="宋体"/>
          <w:bCs/>
          <w:color w:val="auto"/>
          <w:sz w:val="24"/>
          <w:lang w:eastAsia="zh-CN"/>
        </w:rPr>
        <w:t>。</w:t>
      </w:r>
    </w:p>
    <w:p w14:paraId="3D2BA91E">
      <w:pP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rPr>
        <w:t>地点：北京市顺义区牛栏山镇辖区内北孙各庄环村路、北孙各庄南环路、孙赵路、闸桥路、龙梭路、富密路支线、龙红路、北军营北路、牤牛河路、史军路、一中路、兵营路、牛相路、相各庄北路、兰白路、兰营路、苜草路</w:t>
      </w:r>
      <w:r>
        <w:rPr>
          <w:rFonts w:hint="eastAsia" w:hAnsi="宋体" w:cs="宋体"/>
          <w:bCs/>
          <w:color w:val="auto"/>
          <w:sz w:val="24"/>
          <w:lang w:eastAsia="zh-CN"/>
        </w:rPr>
        <w:t>。</w:t>
      </w:r>
    </w:p>
    <w:p w14:paraId="4E61DA7F">
      <w:pPr>
        <w:spacing w:line="360" w:lineRule="auto"/>
        <w:ind w:firstLine="240" w:firstLineChars="100"/>
        <w:contextualSpacing/>
        <w:rPr>
          <w:rFonts w:hint="eastAsia" w:ascii="宋体" w:hAnsi="宋体" w:eastAsia="宋体" w:cs="宋体"/>
          <w:color w:val="auto"/>
          <w:sz w:val="24"/>
        </w:rPr>
      </w:pPr>
      <w:r>
        <w:rPr>
          <w:rFonts w:hint="eastAsia" w:ascii="宋体" w:hAnsi="宋体" w:eastAsia="宋体" w:cs="宋体"/>
          <w:color w:val="auto"/>
          <w:sz w:val="24"/>
        </w:rPr>
        <w:t>2.付款条件（进度和方式）</w:t>
      </w:r>
    </w:p>
    <w:p w14:paraId="643478F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rPr>
        <w:t>按季度支付，</w:t>
      </w:r>
      <w:r>
        <w:rPr>
          <w:rFonts w:hint="eastAsia" w:hAnsi="宋体" w:cs="宋体"/>
          <w:color w:val="auto"/>
          <w:sz w:val="24"/>
          <w:szCs w:val="24"/>
          <w:lang w:val="en-US" w:eastAsia="zh-CN"/>
        </w:rPr>
        <w:t>采购人</w:t>
      </w:r>
      <w:r>
        <w:rPr>
          <w:rFonts w:hint="eastAsia" w:ascii="宋体" w:hAnsi="宋体" w:eastAsia="宋体" w:cs="宋体"/>
          <w:color w:val="auto"/>
          <w:sz w:val="24"/>
          <w:szCs w:val="24"/>
        </w:rPr>
        <w:t>每季度结束前对上季度</w:t>
      </w:r>
      <w:r>
        <w:rPr>
          <w:rFonts w:hint="eastAsia" w:hAnsi="宋体" w:cs="宋体"/>
          <w:color w:val="auto"/>
          <w:sz w:val="24"/>
          <w:szCs w:val="24"/>
          <w:lang w:val="en-US" w:eastAsia="zh-CN"/>
        </w:rPr>
        <w:t>供应商</w:t>
      </w:r>
      <w:r>
        <w:rPr>
          <w:rFonts w:hint="eastAsia" w:ascii="宋体" w:hAnsi="宋体" w:eastAsia="宋体" w:cs="宋体"/>
          <w:color w:val="auto"/>
          <w:sz w:val="24"/>
          <w:szCs w:val="24"/>
        </w:rPr>
        <w:t>服务质量检查验收完毕，下月10日前向</w:t>
      </w:r>
      <w:r>
        <w:rPr>
          <w:rFonts w:hint="eastAsia" w:hAnsi="宋体" w:cs="宋体"/>
          <w:color w:val="auto"/>
          <w:sz w:val="24"/>
          <w:szCs w:val="24"/>
          <w:lang w:val="en-US" w:eastAsia="zh-CN"/>
        </w:rPr>
        <w:t>供应商</w:t>
      </w:r>
      <w:r>
        <w:rPr>
          <w:rFonts w:hint="eastAsia" w:ascii="宋体" w:hAnsi="宋体" w:eastAsia="宋体" w:cs="宋体"/>
          <w:color w:val="auto"/>
          <w:sz w:val="24"/>
          <w:szCs w:val="24"/>
        </w:rPr>
        <w:t>支付上季度费用</w:t>
      </w:r>
      <w:r>
        <w:rPr>
          <w:rFonts w:hint="eastAsia" w:ascii="宋体" w:hAnsi="宋体" w:eastAsia="宋体" w:cs="宋体"/>
          <w:color w:val="auto"/>
          <w:sz w:val="24"/>
          <w:highlight w:val="none"/>
        </w:rPr>
        <w:t>。</w:t>
      </w:r>
    </w:p>
    <w:p w14:paraId="460A7C03">
      <w:pPr>
        <w:numPr>
          <w:ilvl w:val="0"/>
          <w:numId w:val="13"/>
        </w:numPr>
        <w:spacing w:line="360" w:lineRule="auto"/>
        <w:ind w:left="500" w:leftChars="0" w:hanging="500" w:firstLineChars="0"/>
        <w:outlineLvl w:val="1"/>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服务内容及要求</w:t>
      </w:r>
    </w:p>
    <w:p w14:paraId="3EA87A2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 路基、路面、边沟、桥涵整治维护（总共面积：65683㎡）</w:t>
      </w:r>
    </w:p>
    <w:p w14:paraId="233A96E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路肩整洁、平整坚实、不缺土、坡度适宜、沟底平整、无高草、无堆积，无路基缺口，路肩顺适；</w:t>
      </w:r>
    </w:p>
    <w:p w14:paraId="1CE0E95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边坡稳定、无冲沟、无高草、无松散坍塌现象；</w:t>
      </w:r>
    </w:p>
    <w:p w14:paraId="2787837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沟底整洁、无高草、排水畅通；</w:t>
      </w:r>
    </w:p>
    <w:p w14:paraId="371C004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边沟整理及修缮、道路两侧干净整洁无明显积存垃圾、清运途中无遗撒、边沟平整干净无杂物；</w:t>
      </w:r>
    </w:p>
    <w:p w14:paraId="6C56F40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路面整洁、无垃圾、无堆物、平整、行车顺适，雨季无积水，无破损；</w:t>
      </w:r>
    </w:p>
    <w:p w14:paraId="1B17C8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桥面整洁无积水、无积雪，涵洞无杂物、无淤塞、附属设施完好、稳固；</w:t>
      </w:r>
    </w:p>
    <w:p w14:paraId="296062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保持边沟排水畅通。及时养护排水设施和边沟，确保排水畅通，无堵塞和积水；</w:t>
      </w:r>
    </w:p>
    <w:p w14:paraId="4280DEC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如遇雪天，雪后及时清扫并视情况撒融雪剂，清除的积雪堆放在向阳处，没撒过融雪剂的积雪散入绿地或倒入污水井及垃圾场。</w:t>
      </w:r>
    </w:p>
    <w:p w14:paraId="12FDA6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2.道路巡查保洁</w:t>
      </w:r>
    </w:p>
    <w:p w14:paraId="65EFFA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（1）保持路面整洁，清理路面所有生活垃圾等杂物，保持整洁畅通，无白色垃圾，路面两侧无杂草，雨天无积水，雪天无积雪现象。</w:t>
      </w:r>
    </w:p>
    <w:p w14:paraId="1D66DD9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（2）每日不少于一次清除路面杂物，保证公路畅通。</w:t>
      </w:r>
    </w:p>
    <w:p w14:paraId="08541B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（3）能应对各种应急突发事件。</w:t>
      </w:r>
    </w:p>
    <w:p w14:paraId="1EBE542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（4）不少于每日一次对工作区域进行巡查，并做好巡查记录。巡查记录留存形式不限，如纸质材料、照片、视频等，需涵盖完整的巡查过程记录，包括但不局限于：</w:t>
      </w:r>
    </w:p>
    <w:p w14:paraId="0F72E8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①道路、桥梁、护栏、边沟、涵洞等设施是否完好；</w:t>
      </w:r>
    </w:p>
    <w:p w14:paraId="313A289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②道路周边是否有生活、建筑垃圾倾倒现象；</w:t>
      </w:r>
    </w:p>
    <w:p w14:paraId="064431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③村垃圾池垃圾是否及时清运；</w:t>
      </w:r>
    </w:p>
    <w:p w14:paraId="358F147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④夏季汛期河道排水情况、冬季道路周边树木防火情况；</w:t>
      </w:r>
    </w:p>
    <w:p w14:paraId="4AF16F6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⑤路面是否有因交通事故损坏公路设施等情况。</w:t>
      </w:r>
    </w:p>
    <w:p w14:paraId="676BFB3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（5）发现有生活、建筑垃圾倾倒现象，当场进行规劝、制止并及时汇报；有违反城市管理行为的，向城管部门及时反映；</w:t>
      </w:r>
    </w:p>
    <w:p w14:paraId="57E2814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（6）配合和积极参与有关部门对突发事件的预警演练，发生突发事件第一时间向上级主管部门汇报，并及时处置；应急处置响应时间不超过2小时。</w:t>
      </w:r>
    </w:p>
    <w:p w14:paraId="4539A1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（7）服从和执行行政主管部门关于节日和重大活动安排或迎检任务。</w:t>
      </w:r>
    </w:p>
    <w:p w14:paraId="081C566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（8）针对10月中旬至11月底，道路周边树木落叶及枯枝掉落的情况，</w:t>
      </w:r>
      <w:r>
        <w:rPr>
          <w:rFonts w:hint="eastAsia" w:hAnsi="宋体" w:cs="宋体"/>
          <w:color w:val="auto"/>
          <w:sz w:val="24"/>
          <w:szCs w:val="24"/>
          <w:lang w:val="en-US" w:eastAsia="zh-CN"/>
        </w:rPr>
        <w:t>供应商</w:t>
      </w:r>
      <w:r>
        <w:rPr>
          <w:rFonts w:hint="eastAsia" w:ascii="宋体" w:hAnsi="宋体" w:eastAsia="宋体" w:cs="宋体"/>
          <w:color w:val="auto"/>
          <w:sz w:val="24"/>
          <w:szCs w:val="24"/>
        </w:rPr>
        <w:t>需加大保洁力度。</w:t>
      </w:r>
    </w:p>
    <w:p w14:paraId="4F1F6BC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打草</w:t>
      </w:r>
    </w:p>
    <w:p w14:paraId="2D21784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总打草范围为17条农村公路的路肩及边沟，总面积383922平方米。</w:t>
      </w:r>
    </w:p>
    <w:p w14:paraId="7E23E4C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（2）按照采购人要求进行打草，全年打草次数不得少于4次。</w:t>
      </w:r>
    </w:p>
    <w:p w14:paraId="4B6696D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人工或者机器打草，若边坡杂草生长到路肩高度，应一并修剪。不得存在杂草遮挡反光牌的现象，并将杂草全部运出公路范围。</w:t>
      </w:r>
    </w:p>
    <w:p w14:paraId="4AF9B2C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4. 沙尘、杨毛、柳絮湿化</w:t>
      </w:r>
    </w:p>
    <w:p w14:paraId="007206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针对4月份至10月份的扬尘天气引起的杨毛、柳絮开始飘落，</w:t>
      </w:r>
      <w:r>
        <w:rPr>
          <w:rFonts w:hint="eastAsia" w:hAnsi="宋体" w:cs="宋体"/>
          <w:color w:val="auto"/>
          <w:sz w:val="24"/>
          <w:szCs w:val="24"/>
          <w:lang w:val="en-US" w:eastAsia="zh-CN"/>
        </w:rPr>
        <w:t>供应商</w:t>
      </w:r>
      <w:r>
        <w:rPr>
          <w:rFonts w:hint="eastAsia" w:ascii="宋体" w:hAnsi="宋体" w:eastAsia="宋体" w:cs="宋体"/>
          <w:color w:val="auto"/>
          <w:sz w:val="24"/>
          <w:szCs w:val="24"/>
        </w:rPr>
        <w:t>需采用洒水车对风沙、扬尘、杨毛、柳絮进行湿化处理。</w:t>
      </w:r>
    </w:p>
    <w:p w14:paraId="56D491B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湿化范围为17条农村公路的道路、路肩及边沟，总面积564917平方米。</w:t>
      </w:r>
    </w:p>
    <w:p w14:paraId="154FE5D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hAnsi="宋体" w:cs="宋体"/>
          <w:color w:val="auto"/>
          <w:sz w:val="24"/>
          <w:szCs w:val="24"/>
          <w:lang w:val="en-US" w:eastAsia="zh-CN"/>
        </w:rPr>
        <w:t>供应商</w:t>
      </w:r>
      <w:r>
        <w:rPr>
          <w:rFonts w:hint="eastAsia" w:ascii="宋体" w:hAnsi="宋体" w:eastAsia="宋体" w:cs="宋体"/>
          <w:color w:val="auto"/>
          <w:sz w:val="24"/>
          <w:szCs w:val="24"/>
        </w:rPr>
        <w:t>应利用人工洒水或高压冲洗车为杨毛柳絮增重，加快其掉落速度掉落，防止杨毛柳絮满天飞。</w:t>
      </w:r>
      <w:r>
        <w:rPr>
          <w:rFonts w:hint="eastAsia" w:hAnsi="宋体" w:cs="宋体"/>
          <w:color w:val="auto"/>
          <w:sz w:val="24"/>
          <w:szCs w:val="24"/>
          <w:lang w:val="en-US" w:eastAsia="zh-CN"/>
        </w:rPr>
        <w:t>供应商</w:t>
      </w:r>
      <w:r>
        <w:rPr>
          <w:rFonts w:hint="eastAsia" w:ascii="宋体" w:hAnsi="宋体" w:eastAsia="宋体" w:cs="宋体"/>
          <w:color w:val="auto"/>
          <w:sz w:val="24"/>
          <w:szCs w:val="24"/>
        </w:rPr>
        <w:t>应进行道路洒水作业，为杨毛柳絮增湿，方便后续清理，降低易燃风险，消除火灾隐患并不间断清扫措施，做到随落随清，保持整洁的市容环境。</w:t>
      </w:r>
    </w:p>
    <w:p w14:paraId="2927321B">
      <w:pPr>
        <w:numPr>
          <w:ilvl w:val="0"/>
          <w:numId w:val="13"/>
        </w:numPr>
        <w:spacing w:line="360" w:lineRule="auto"/>
        <w:ind w:left="500" w:leftChars="0" w:hanging="500" w:firstLineChars="0"/>
        <w:outlineLvl w:val="1"/>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资源配备要求</w:t>
      </w:r>
    </w:p>
    <w:p w14:paraId="3FF07E63">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1.</w:t>
      </w:r>
      <w:r>
        <w:rPr>
          <w:rFonts w:hint="eastAsia" w:ascii="宋体" w:hAnsi="宋体" w:eastAsia="宋体" w:cs="宋体"/>
          <w:color w:val="auto"/>
          <w:sz w:val="24"/>
          <w:szCs w:val="24"/>
        </w:rPr>
        <w:t>人员配备：按照相关行业规定，配备13名保洁人员,保洁人员每日一次清除路面杂物，保证公路畅通,可设小组长监督作业；配备适当路基、路面、边沟、桥涵维护人员，需随时待命，一旦接收到维护命令应立即出动。</w:t>
      </w:r>
    </w:p>
    <w:p w14:paraId="1BBE8CA8">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2.</w:t>
      </w:r>
      <w:r>
        <w:rPr>
          <w:rFonts w:hint="eastAsia" w:ascii="宋体" w:hAnsi="宋体" w:eastAsia="宋体" w:cs="宋体"/>
          <w:color w:val="auto"/>
          <w:sz w:val="24"/>
          <w:szCs w:val="24"/>
        </w:rPr>
        <w:t>工具配备：</w:t>
      </w:r>
      <w:r>
        <w:rPr>
          <w:rFonts w:hint="eastAsia" w:hAnsi="宋体" w:cs="宋体"/>
          <w:color w:val="auto"/>
          <w:sz w:val="24"/>
          <w:szCs w:val="24"/>
          <w:lang w:val="en-US" w:eastAsia="zh-CN"/>
        </w:rPr>
        <w:t>供应商</w:t>
      </w:r>
      <w:r>
        <w:rPr>
          <w:rFonts w:hint="eastAsia" w:ascii="宋体" w:hAnsi="宋体" w:eastAsia="宋体" w:cs="宋体"/>
          <w:color w:val="auto"/>
          <w:sz w:val="24"/>
          <w:szCs w:val="24"/>
        </w:rPr>
        <w:t>应为保洁员和维护人员配备适当数量的工具，保证项目按时完成。</w:t>
      </w:r>
    </w:p>
    <w:p w14:paraId="1431C90B">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3.</w:t>
      </w:r>
      <w:r>
        <w:rPr>
          <w:rFonts w:hint="eastAsia" w:ascii="宋体" w:hAnsi="宋体" w:eastAsia="宋体" w:cs="宋体"/>
          <w:color w:val="auto"/>
          <w:sz w:val="24"/>
          <w:szCs w:val="24"/>
        </w:rPr>
        <w:t>设备配备：</w:t>
      </w:r>
      <w:r>
        <w:rPr>
          <w:rFonts w:hint="eastAsia" w:hAnsi="宋体" w:cs="宋体"/>
          <w:color w:val="auto"/>
          <w:sz w:val="24"/>
          <w:szCs w:val="24"/>
          <w:lang w:val="en-US" w:eastAsia="zh-CN"/>
        </w:rPr>
        <w:t>供应商</w:t>
      </w:r>
      <w:r>
        <w:rPr>
          <w:rFonts w:hint="eastAsia" w:ascii="宋体" w:hAnsi="宋体" w:eastAsia="宋体" w:cs="宋体"/>
          <w:color w:val="auto"/>
          <w:sz w:val="24"/>
          <w:szCs w:val="24"/>
        </w:rPr>
        <w:t>应给作业期间的每位保洁人员配备一辆电动三轮车保洁车，保证快速及时清理道路垃圾。供应商应为维护工作配备设备，如路面破碎机、挖机。</w:t>
      </w:r>
    </w:p>
    <w:p w14:paraId="6BE85DBC">
      <w:pPr>
        <w:numPr>
          <w:ilvl w:val="0"/>
          <w:numId w:val="13"/>
        </w:numPr>
        <w:spacing w:line="360" w:lineRule="auto"/>
        <w:ind w:left="500" w:leftChars="0" w:hanging="500" w:firstLineChars="0"/>
        <w:outlineLvl w:val="1"/>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验收标准及要求</w:t>
      </w:r>
    </w:p>
    <w:p w14:paraId="5664EF91">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1.</w:t>
      </w:r>
      <w:r>
        <w:rPr>
          <w:rFonts w:hint="eastAsia" w:ascii="宋体" w:hAnsi="宋体" w:eastAsia="宋体" w:cs="宋体"/>
          <w:color w:val="auto"/>
          <w:sz w:val="24"/>
          <w:szCs w:val="24"/>
        </w:rPr>
        <w:t>服务期间</w:t>
      </w:r>
      <w:r>
        <w:rPr>
          <w:rFonts w:hint="eastAsia" w:hAnsi="宋体" w:cs="宋体"/>
          <w:color w:val="auto"/>
          <w:sz w:val="24"/>
          <w:szCs w:val="24"/>
          <w:lang w:val="en-US" w:eastAsia="zh-CN"/>
        </w:rPr>
        <w:t>供应商</w:t>
      </w:r>
      <w:r>
        <w:rPr>
          <w:rFonts w:hint="eastAsia" w:ascii="宋体" w:hAnsi="宋体" w:eastAsia="宋体" w:cs="宋体"/>
          <w:color w:val="auto"/>
          <w:sz w:val="24"/>
          <w:szCs w:val="24"/>
        </w:rPr>
        <w:t>要按</w:t>
      </w:r>
      <w:r>
        <w:rPr>
          <w:rFonts w:hint="eastAsia" w:hAnsi="宋体" w:cs="宋体"/>
          <w:color w:val="auto"/>
          <w:sz w:val="24"/>
          <w:szCs w:val="24"/>
          <w:lang w:val="en-US" w:eastAsia="zh-CN"/>
        </w:rPr>
        <w:t>采购人</w:t>
      </w:r>
      <w:r>
        <w:rPr>
          <w:rFonts w:hint="eastAsia" w:ascii="宋体" w:hAnsi="宋体" w:eastAsia="宋体" w:cs="宋体"/>
          <w:color w:val="auto"/>
          <w:sz w:val="24"/>
          <w:szCs w:val="24"/>
        </w:rPr>
        <w:t>要求保证该服务的服务质量，</w:t>
      </w:r>
      <w:r>
        <w:rPr>
          <w:rFonts w:hint="eastAsia" w:hAnsi="宋体" w:cs="宋体"/>
          <w:color w:val="auto"/>
          <w:sz w:val="24"/>
          <w:szCs w:val="24"/>
          <w:lang w:val="en-US" w:eastAsia="zh-CN"/>
        </w:rPr>
        <w:t>供应商</w:t>
      </w:r>
      <w:r>
        <w:rPr>
          <w:rFonts w:hint="eastAsia" w:ascii="宋体" w:hAnsi="宋体" w:eastAsia="宋体" w:cs="宋体"/>
          <w:color w:val="auto"/>
          <w:sz w:val="24"/>
          <w:szCs w:val="24"/>
        </w:rPr>
        <w:t>随时接受</w:t>
      </w:r>
      <w:r>
        <w:rPr>
          <w:rFonts w:hint="eastAsia" w:hAnsi="宋体" w:cs="宋体"/>
          <w:color w:val="auto"/>
          <w:sz w:val="24"/>
          <w:szCs w:val="24"/>
          <w:lang w:val="en-US" w:eastAsia="zh-CN"/>
        </w:rPr>
        <w:t>采购人</w:t>
      </w:r>
      <w:r>
        <w:rPr>
          <w:rFonts w:hint="eastAsia" w:ascii="宋体" w:hAnsi="宋体" w:eastAsia="宋体" w:cs="宋体"/>
          <w:color w:val="auto"/>
          <w:sz w:val="24"/>
          <w:szCs w:val="24"/>
        </w:rPr>
        <w:t>及相关部门监督质量，服务期间出现的任何服务质量问题，由</w:t>
      </w:r>
      <w:r>
        <w:rPr>
          <w:rFonts w:hint="eastAsia" w:hAnsi="宋体" w:cs="宋体"/>
          <w:color w:val="auto"/>
          <w:sz w:val="24"/>
          <w:szCs w:val="24"/>
          <w:lang w:val="en-US" w:eastAsia="zh-CN"/>
        </w:rPr>
        <w:t>供应商</w:t>
      </w:r>
      <w:r>
        <w:rPr>
          <w:rFonts w:hint="eastAsia" w:ascii="宋体" w:hAnsi="宋体" w:eastAsia="宋体" w:cs="宋体"/>
          <w:color w:val="auto"/>
          <w:sz w:val="24"/>
          <w:szCs w:val="24"/>
        </w:rPr>
        <w:t>负责。</w:t>
      </w:r>
    </w:p>
    <w:p w14:paraId="450D162B">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2.</w:t>
      </w:r>
      <w:r>
        <w:rPr>
          <w:rFonts w:hint="eastAsia" w:ascii="宋体" w:hAnsi="宋体" w:eastAsia="宋体" w:cs="宋体"/>
          <w:color w:val="auto"/>
          <w:sz w:val="24"/>
          <w:szCs w:val="24"/>
        </w:rPr>
        <w:t>服务期间发生的所有事故及造成他人损害的，由</w:t>
      </w:r>
      <w:r>
        <w:rPr>
          <w:rFonts w:hint="eastAsia" w:hAnsi="宋体" w:cs="宋体"/>
          <w:color w:val="auto"/>
          <w:sz w:val="24"/>
          <w:szCs w:val="24"/>
          <w:lang w:val="en-US" w:eastAsia="zh-CN"/>
        </w:rPr>
        <w:t>供应商</w:t>
      </w:r>
      <w:r>
        <w:rPr>
          <w:rFonts w:hint="eastAsia" w:ascii="宋体" w:hAnsi="宋体" w:eastAsia="宋体" w:cs="宋体"/>
          <w:color w:val="auto"/>
          <w:sz w:val="24"/>
          <w:szCs w:val="24"/>
        </w:rPr>
        <w:t>全权承担经济和法律责任，与</w:t>
      </w:r>
      <w:r>
        <w:rPr>
          <w:rFonts w:hint="eastAsia" w:hAnsi="宋体" w:cs="宋体"/>
          <w:color w:val="auto"/>
          <w:sz w:val="24"/>
          <w:szCs w:val="24"/>
          <w:lang w:val="en-US" w:eastAsia="zh-CN"/>
        </w:rPr>
        <w:t>采购人</w:t>
      </w:r>
      <w:r>
        <w:rPr>
          <w:rFonts w:hint="eastAsia" w:ascii="宋体" w:hAnsi="宋体" w:eastAsia="宋体" w:cs="宋体"/>
          <w:color w:val="auto"/>
          <w:sz w:val="24"/>
          <w:szCs w:val="24"/>
        </w:rPr>
        <w:t>无关。</w:t>
      </w:r>
    </w:p>
    <w:p w14:paraId="6BBFADA5">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3.采购人</w:t>
      </w:r>
      <w:r>
        <w:rPr>
          <w:rFonts w:hint="eastAsia" w:ascii="宋体" w:hAnsi="宋体" w:eastAsia="宋体" w:cs="宋体"/>
          <w:color w:val="auto"/>
          <w:sz w:val="24"/>
          <w:szCs w:val="24"/>
        </w:rPr>
        <w:t>不定期进行检查，并对</w:t>
      </w:r>
      <w:r>
        <w:rPr>
          <w:rFonts w:hint="eastAsia" w:hAnsi="宋体" w:cs="宋体"/>
          <w:color w:val="auto"/>
          <w:sz w:val="24"/>
          <w:szCs w:val="24"/>
          <w:lang w:val="en-US" w:eastAsia="zh-CN"/>
        </w:rPr>
        <w:t>供应商</w:t>
      </w:r>
      <w:r>
        <w:rPr>
          <w:rFonts w:hint="eastAsia" w:ascii="宋体" w:hAnsi="宋体" w:eastAsia="宋体" w:cs="宋体"/>
          <w:color w:val="auto"/>
          <w:sz w:val="24"/>
          <w:szCs w:val="24"/>
        </w:rPr>
        <w:t>进行考核，视考核情况奖罚。</w:t>
      </w:r>
    </w:p>
    <w:p w14:paraId="664474C1">
      <w:pPr>
        <w:spacing w:line="360" w:lineRule="auto"/>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服务期满后，</w:t>
      </w:r>
      <w:r>
        <w:rPr>
          <w:rFonts w:hint="eastAsia" w:hAnsi="宋体" w:cs="宋体"/>
          <w:color w:val="auto"/>
          <w:sz w:val="24"/>
          <w:szCs w:val="24"/>
          <w:lang w:val="en-US" w:eastAsia="zh-CN"/>
        </w:rPr>
        <w:t>采购人</w:t>
      </w:r>
      <w:r>
        <w:rPr>
          <w:rFonts w:hint="eastAsia" w:ascii="宋体" w:hAnsi="宋体" w:eastAsia="宋体" w:cs="宋体"/>
          <w:color w:val="auto"/>
          <w:sz w:val="24"/>
          <w:szCs w:val="24"/>
        </w:rPr>
        <w:t>15天内组织验收。</w:t>
      </w:r>
    </w:p>
    <w:p w14:paraId="59E0BD62">
      <w:pPr>
        <w:numPr>
          <w:ilvl w:val="0"/>
          <w:numId w:val="0"/>
        </w:numPr>
        <w:spacing w:line="360" w:lineRule="auto"/>
        <w:ind w:leftChars="0"/>
        <w:outlineLvl w:val="1"/>
        <w:rPr>
          <w:rFonts w:hint="default" w:hAnsi="宋体" w:cs="宋体"/>
          <w:color w:val="auto"/>
          <w:sz w:val="24"/>
          <w:szCs w:val="24"/>
          <w:lang w:val="en-US" w:eastAsia="zh-CN"/>
        </w:rPr>
      </w:pPr>
    </w:p>
    <w:p w14:paraId="1BD40BE2">
      <w:pPr>
        <w:spacing w:line="360" w:lineRule="auto"/>
        <w:ind w:firstLine="480" w:firstLineChars="200"/>
        <w:rPr>
          <w:rFonts w:hint="eastAsia" w:ascii="宋体" w:hAnsi="宋体" w:eastAsia="宋体" w:cs="宋体"/>
          <w:color w:val="auto"/>
          <w:sz w:val="24"/>
          <w:szCs w:val="24"/>
        </w:rPr>
      </w:pPr>
    </w:p>
    <w:p w14:paraId="62AB69C3">
      <w:pPr>
        <w:numPr>
          <w:ilvl w:val="0"/>
          <w:numId w:val="0"/>
        </w:numPr>
        <w:spacing w:line="360" w:lineRule="auto"/>
        <w:ind w:leftChars="0"/>
        <w:outlineLvl w:val="1"/>
        <w:rPr>
          <w:rFonts w:hint="eastAsia" w:ascii="宋体" w:hAnsi="宋体" w:eastAsia="宋体" w:cs="宋体"/>
          <w:b/>
          <w:bCs/>
          <w:color w:val="auto"/>
          <w:sz w:val="24"/>
          <w:lang w:val="en-US" w:eastAsia="zh-CN"/>
        </w:rPr>
      </w:pPr>
    </w:p>
    <w:p w14:paraId="12308039">
      <w:pPr>
        <w:numPr>
          <w:ilvl w:val="0"/>
          <w:numId w:val="0"/>
        </w:numPr>
        <w:spacing w:line="360" w:lineRule="auto"/>
        <w:ind w:leftChars="0"/>
        <w:outlineLvl w:val="1"/>
        <w:rPr>
          <w:rFonts w:hint="eastAsia" w:ascii="宋体" w:hAnsi="宋体" w:eastAsia="宋体" w:cs="宋体"/>
          <w:b/>
          <w:bCs/>
          <w:color w:val="auto"/>
          <w:sz w:val="24"/>
          <w:lang w:val="en-US" w:eastAsia="zh-CN"/>
        </w:rPr>
      </w:pPr>
    </w:p>
    <w:p w14:paraId="6576220D">
      <w:pPr>
        <w:numPr>
          <w:ilvl w:val="0"/>
          <w:numId w:val="0"/>
        </w:numPr>
        <w:spacing w:line="360" w:lineRule="auto"/>
        <w:ind w:leftChars="0"/>
        <w:rPr>
          <w:rFonts w:hint="default" w:hAnsi="宋体" w:cs="宋体"/>
          <w:color w:val="auto"/>
          <w:sz w:val="24"/>
          <w:highlight w:val="none"/>
          <w:lang w:val="en-US" w:eastAsia="zh-CN"/>
        </w:rPr>
      </w:pPr>
    </w:p>
    <w:p w14:paraId="1B7A0F28">
      <w:pPr>
        <w:rPr>
          <w:rFonts w:hint="eastAsia" w:hAnsi="宋体"/>
          <w:color w:val="auto"/>
          <w:highlight w:val="none"/>
        </w:rPr>
      </w:pPr>
      <w:r>
        <w:rPr>
          <w:rFonts w:hint="eastAsia" w:hAnsi="宋体"/>
          <w:color w:val="auto"/>
          <w:highlight w:val="none"/>
        </w:rPr>
        <w:br w:type="page"/>
      </w:r>
    </w:p>
    <w:p w14:paraId="40D0E40B">
      <w:pPr>
        <w:pStyle w:val="2"/>
        <w:tabs>
          <w:tab w:val="left" w:pos="1622"/>
        </w:tabs>
        <w:kinsoku w:val="0"/>
        <w:overflowPunct w:val="0"/>
        <w:ind w:right="29"/>
        <w:rPr>
          <w:rFonts w:hint="eastAsia" w:hAnsi="宋体"/>
          <w:color w:val="auto"/>
          <w:highlight w:val="none"/>
        </w:rPr>
      </w:pPr>
      <w:r>
        <w:rPr>
          <w:rFonts w:hint="eastAsia" w:hAnsi="宋体"/>
          <w:color w:val="auto"/>
          <w:highlight w:val="none"/>
        </w:rPr>
        <w:t>第五章</w:t>
      </w:r>
      <w:r>
        <w:rPr>
          <w:rFonts w:hAnsi="宋体"/>
          <w:color w:val="auto"/>
          <w:highlight w:val="none"/>
        </w:rPr>
        <w:tab/>
      </w:r>
      <w:r>
        <w:rPr>
          <w:rFonts w:hint="eastAsia" w:hAnsi="宋体"/>
          <w:color w:val="auto"/>
          <w:highlight w:val="none"/>
        </w:rPr>
        <w:t>合同草案条款</w:t>
      </w:r>
      <w:bookmarkEnd w:id="46"/>
      <w:bookmarkEnd w:id="47"/>
    </w:p>
    <w:p w14:paraId="6F43DB13">
      <w:pPr>
        <w:rPr>
          <w:rFonts w:hint="eastAsia" w:hAnsi="宋体"/>
          <w:color w:val="auto"/>
          <w:highlight w:val="none"/>
        </w:rPr>
      </w:pPr>
      <w:r>
        <w:rPr>
          <w:rFonts w:hint="eastAsia" w:hAnsi="宋体"/>
          <w:color w:val="auto"/>
          <w:highlight w:val="none"/>
        </w:rPr>
        <w:br w:type="page"/>
      </w:r>
    </w:p>
    <w:p w14:paraId="0A132CF2">
      <w:pPr>
        <w:rPr>
          <w:color w:val="auto"/>
          <w:sz w:val="24"/>
          <w:szCs w:val="24"/>
        </w:rPr>
      </w:pPr>
    </w:p>
    <w:p w14:paraId="6288202E">
      <w:pPr>
        <w:jc w:val="center"/>
        <w:rPr>
          <w:rFonts w:hint="eastAsia"/>
          <w:b/>
          <w:bCs/>
          <w:color w:val="auto"/>
          <w:sz w:val="40"/>
          <w:szCs w:val="40"/>
          <w:lang w:val="en-US" w:eastAsia="zh-CN"/>
        </w:rPr>
      </w:pPr>
      <w:r>
        <w:rPr>
          <w:rFonts w:hint="eastAsia"/>
          <w:b/>
          <w:bCs/>
          <w:color w:val="auto"/>
          <w:sz w:val="40"/>
          <w:szCs w:val="40"/>
          <w:lang w:val="en-US" w:eastAsia="zh-CN"/>
        </w:rPr>
        <w:t>2025年农村公路日常养护项目</w:t>
      </w:r>
    </w:p>
    <w:p w14:paraId="7C5D53B3">
      <w:pPr>
        <w:jc w:val="center"/>
        <w:rPr>
          <w:rFonts w:hint="eastAsia"/>
          <w:b/>
          <w:bCs/>
          <w:color w:val="auto"/>
          <w:sz w:val="40"/>
          <w:szCs w:val="40"/>
        </w:rPr>
      </w:pPr>
      <w:r>
        <w:rPr>
          <w:rFonts w:hint="eastAsia"/>
          <w:b/>
          <w:bCs/>
          <w:color w:val="auto"/>
          <w:sz w:val="40"/>
          <w:szCs w:val="40"/>
        </w:rPr>
        <w:t>服务合同</w:t>
      </w:r>
    </w:p>
    <w:p w14:paraId="218186A4">
      <w:pPr>
        <w:spacing w:line="360" w:lineRule="auto"/>
        <w:rPr>
          <w:rFonts w:hint="eastAsia" w:ascii="宋体" w:hAnsi="宋体" w:eastAsia="宋体" w:cs="宋体"/>
          <w:color w:val="auto"/>
          <w:sz w:val="28"/>
          <w:szCs w:val="28"/>
        </w:rPr>
      </w:pPr>
    </w:p>
    <w:p w14:paraId="1A3106A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甲方：北京市顺义区牛栏山镇人民政府</w:t>
      </w:r>
    </w:p>
    <w:p w14:paraId="55C1593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p>
    <w:p w14:paraId="3250511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根据《中华人民共和国民法典》及其他有关法律、法规，遵循平等、自愿、公平和诚实信用的原则，经协商一致，特订立本合同，具体内容如下： </w:t>
      </w:r>
    </w:p>
    <w:p w14:paraId="2897A6F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一、合同期限</w:t>
      </w:r>
    </w:p>
    <w:p w14:paraId="6552F2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合同自生效之日起</w:t>
      </w:r>
      <w:r>
        <w:rPr>
          <w:rFonts w:hint="eastAsia" w:ascii="宋体" w:hAnsi="宋体" w:eastAsia="宋体" w:cs="宋体"/>
          <w:color w:val="auto"/>
          <w:sz w:val="24"/>
          <w:szCs w:val="24"/>
          <w:lang w:val="en-US" w:eastAsia="zh-CN"/>
        </w:rPr>
        <w:t>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日，共</w:t>
      </w:r>
      <w:r>
        <w:rPr>
          <w:rFonts w:hint="eastAsia" w:ascii="宋体" w:hAnsi="宋体" w:eastAsia="宋体" w:cs="宋体"/>
          <w:color w:val="auto"/>
          <w:sz w:val="24"/>
          <w:szCs w:val="24"/>
          <w:lang w:val="en-US" w:eastAsia="zh-CN"/>
        </w:rPr>
        <w:t>1年。</w:t>
      </w:r>
    </w:p>
    <w:p w14:paraId="7347DD1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二、服务地点、服务内容</w:t>
      </w:r>
    </w:p>
    <w:p w14:paraId="442FEF5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（一）服务地点</w:t>
      </w:r>
    </w:p>
    <w:p w14:paraId="3152781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北京市顺义区牛栏山镇辖区内北孙各庄环村路、北孙各庄南环路、孙赵路、闸桥路、龙梭路、富密路支线、龙红路、北军营北路、牤牛河路、史军路、一中路、兵营路、牛相路、相各庄北路、兰白路、兰营路、苜草路。</w:t>
      </w:r>
    </w:p>
    <w:p w14:paraId="59B1A9E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（二）服务内容</w:t>
      </w:r>
    </w:p>
    <w:p w14:paraId="280A579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 路基、路面、边沟、桥涵整治维护（总共面积：65683㎡）</w:t>
      </w:r>
    </w:p>
    <w:p w14:paraId="5CB825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路肩整洁、平整坚实、不缺土、坡度适宜、沟底平整、无高草、无堆积，无路基缺口，路肩顺适；</w:t>
      </w:r>
    </w:p>
    <w:p w14:paraId="6971CB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边坡稳定、无冲沟、无高草、无松散坍塌现象；</w:t>
      </w:r>
    </w:p>
    <w:p w14:paraId="0252082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沟底整洁、无高草、排水畅通；</w:t>
      </w:r>
    </w:p>
    <w:p w14:paraId="6A0DEA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边沟整理及修缮、道路两侧干净整洁无明显积存垃圾、清运途中无遗撒、边沟平整干净无杂物；</w:t>
      </w:r>
    </w:p>
    <w:p w14:paraId="53BF3D7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路面整洁、无垃圾、无堆物、平整、行车顺适，雨季无积水，无破损；</w:t>
      </w:r>
    </w:p>
    <w:p w14:paraId="7361A02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桥面整洁无积水、无积雪，涵洞无杂物、无淤塞、附属设施完好、稳固；</w:t>
      </w:r>
    </w:p>
    <w:p w14:paraId="0B1082E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保持边沟排水畅通。及时养护排水设施和边沟，确保排水畅通，无堵塞和积水；</w:t>
      </w:r>
    </w:p>
    <w:p w14:paraId="6BDE4F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如遇雪天，雪后及时清扫并视情况撒融雪剂，清除的积雪堆放在向阳处，没撒过融雪剂的积雪散入绿地或倒入污水井及垃圾场。</w:t>
      </w:r>
    </w:p>
    <w:p w14:paraId="22A2170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2.道路巡查保洁</w:t>
      </w:r>
    </w:p>
    <w:p w14:paraId="65BE954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（1）保持路面整洁，清理路面所有生活垃圾等杂物，保持整洁畅通，无白色垃圾，路面两侧无杂草，雨天无积水，雪天无积雪现象。</w:t>
      </w:r>
    </w:p>
    <w:p w14:paraId="55F1F0C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（2）每日不少于一次清除路面杂物，保证公路畅通。</w:t>
      </w:r>
    </w:p>
    <w:p w14:paraId="0A841EF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（3）能应对各种应急突发事件。</w:t>
      </w:r>
    </w:p>
    <w:p w14:paraId="3C012E6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（4）不少于每日一次对工作区域进行巡查，并做好巡查记录。巡查记录留存形式不限，如纸质材料、照片、视频等，需涵盖完整的巡查过程记录，包括但不局限于：</w:t>
      </w:r>
    </w:p>
    <w:p w14:paraId="14BBC65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①道路、桥梁、护栏、边沟、涵洞等设施是否完好；</w:t>
      </w:r>
    </w:p>
    <w:p w14:paraId="744DFB4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②道路周边是否有生活、建筑垃圾倾倒现象；</w:t>
      </w:r>
    </w:p>
    <w:p w14:paraId="4DBE850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③村垃圾池垃圾是否及时清运；</w:t>
      </w:r>
    </w:p>
    <w:p w14:paraId="703E95B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④夏季汛期河道排水情况、冬季道路周边树木防火情况；</w:t>
      </w:r>
    </w:p>
    <w:p w14:paraId="5BC26E7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⑤路面是否有因交通事故损坏公路设施等情况。</w:t>
      </w:r>
    </w:p>
    <w:p w14:paraId="4103242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（5）发现有生活、建筑垃圾倾倒现象，当场进行规劝、制止并及时汇报；有违反城市管理行为的，向城管部门及时反映；</w:t>
      </w:r>
    </w:p>
    <w:p w14:paraId="10AC77D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（6）配合和积极参与有关部门对突发事件的预警演练，发生突发事件第一时间向上级主管部门汇报，并及时处置；应急处置响应时间不超过2小时。</w:t>
      </w:r>
    </w:p>
    <w:p w14:paraId="7A24E3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（7）服从和执行行政主管部门关于节日和重大活动安排或迎检任务。</w:t>
      </w:r>
    </w:p>
    <w:p w14:paraId="3C680E9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（8）针对10月中旬至11月底，道路周边树木落叶及枯枝掉落的情况，乙方需加大保洁力度。</w:t>
      </w:r>
    </w:p>
    <w:p w14:paraId="5ADC4B3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打草</w:t>
      </w:r>
    </w:p>
    <w:p w14:paraId="4609CA3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总打草范围为17条农村公路的路肩及边沟，总面积383922平方米。</w:t>
      </w:r>
    </w:p>
    <w:p w14:paraId="694379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（2）按照采购人要求进行打草，全年打草次数不得少于4次。</w:t>
      </w:r>
    </w:p>
    <w:p w14:paraId="1347CD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人工或者机器打草，若边坡杂草生长到路肩高度，应一并修剪。不得存在杂草遮挡反光牌的现象，并将杂草全部运出公路范围。</w:t>
      </w:r>
    </w:p>
    <w:p w14:paraId="21A26A9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4. 沙尘、杨毛、柳絮湿化</w:t>
      </w:r>
    </w:p>
    <w:p w14:paraId="4BE427A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针对4月份至10月份的扬尘天气引起的杨毛、柳絮开始飘落，乙方需采用洒水车对风沙、扬尘、杨毛、柳絮进行湿化处理。</w:t>
      </w:r>
    </w:p>
    <w:p w14:paraId="19E8F01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湿化范围为17条农村公路的道路、路肩及边沟，总面积564917平方米。</w:t>
      </w:r>
    </w:p>
    <w:p w14:paraId="1023DBD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乙方应利用人工洒水或高压冲洗车为杨毛柳絮增重，加快其掉落速度掉落，防止杨毛柳絮满天飞。乙方应进行道路洒水作业，为杨毛柳絮增湿，方便后续清理，降低易燃风险，消除火灾隐患并不间断清扫措施，做到随落随清，保持整洁的市容环境。</w:t>
      </w:r>
    </w:p>
    <w:p w14:paraId="4314CE6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三、资源配备</w:t>
      </w:r>
    </w:p>
    <w:p w14:paraId="6040824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人员配备：按照相关行业规定，配备13名保洁人员,保洁人员每日一次清除路面杂物，保证公路畅通,可设小组长监督作业；配备适当路基、路面、边沟、桥涵维护人员，需随时待命，一旦接收到维护命令应立即出动。</w:t>
      </w:r>
    </w:p>
    <w:p w14:paraId="0A4AD87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工具配备：乙方应为保洁员和维护人员配备适当数量的工具，保证项目按时完成。</w:t>
      </w:r>
    </w:p>
    <w:p w14:paraId="62145D6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设备配备：乙方应给作业期间的每位保洁人员配备一辆电动三轮车保洁车，保证快速及时清理道路垃圾。供应商应为维护工作配备设备，如路面破碎机、挖机。</w:t>
      </w:r>
    </w:p>
    <w:p w14:paraId="644886E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四、服务质量监督检查及验收</w:t>
      </w:r>
    </w:p>
    <w:p w14:paraId="2434F19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服务期间乙方要按甲方要求保证该服务的服务质量，乙方随时接受甲方及相关部门监督质量，服务期间出现的任何服务质量问题，由乙方负责。</w:t>
      </w:r>
    </w:p>
    <w:p w14:paraId="53647A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服务期间发生的所有事故及造成他人损害的，由乙方全权承担经济和法律责任，与甲方无关。</w:t>
      </w:r>
    </w:p>
    <w:p w14:paraId="408544D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甲方不定期进行检查，并对乙方进行考核，视考核情况奖罚。对达不到本协议约定的工作标准，甲方及时发出限时整改通知，不按时完成整改的，视情形要求乙方支付违约金300-500元次。路面两侧出现生活垃圾堆积、杂草未能及时清理的情况，视情形要求乙方支付违约金300-500元次。如遇雨天边沟排水堵塞、有积水，视情形要求乙方支付违约金500-1000 元次。上路作业不按要求穿安全标志服的要求乙方支付违约金100-300元次，不遵守安全操作规程的要求乙方支付违约金500-10000元次。所有违约金最终由甲方从合同价款中扣除。</w:t>
      </w:r>
    </w:p>
    <w:p w14:paraId="6BF7CC9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服务期满后，甲方15天内组织验收。</w:t>
      </w:r>
    </w:p>
    <w:p w14:paraId="0018E2B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五、甲方的权利与义务</w:t>
      </w:r>
    </w:p>
    <w:p w14:paraId="737F713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（一）甲方有依据合同对乙方的作业量和作业质量进行监督、检查与验收的权利及向乙方通告检查与验收结果的义务。</w:t>
      </w:r>
    </w:p>
    <w:p w14:paraId="7ECB081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（二）乙方未按合同标准作业，甲方有权要求乙方整改。</w:t>
      </w:r>
    </w:p>
    <w:p w14:paraId="716F9C5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（三）甲方应尊重乙方服务，为乙方工作提供必要的工作便利和良好条件。</w:t>
      </w:r>
    </w:p>
    <w:p w14:paraId="41823C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（四）因乙方的服务或服务人员不能使甲方满意，甲方可以向乙方提出改进意见或要求换人。</w:t>
      </w:r>
    </w:p>
    <w:p w14:paraId="2A52958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（五）甲方应采纳乙方的合理化建议，并协调乙方与甲方各部门、各村委会的关系，配合乙方解决工作中出现的问题和矛盾。</w:t>
      </w:r>
    </w:p>
    <w:p w14:paraId="34D6151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（六）甲方应按合同约定及时向乙方支付各项费用。</w:t>
      </w:r>
    </w:p>
    <w:p w14:paraId="23F8C14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六、乙方的权利与义务</w:t>
      </w:r>
    </w:p>
    <w:p w14:paraId="181C39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（一）乙方应确保工作质量，严格执行服务标准，根据甲方提出的整改意见及验收结果进行整改。</w:t>
      </w:r>
    </w:p>
    <w:p w14:paraId="7947B36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（二）乙方应提供合格的服务人员，对甲方不满意的人员及时进行教育、调整。</w:t>
      </w:r>
    </w:p>
    <w:p w14:paraId="6410A0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（三）乙方在合同约定的服务范围内进行作业，如遇影响作业的外界因素，甲方进行协调。</w:t>
      </w:r>
    </w:p>
    <w:p w14:paraId="4D3697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（四）乙方应教育服务人员尊重甲方的工作人员，礼貌热情的为甲方提供服务，严禁发生违纪行为。</w:t>
      </w:r>
    </w:p>
    <w:p w14:paraId="236BD2D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（五）乙方保洁人员应统一着装。</w:t>
      </w:r>
    </w:p>
    <w:p w14:paraId="5E3B67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（六）如遇突发情况，及时向甲方汇报，由甲方协调处理。</w:t>
      </w:r>
    </w:p>
    <w:p w14:paraId="5E434BE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（七）在提供保洁服务过程中，乙方工作人员一切安全事故（含造成他人人身损害及财产损失的事故）由乙方自行负责，与甲方无关。</w:t>
      </w:r>
    </w:p>
    <w:p w14:paraId="6BE9A3A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（八）乙方不得擅自对外转包、分包该保洁服务项目。</w:t>
      </w:r>
    </w:p>
    <w:p w14:paraId="67492C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（九）乙方享有获得相应服务费用的权利。</w:t>
      </w:r>
    </w:p>
    <w:p w14:paraId="4BDE615D">
      <w:pPr>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（十）根据采购项目特点，选派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为项目负责人，联系电话：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p>
    <w:p w14:paraId="3FEB660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(十一) 乙方应与其聘用人员签署劳动合同或劳务合同，及时足额支付劳动报酬，缴纳各种社会保险费，乙方与其聘用人员之间的任何纠纷，与甲方无关，由乙方自行解决。</w:t>
      </w:r>
    </w:p>
    <w:p w14:paraId="0B34EA2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七、服务变更及服务费用的调整</w:t>
      </w:r>
    </w:p>
    <w:p w14:paraId="549640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合同有效期内，由于国家、地方法律法规、政策或相关规定变化等原因，甲方对原服务范围、内容及标准等进行变更的，甲方应在变更前30日向乙方发出书面变更通知并与乙方协商一致签订补充协议方可变更。</w:t>
      </w:r>
    </w:p>
    <w:p w14:paraId="4868E30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（二）服务费用随国家、地方法律法规、劳动或相关政策等价格调整而调整，甲方应按照相关政策或规定调整乙方的各项服务费用并签订补充协议。</w:t>
      </w:r>
    </w:p>
    <w:p w14:paraId="052D6ED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（三）如甲方委托乙方承担本合同范围以外的任务，由甲方向乙方下达临时任务通知单，甲方按照临时任务完成情况，根据市场价格与乙方协商一致后，于下月10日前，向乙方支付临时性任务服务费用。</w:t>
      </w:r>
    </w:p>
    <w:p w14:paraId="659C1E8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八、服务费用及结算</w:t>
      </w:r>
    </w:p>
    <w:p w14:paraId="1CD049F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（一）服务费用：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整（含税）。上述费用为乙方履行本合同的全部费用，包括但不限于服务过程中的全部人工费、设备设施费、工具费、材料费、交通费、运输费、各项管理费、利润税金、各种保险费、风险费、维修维护费等，除此之外，甲方无需支付任何其他费用。</w:t>
      </w:r>
    </w:p>
    <w:p w14:paraId="0D28A01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（二）费用支付：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/季度，按季度支付，甲方每季度结束前对上季度乙方服务质量检查验收完毕，下月10日前向乙方支付上季度费用，若乙方存在本合同约定的违约情形，甲方有权直接从上季度服务费中扣除违约金。</w:t>
      </w:r>
    </w:p>
    <w:p w14:paraId="54D8B9E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（三）甲方每次支付服务费前，乙方应提供等额国家正规发票。若乙方拒绝提供或者提供的发票不符合要求，甲方有权拒绝付款并因此不承担违约责任。</w:t>
      </w:r>
    </w:p>
    <w:p w14:paraId="549CBB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（四）凡甲方付款依托于财政拨款，如遇财政拨款计划有变动，以款项实际到账数额、时间为准。因财政拨款变动导致甲方实际付款时间迟于合同约定的，不构成甲方违约，甲方无需承担任何责任。</w:t>
      </w:r>
    </w:p>
    <w:p w14:paraId="3668CA65">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（五）双方一致认可，甲方支付本合同项下款项，需经有关单位通过财政审批，若因财政审批流程延迟导致付款延迟的，不视为甲方违约，甲方不承担任何违约责任。</w:t>
      </w:r>
    </w:p>
    <w:p w14:paraId="553EF6F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九、争议解决</w:t>
      </w:r>
    </w:p>
    <w:p w14:paraId="443574C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本合同履行过程中发生争议时，由甲、乙双方协商解决；协商不成的，可向北京市顺义区人民法院提起诉讼。</w:t>
      </w:r>
    </w:p>
    <w:p w14:paraId="6F1B18D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十、违约与合同解除</w:t>
      </w:r>
    </w:p>
    <w:p w14:paraId="20BFB2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（一）违约责任</w:t>
      </w:r>
    </w:p>
    <w:p w14:paraId="7D82262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甲方或乙方存在不能按本合同约定内容履行自己的各项义务或发生使合同无法履行等违约行为的，应承担相应的违约责任，按照年服务费的10%支付违约金；违约金不足以弥补守约方经济损失的，违约方对超出部分仍承担赔偿责任。</w:t>
      </w:r>
    </w:p>
    <w:p w14:paraId="2E24057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2.除双方协议终止合同或因违约方的违约行为导致合同无法履行而解除合同外，违约方承担上述违约责任后仍应继续履行合同。</w:t>
      </w:r>
    </w:p>
    <w:p w14:paraId="1E9D4814">
      <w:pPr>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（二）合同解除</w:t>
      </w:r>
    </w:p>
    <w:p w14:paraId="7A439EB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1.乙方严重失职造成甲方的重大损失，甲方可以解除合同，并按违约责任要求赔偿。</w:t>
      </w:r>
    </w:p>
    <w:p w14:paraId="4AAE61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2.乙方发生严重违约后，在收到甲方书面通知一个月内仍不能采取补救措施及行动，甲方可以解除合同。</w:t>
      </w:r>
    </w:p>
    <w:p w14:paraId="61CA20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除协商解除、不可抗力解除或因乙方违约解除外，甲方单方解除合同，应提前两个月以书面形式通知乙方，否则应向乙方支付年服务费10%的违约金。</w:t>
      </w:r>
    </w:p>
    <w:p w14:paraId="7C9E407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4.合同期限届满，甲乙双方不再续签本合同。</w:t>
      </w:r>
    </w:p>
    <w:p w14:paraId="1B5949A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5.甲乙双方通过书面协议解除本合同。</w:t>
      </w:r>
    </w:p>
    <w:p w14:paraId="41140A0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十一、不可抗力</w:t>
      </w:r>
    </w:p>
    <w:p w14:paraId="2D16027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在履行合同中因发生不可抗力（洪水、地震或其他不可预见原因等）造成合同部分或全部不能履行，甲乙双方均不承担违约责任。</w:t>
      </w:r>
    </w:p>
    <w:p w14:paraId="56FFC0A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十二、合同份数及效力</w:t>
      </w:r>
    </w:p>
    <w:p w14:paraId="4F55444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本合同壹式</w:t>
      </w:r>
      <w:r>
        <w:rPr>
          <w:rFonts w:hint="eastAsia" w:ascii="宋体" w:hAnsi="宋体" w:eastAsia="宋体" w:cs="宋体"/>
          <w:color w:val="auto"/>
          <w:sz w:val="24"/>
          <w:szCs w:val="24"/>
          <w:u w:val="single"/>
        </w:rPr>
        <w:t>陆</w:t>
      </w:r>
      <w:r>
        <w:rPr>
          <w:rFonts w:hint="eastAsia" w:ascii="宋体" w:hAnsi="宋体" w:eastAsia="宋体" w:cs="宋体"/>
          <w:color w:val="auto"/>
          <w:sz w:val="24"/>
          <w:szCs w:val="24"/>
        </w:rPr>
        <w:t>份，甲方执</w:t>
      </w:r>
      <w:r>
        <w:rPr>
          <w:rFonts w:hint="eastAsia" w:ascii="宋体" w:hAnsi="宋体" w:eastAsia="宋体" w:cs="宋体"/>
          <w:color w:val="auto"/>
          <w:sz w:val="24"/>
          <w:szCs w:val="24"/>
          <w:u w:val="single"/>
        </w:rPr>
        <w:t>叁</w:t>
      </w:r>
      <w:r>
        <w:rPr>
          <w:rFonts w:hint="eastAsia" w:ascii="宋体" w:hAnsi="宋体" w:eastAsia="宋体" w:cs="宋体"/>
          <w:color w:val="auto"/>
          <w:sz w:val="24"/>
          <w:szCs w:val="24"/>
        </w:rPr>
        <w:t>份，乙方执</w:t>
      </w:r>
      <w:r>
        <w:rPr>
          <w:rFonts w:hint="eastAsia" w:ascii="宋体" w:hAnsi="宋体" w:eastAsia="宋体" w:cs="宋体"/>
          <w:color w:val="auto"/>
          <w:sz w:val="24"/>
          <w:szCs w:val="24"/>
          <w:u w:val="single"/>
        </w:rPr>
        <w:t>叁</w:t>
      </w:r>
      <w:r>
        <w:rPr>
          <w:rFonts w:hint="eastAsia" w:ascii="宋体" w:hAnsi="宋体" w:eastAsia="宋体" w:cs="宋体"/>
          <w:color w:val="auto"/>
          <w:sz w:val="24"/>
          <w:szCs w:val="24"/>
        </w:rPr>
        <w:t>份，本合同自双方法定代表人或委托人签字并加盖公章之日起生效。本合同未尽事宜，双方签订补充协议，补充协议与本合同具有同等法律效力。</w:t>
      </w:r>
    </w:p>
    <w:p w14:paraId="23D0D54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十三、补充条款</w:t>
      </w:r>
    </w:p>
    <w:p w14:paraId="20F997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甲方如需增加服务项目，其服务费用另计，经双方协商，可签订补充协议，补充协议与本合同具有同等法律效力。</w:t>
      </w:r>
    </w:p>
    <w:p w14:paraId="130D6E3B">
      <w:pPr>
        <w:spacing w:line="360" w:lineRule="auto"/>
        <w:rPr>
          <w:rFonts w:hint="eastAsia" w:ascii="宋体" w:hAnsi="宋体" w:eastAsia="宋体" w:cs="宋体"/>
          <w:color w:val="auto"/>
          <w:sz w:val="24"/>
          <w:szCs w:val="24"/>
        </w:rPr>
      </w:pPr>
    </w:p>
    <w:p w14:paraId="1B3620F2">
      <w:pPr>
        <w:spacing w:line="360" w:lineRule="auto"/>
        <w:rPr>
          <w:rFonts w:hint="eastAsia" w:ascii="宋体" w:hAnsi="宋体" w:eastAsia="宋体" w:cs="宋体"/>
          <w:color w:val="auto"/>
          <w:sz w:val="24"/>
          <w:szCs w:val="24"/>
        </w:rPr>
      </w:pPr>
    </w:p>
    <w:p w14:paraId="37BB0E83">
      <w:pPr>
        <w:spacing w:line="360" w:lineRule="auto"/>
        <w:rPr>
          <w:rFonts w:hint="eastAsia" w:ascii="宋体" w:hAnsi="宋体" w:eastAsia="宋体" w:cs="宋体"/>
          <w:color w:val="auto"/>
          <w:sz w:val="24"/>
          <w:szCs w:val="24"/>
        </w:rPr>
      </w:pPr>
    </w:p>
    <w:p w14:paraId="3194C2B2">
      <w:pPr>
        <w:spacing w:line="360" w:lineRule="auto"/>
        <w:rPr>
          <w:rFonts w:hint="eastAsia" w:ascii="宋体" w:hAnsi="宋体" w:eastAsia="宋体" w:cs="宋体"/>
          <w:color w:val="auto"/>
          <w:sz w:val="24"/>
          <w:szCs w:val="24"/>
        </w:rPr>
      </w:pPr>
    </w:p>
    <w:p w14:paraId="26E4802C">
      <w:pPr>
        <w:spacing w:line="360" w:lineRule="auto"/>
        <w:rPr>
          <w:rFonts w:hint="eastAsia" w:ascii="宋体" w:hAnsi="宋体" w:eastAsia="宋体" w:cs="宋体"/>
          <w:color w:val="auto"/>
          <w:sz w:val="24"/>
          <w:szCs w:val="24"/>
        </w:rPr>
      </w:pPr>
    </w:p>
    <w:p w14:paraId="01912B95">
      <w:pPr>
        <w:spacing w:line="360" w:lineRule="auto"/>
        <w:rPr>
          <w:rFonts w:hint="eastAsia" w:ascii="宋体" w:hAnsi="宋体" w:eastAsia="宋体" w:cs="宋体"/>
          <w:color w:val="auto"/>
          <w:sz w:val="24"/>
          <w:szCs w:val="24"/>
        </w:rPr>
      </w:pPr>
    </w:p>
    <w:p w14:paraId="134691C0">
      <w:pPr>
        <w:spacing w:line="360" w:lineRule="auto"/>
        <w:rPr>
          <w:rFonts w:hint="eastAsia" w:ascii="宋体" w:hAnsi="宋体" w:eastAsia="宋体" w:cs="宋体"/>
          <w:color w:val="auto"/>
          <w:sz w:val="24"/>
          <w:szCs w:val="24"/>
        </w:rPr>
      </w:pPr>
    </w:p>
    <w:p w14:paraId="2FFE903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3A23AE9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22DADF41">
      <w:pPr>
        <w:spacing w:line="360" w:lineRule="auto"/>
        <w:rPr>
          <w:rFonts w:hint="eastAsia" w:ascii="宋体" w:hAnsi="宋体" w:eastAsia="宋体" w:cs="宋体"/>
          <w:color w:val="auto"/>
          <w:sz w:val="24"/>
          <w:szCs w:val="24"/>
        </w:rPr>
      </w:pPr>
    </w:p>
    <w:p w14:paraId="679E48FD">
      <w:pPr>
        <w:spacing w:line="360" w:lineRule="auto"/>
        <w:rPr>
          <w:rFonts w:hint="eastAsia" w:ascii="宋体" w:hAnsi="宋体" w:eastAsia="宋体" w:cs="宋体"/>
          <w:color w:val="auto"/>
          <w:sz w:val="24"/>
          <w:szCs w:val="24"/>
        </w:rPr>
      </w:pPr>
    </w:p>
    <w:p w14:paraId="3E31E40D">
      <w:pPr>
        <w:spacing w:line="360" w:lineRule="auto"/>
        <w:rPr>
          <w:rFonts w:hint="eastAsia" w:ascii="宋体" w:hAnsi="宋体" w:eastAsia="宋体" w:cs="宋体"/>
          <w:color w:val="auto"/>
          <w:sz w:val="24"/>
          <w:szCs w:val="24"/>
        </w:rPr>
      </w:pPr>
    </w:p>
    <w:p w14:paraId="78228452">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北京市顺义区牛栏山镇</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乙方：</w:t>
      </w:r>
    </w:p>
    <w:p w14:paraId="1FDDD9DE">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人民政府</w:t>
      </w:r>
    </w:p>
    <w:p w14:paraId="130DC2D4">
      <w:pPr>
        <w:keepNext w:val="0"/>
        <w:keepLines w:val="0"/>
        <w:pageBreakBefore w:val="0"/>
        <w:widowControl w:val="0"/>
        <w:kinsoku/>
        <w:wordWrap/>
        <w:overflowPunct/>
        <w:topLinePunct w:val="0"/>
        <w:autoSpaceDE/>
        <w:autoSpaceDN/>
        <w:bidi w:val="0"/>
        <w:adjustRightInd/>
        <w:snapToGrid w:val="0"/>
        <w:spacing w:before="157" w:beforeLines="50" w:line="360" w:lineRule="auto"/>
        <w:ind w:firstLine="1200" w:firstLineChars="5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（盖章）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（盖章）</w:t>
      </w:r>
    </w:p>
    <w:p w14:paraId="49B9F51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lang w:eastAsia="zh-CN"/>
        </w:rPr>
      </w:pPr>
    </w:p>
    <w:p w14:paraId="7B1AB1BF">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或其</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或其</w:t>
      </w:r>
    </w:p>
    <w:p w14:paraId="6E9CF48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授权委托人签字：</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授权委托人签字：</w:t>
      </w:r>
      <w:r>
        <w:rPr>
          <w:rFonts w:hint="eastAsia" w:ascii="宋体" w:hAnsi="宋体" w:eastAsia="宋体" w:cs="宋体"/>
          <w:color w:val="auto"/>
          <w:sz w:val="24"/>
          <w:szCs w:val="24"/>
        </w:rPr>
        <w:t xml:space="preserve">            </w:t>
      </w:r>
    </w:p>
    <w:p w14:paraId="2BBAA3A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rPr>
      </w:pPr>
    </w:p>
    <w:p w14:paraId="44FF2DD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签订</w:t>
      </w:r>
      <w:r>
        <w:rPr>
          <w:rFonts w:hint="eastAsia" w:ascii="宋体" w:hAnsi="宋体" w:eastAsia="宋体" w:cs="宋体"/>
          <w:color w:val="auto"/>
          <w:sz w:val="24"/>
          <w:szCs w:val="24"/>
        </w:rPr>
        <w:t>日期：     年   月   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签订</w:t>
      </w:r>
      <w:r>
        <w:rPr>
          <w:rFonts w:hint="eastAsia" w:ascii="宋体" w:hAnsi="宋体" w:eastAsia="宋体" w:cs="宋体"/>
          <w:color w:val="auto"/>
          <w:sz w:val="24"/>
          <w:szCs w:val="24"/>
        </w:rPr>
        <w:t>日期：     年   月   日</w:t>
      </w:r>
    </w:p>
    <w:p w14:paraId="1D5E6AF4">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outlineLvl w:val="9"/>
        <w:rPr>
          <w:rFonts w:hint="eastAsia" w:ascii="宋体" w:hAnsi="宋体" w:eastAsia="宋体" w:cs="宋体"/>
          <w:b w:val="0"/>
          <w:bCs/>
          <w:color w:val="auto"/>
          <w:sz w:val="36"/>
          <w:szCs w:val="36"/>
          <w:highlight w:val="none"/>
          <w:lang w:val="en-US" w:eastAsia="zh-CN"/>
        </w:rPr>
        <w:sectPr>
          <w:footerReference r:id="rId5" w:type="default"/>
          <w:pgSz w:w="11910" w:h="16840"/>
          <w:pgMar w:top="1338" w:right="560" w:bottom="1417" w:left="1160" w:header="879" w:footer="879" w:gutter="0"/>
          <w:pgNumType w:fmt="decimal"/>
          <w:cols w:space="0" w:num="1"/>
          <w:rtlGutter w:val="0"/>
          <w:docGrid w:linePitch="0" w:charSpace="0"/>
        </w:sectPr>
      </w:pPr>
    </w:p>
    <w:p w14:paraId="5E9C31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val="0"/>
          <w:bCs/>
          <w:color w:val="auto"/>
          <w:sz w:val="32"/>
          <w:szCs w:val="32"/>
          <w:lang w:eastAsia="zh-CN"/>
        </w:rPr>
      </w:pPr>
      <w:bookmarkStart w:id="48" w:name="_Toc149147561"/>
      <w:bookmarkStart w:id="49" w:name="_Toc149147716"/>
    </w:p>
    <w:p w14:paraId="2F864DC5">
      <w:pPr>
        <w:pStyle w:val="2"/>
        <w:tabs>
          <w:tab w:val="left" w:pos="1622"/>
        </w:tabs>
        <w:kinsoku w:val="0"/>
        <w:overflowPunct w:val="0"/>
        <w:ind w:right="29"/>
        <w:rPr>
          <w:rFonts w:hAnsi="宋体"/>
          <w:color w:val="auto"/>
        </w:rPr>
      </w:pPr>
      <w:r>
        <w:rPr>
          <w:rFonts w:hint="eastAsia" w:hAnsi="宋体"/>
          <w:color w:val="auto"/>
        </w:rPr>
        <w:t>第六章</w:t>
      </w:r>
      <w:r>
        <w:rPr>
          <w:rFonts w:hAnsi="宋体"/>
          <w:color w:val="auto"/>
        </w:rPr>
        <w:tab/>
      </w:r>
      <w:r>
        <w:rPr>
          <w:rFonts w:hint="eastAsia" w:hAnsi="宋体"/>
          <w:color w:val="auto"/>
        </w:rPr>
        <w:t>响应文件格式</w:t>
      </w:r>
      <w:bookmarkEnd w:id="48"/>
      <w:bookmarkEnd w:id="49"/>
    </w:p>
    <w:p w14:paraId="38D05A11">
      <w:pPr>
        <w:pStyle w:val="17"/>
        <w:kinsoku w:val="0"/>
        <w:overflowPunct w:val="0"/>
        <w:spacing w:before="3"/>
        <w:rPr>
          <w:rFonts w:hAnsi="宋体"/>
          <w:color w:val="auto"/>
          <w:sz w:val="51"/>
          <w:szCs w:val="51"/>
        </w:rPr>
      </w:pPr>
    </w:p>
    <w:p w14:paraId="310343C6">
      <w:pPr>
        <w:pStyle w:val="17"/>
        <w:kinsoku w:val="0"/>
        <w:overflowPunct w:val="0"/>
        <w:ind w:left="683"/>
        <w:rPr>
          <w:rFonts w:hAnsi="宋体"/>
          <w:color w:val="auto"/>
        </w:rPr>
      </w:pPr>
      <w:r>
        <w:rPr>
          <w:rFonts w:hint="eastAsia" w:hAnsi="宋体"/>
          <w:color w:val="auto"/>
        </w:rPr>
        <w:t>供应商编制文件须知</w:t>
      </w:r>
    </w:p>
    <w:p w14:paraId="337FD761">
      <w:pPr>
        <w:pStyle w:val="17"/>
        <w:kinsoku w:val="0"/>
        <w:overflowPunct w:val="0"/>
        <w:spacing w:before="161" w:line="364" w:lineRule="auto"/>
        <w:ind w:left="683" w:right="568"/>
        <w:rPr>
          <w:rFonts w:hAnsi="宋体"/>
          <w:color w:val="auto"/>
        </w:rPr>
      </w:pPr>
      <w:r>
        <w:rPr>
          <w:rFonts w:hAnsi="宋体" w:cs="Arial"/>
          <w:color w:val="auto"/>
        </w:rPr>
        <w:t>1</w:t>
      </w:r>
      <w:r>
        <w:rPr>
          <w:rFonts w:hint="eastAsia" w:hAnsi="宋体"/>
          <w:color w:val="auto"/>
          <w:spacing w:val="-10"/>
        </w:rPr>
        <w:t>、供应商按照本部分的顺序编制响应文件，编制中涉及格式资料的，应按照本部分提</w:t>
      </w:r>
      <w:r>
        <w:rPr>
          <w:rFonts w:hint="eastAsia" w:hAnsi="宋体"/>
          <w:color w:val="auto"/>
        </w:rPr>
        <w:t>供的内容和格式（所有表格的格式可扩展）填写提交。</w:t>
      </w:r>
    </w:p>
    <w:p w14:paraId="4634416C">
      <w:pPr>
        <w:pStyle w:val="17"/>
        <w:kinsoku w:val="0"/>
        <w:overflowPunct w:val="0"/>
        <w:spacing w:line="364" w:lineRule="auto"/>
        <w:ind w:left="683" w:right="446"/>
        <w:rPr>
          <w:rFonts w:hAnsi="宋体"/>
          <w:color w:val="auto"/>
        </w:rPr>
      </w:pPr>
      <w:r>
        <w:rPr>
          <w:rFonts w:hAnsi="宋体" w:cs="Arial"/>
          <w:color w:val="auto"/>
        </w:rPr>
        <w:t>2</w:t>
      </w:r>
      <w:r>
        <w:rPr>
          <w:rFonts w:hint="eastAsia" w:hAnsi="宋体"/>
          <w:color w:val="auto"/>
          <w:spacing w:val="-8"/>
        </w:rPr>
        <w:t>、对于竞争性磋商文件中标记了</w:t>
      </w:r>
      <w:r>
        <w:rPr>
          <w:rFonts w:hAnsi="宋体" w:cs="Arial"/>
          <w:color w:val="auto"/>
          <w:w w:val="135"/>
        </w:rPr>
        <w:t>“</w:t>
      </w:r>
      <w:r>
        <w:rPr>
          <w:rFonts w:hint="eastAsia" w:hAnsi="宋体"/>
          <w:color w:val="auto"/>
        </w:rPr>
        <w:t>实质性格式</w:t>
      </w:r>
      <w:r>
        <w:rPr>
          <w:rFonts w:hAnsi="宋体" w:cs="Arial"/>
          <w:color w:val="auto"/>
          <w:w w:val="135"/>
        </w:rPr>
        <w:t>”</w:t>
      </w:r>
      <w:r>
        <w:rPr>
          <w:rFonts w:hint="eastAsia" w:hAnsi="宋体"/>
          <w:color w:val="auto"/>
          <w:spacing w:val="-8"/>
        </w:rPr>
        <w:t>文件的，供应商不得改变格式中给定的文字所表达的含义，不得删减格式中的实质性内容，不得自行添加与格式中给定的文</w:t>
      </w:r>
      <w:r>
        <w:rPr>
          <w:rFonts w:hint="eastAsia" w:hAnsi="宋体"/>
          <w:color w:val="auto"/>
          <w:spacing w:val="-12"/>
        </w:rPr>
        <w:t>字内容相矛盾的内容，不得对应当填写的空格不填写或不实质性响应，否则响应无效。</w:t>
      </w:r>
      <w:r>
        <w:rPr>
          <w:rFonts w:hint="eastAsia" w:hAnsi="宋体"/>
          <w:color w:val="auto"/>
        </w:rPr>
        <w:t>未标记</w:t>
      </w:r>
      <w:r>
        <w:rPr>
          <w:rFonts w:hAnsi="宋体" w:cs="Arial"/>
          <w:color w:val="auto"/>
          <w:w w:val="135"/>
        </w:rPr>
        <w:t>“</w:t>
      </w:r>
      <w:r>
        <w:rPr>
          <w:rFonts w:hint="eastAsia" w:hAnsi="宋体"/>
          <w:color w:val="auto"/>
        </w:rPr>
        <w:t>实质性格式</w:t>
      </w:r>
      <w:r>
        <w:rPr>
          <w:rFonts w:hAnsi="宋体" w:cs="Arial"/>
          <w:color w:val="auto"/>
          <w:w w:val="135"/>
        </w:rPr>
        <w:t>”</w:t>
      </w:r>
      <w:r>
        <w:rPr>
          <w:rFonts w:hint="eastAsia" w:hAnsi="宋体"/>
          <w:color w:val="auto"/>
        </w:rPr>
        <w:t>的文件和竞争性磋商文件未提供格式的内容，可由供应商自行编写。</w:t>
      </w:r>
    </w:p>
    <w:p w14:paraId="629477EC">
      <w:pPr>
        <w:pStyle w:val="17"/>
        <w:kinsoku w:val="0"/>
        <w:overflowPunct w:val="0"/>
        <w:spacing w:line="306" w:lineRule="exact"/>
        <w:ind w:left="683"/>
        <w:rPr>
          <w:rFonts w:hAnsi="宋体"/>
          <w:color w:val="auto"/>
        </w:rPr>
      </w:pPr>
      <w:r>
        <w:rPr>
          <w:rFonts w:hAnsi="宋体" w:cs="Arial"/>
          <w:color w:val="auto"/>
        </w:rPr>
        <w:t>3</w:t>
      </w:r>
      <w:r>
        <w:rPr>
          <w:rFonts w:hint="eastAsia" w:hAnsi="宋体"/>
          <w:color w:val="auto"/>
        </w:rPr>
        <w:t>、全部声明和问题的回答及所附材料必须是真实的、准确的和完整的。</w:t>
      </w:r>
    </w:p>
    <w:p w14:paraId="218B9DD8">
      <w:pPr>
        <w:pStyle w:val="17"/>
        <w:kinsoku w:val="0"/>
        <w:overflowPunct w:val="0"/>
        <w:spacing w:line="306" w:lineRule="exact"/>
        <w:ind w:left="683"/>
        <w:rPr>
          <w:rFonts w:hAnsi="宋体"/>
          <w:color w:val="auto"/>
        </w:rPr>
        <w:sectPr>
          <w:pgSz w:w="11910" w:h="16840"/>
          <w:pgMar w:top="1340" w:right="560" w:bottom="1080" w:left="1160" w:header="879" w:footer="879" w:gutter="0"/>
          <w:pgNumType w:fmt="decimal"/>
          <w:cols w:space="720" w:num="1"/>
        </w:sectPr>
      </w:pPr>
    </w:p>
    <w:p w14:paraId="08014679">
      <w:pPr>
        <w:pStyle w:val="17"/>
        <w:kinsoku w:val="0"/>
        <w:overflowPunct w:val="0"/>
        <w:spacing w:before="7"/>
        <w:rPr>
          <w:rFonts w:hAnsi="宋体"/>
          <w:color w:val="auto"/>
          <w:sz w:val="19"/>
          <w:szCs w:val="19"/>
        </w:rPr>
      </w:pPr>
    </w:p>
    <w:p w14:paraId="69DC899A">
      <w:pPr>
        <w:pStyle w:val="17"/>
        <w:kinsoku w:val="0"/>
        <w:overflowPunct w:val="0"/>
        <w:spacing w:before="67"/>
        <w:ind w:left="541"/>
        <w:rPr>
          <w:rFonts w:hAnsi="宋体"/>
          <w:color w:val="auto"/>
        </w:rPr>
      </w:pPr>
      <w:r>
        <w:rPr>
          <w:rFonts w:hint="eastAsia" w:hAnsi="宋体"/>
          <w:color w:val="auto"/>
        </w:rPr>
        <w:t>响应文件封面（非实质性格式）</w:t>
      </w:r>
    </w:p>
    <w:p w14:paraId="6F297563">
      <w:pPr>
        <w:pStyle w:val="17"/>
        <w:kinsoku w:val="0"/>
        <w:overflowPunct w:val="0"/>
        <w:spacing w:before="10"/>
        <w:rPr>
          <w:rFonts w:hAnsi="宋体"/>
          <w:color w:val="auto"/>
          <w:sz w:val="19"/>
          <w:szCs w:val="19"/>
        </w:rPr>
      </w:pPr>
    </w:p>
    <w:p w14:paraId="1391E5B5">
      <w:pPr>
        <w:pStyle w:val="17"/>
        <w:tabs>
          <w:tab w:val="left" w:pos="1502"/>
          <w:tab w:val="left" w:pos="3005"/>
          <w:tab w:val="left" w:pos="4508"/>
        </w:tabs>
        <w:kinsoku w:val="0"/>
        <w:overflowPunct w:val="0"/>
        <w:spacing w:before="1"/>
        <w:ind w:right="153"/>
        <w:jc w:val="center"/>
        <w:rPr>
          <w:rFonts w:hAnsi="宋体"/>
          <w:color w:val="auto"/>
          <w:sz w:val="84"/>
          <w:szCs w:val="84"/>
        </w:rPr>
      </w:pPr>
      <w:r>
        <w:rPr>
          <w:rFonts w:hint="eastAsia" w:hAnsi="宋体"/>
          <w:color w:val="auto"/>
          <w:sz w:val="84"/>
          <w:szCs w:val="84"/>
        </w:rPr>
        <w:t>响</w:t>
      </w:r>
      <w:r>
        <w:rPr>
          <w:rFonts w:hAnsi="宋体"/>
          <w:color w:val="auto"/>
          <w:sz w:val="84"/>
          <w:szCs w:val="84"/>
        </w:rPr>
        <w:tab/>
      </w:r>
      <w:r>
        <w:rPr>
          <w:rFonts w:hint="eastAsia" w:hAnsi="宋体"/>
          <w:color w:val="auto"/>
          <w:sz w:val="84"/>
          <w:szCs w:val="84"/>
        </w:rPr>
        <w:t>应</w:t>
      </w:r>
      <w:r>
        <w:rPr>
          <w:rFonts w:hAnsi="宋体"/>
          <w:color w:val="auto"/>
          <w:sz w:val="84"/>
          <w:szCs w:val="84"/>
        </w:rPr>
        <w:tab/>
      </w:r>
      <w:r>
        <w:rPr>
          <w:rFonts w:hint="eastAsia" w:hAnsi="宋体"/>
          <w:color w:val="auto"/>
          <w:sz w:val="84"/>
          <w:szCs w:val="84"/>
        </w:rPr>
        <w:t>文</w:t>
      </w:r>
      <w:r>
        <w:rPr>
          <w:rFonts w:hAnsi="宋体"/>
          <w:color w:val="auto"/>
          <w:sz w:val="84"/>
          <w:szCs w:val="84"/>
        </w:rPr>
        <w:tab/>
      </w:r>
      <w:r>
        <w:rPr>
          <w:rFonts w:hint="eastAsia" w:hAnsi="宋体"/>
          <w:color w:val="auto"/>
          <w:sz w:val="84"/>
          <w:szCs w:val="84"/>
        </w:rPr>
        <w:t>件</w:t>
      </w:r>
    </w:p>
    <w:p w14:paraId="034F96C1">
      <w:pPr>
        <w:pStyle w:val="17"/>
        <w:kinsoku w:val="0"/>
        <w:overflowPunct w:val="0"/>
        <w:rPr>
          <w:rFonts w:hAnsi="宋体"/>
          <w:color w:val="auto"/>
          <w:sz w:val="106"/>
          <w:szCs w:val="106"/>
        </w:rPr>
      </w:pPr>
    </w:p>
    <w:p w14:paraId="7010C1B5">
      <w:pPr>
        <w:pStyle w:val="17"/>
        <w:kinsoku w:val="0"/>
        <w:overflowPunct w:val="0"/>
        <w:spacing w:before="3"/>
        <w:ind w:left="1081"/>
        <w:rPr>
          <w:rFonts w:hAnsi="宋体"/>
          <w:color w:val="auto"/>
          <w:w w:val="110"/>
          <w:sz w:val="32"/>
          <w:szCs w:val="32"/>
        </w:rPr>
      </w:pPr>
      <w:r>
        <w:rPr>
          <w:rFonts w:hint="eastAsia" w:hAnsi="宋体"/>
          <w:color w:val="auto"/>
          <w:w w:val="110"/>
          <w:sz w:val="32"/>
          <w:szCs w:val="32"/>
        </w:rPr>
        <w:t>项目名称</w:t>
      </w:r>
      <w:r>
        <w:rPr>
          <w:rFonts w:hAnsi="宋体"/>
          <w:color w:val="auto"/>
          <w:w w:val="110"/>
          <w:sz w:val="32"/>
          <w:szCs w:val="32"/>
        </w:rPr>
        <w:t>:</w:t>
      </w:r>
    </w:p>
    <w:p w14:paraId="7D52B8EA">
      <w:pPr>
        <w:pStyle w:val="17"/>
        <w:kinsoku w:val="0"/>
        <w:overflowPunct w:val="0"/>
        <w:spacing w:before="3"/>
        <w:ind w:left="1081"/>
        <w:rPr>
          <w:rFonts w:hAnsi="宋体"/>
          <w:color w:val="auto"/>
          <w:w w:val="110"/>
          <w:sz w:val="32"/>
          <w:szCs w:val="32"/>
        </w:rPr>
      </w:pPr>
      <w:r>
        <w:rPr>
          <w:rFonts w:hint="eastAsia" w:hAnsi="宋体"/>
          <w:color w:val="auto"/>
          <w:w w:val="110"/>
          <w:sz w:val="32"/>
          <w:szCs w:val="32"/>
        </w:rPr>
        <w:t>项目编号</w:t>
      </w:r>
      <w:r>
        <w:rPr>
          <w:rFonts w:hint="eastAsia" w:hAnsi="宋体"/>
          <w:color w:val="auto"/>
          <w:w w:val="110"/>
          <w:sz w:val="32"/>
          <w:szCs w:val="32"/>
          <w:lang w:val="en-US" w:eastAsia="zh-CN"/>
        </w:rPr>
        <w:t>/</w:t>
      </w:r>
      <w:r>
        <w:rPr>
          <w:rFonts w:hint="eastAsia" w:hAnsi="宋体"/>
          <w:color w:val="auto"/>
          <w:w w:val="110"/>
          <w:sz w:val="32"/>
          <w:szCs w:val="32"/>
        </w:rPr>
        <w:t>包号：</w:t>
      </w:r>
    </w:p>
    <w:p w14:paraId="043F9515">
      <w:pPr>
        <w:pStyle w:val="17"/>
        <w:kinsoku w:val="0"/>
        <w:overflowPunct w:val="0"/>
        <w:rPr>
          <w:rFonts w:hAnsi="宋体"/>
          <w:color w:val="auto"/>
          <w:sz w:val="36"/>
          <w:szCs w:val="36"/>
        </w:rPr>
      </w:pPr>
    </w:p>
    <w:p w14:paraId="1347731A">
      <w:pPr>
        <w:pStyle w:val="17"/>
        <w:kinsoku w:val="0"/>
        <w:overflowPunct w:val="0"/>
        <w:rPr>
          <w:rFonts w:hAnsi="宋体"/>
          <w:color w:val="auto"/>
          <w:sz w:val="36"/>
          <w:szCs w:val="36"/>
        </w:rPr>
      </w:pPr>
    </w:p>
    <w:p w14:paraId="5569118F">
      <w:pPr>
        <w:pStyle w:val="17"/>
        <w:kinsoku w:val="0"/>
        <w:overflowPunct w:val="0"/>
        <w:rPr>
          <w:rFonts w:hAnsi="宋体"/>
          <w:color w:val="auto"/>
          <w:sz w:val="36"/>
          <w:szCs w:val="36"/>
        </w:rPr>
      </w:pPr>
    </w:p>
    <w:p w14:paraId="65D2CD5C">
      <w:pPr>
        <w:pStyle w:val="17"/>
        <w:kinsoku w:val="0"/>
        <w:overflowPunct w:val="0"/>
        <w:rPr>
          <w:rFonts w:hAnsi="宋体"/>
          <w:color w:val="auto"/>
          <w:sz w:val="36"/>
          <w:szCs w:val="36"/>
        </w:rPr>
      </w:pPr>
    </w:p>
    <w:p w14:paraId="7361D25B">
      <w:pPr>
        <w:pStyle w:val="17"/>
        <w:kinsoku w:val="0"/>
        <w:overflowPunct w:val="0"/>
        <w:rPr>
          <w:rFonts w:hAnsi="宋体"/>
          <w:color w:val="auto"/>
          <w:sz w:val="36"/>
          <w:szCs w:val="36"/>
        </w:rPr>
      </w:pPr>
    </w:p>
    <w:p w14:paraId="16AAC189">
      <w:pPr>
        <w:pStyle w:val="17"/>
        <w:kinsoku w:val="0"/>
        <w:overflowPunct w:val="0"/>
        <w:spacing w:before="1"/>
        <w:rPr>
          <w:rFonts w:hAnsi="宋体"/>
          <w:color w:val="auto"/>
          <w:sz w:val="53"/>
          <w:szCs w:val="53"/>
        </w:rPr>
      </w:pPr>
    </w:p>
    <w:p w14:paraId="50D7EBBF">
      <w:pPr>
        <w:pStyle w:val="17"/>
        <w:kinsoku w:val="0"/>
        <w:overflowPunct w:val="0"/>
        <w:ind w:left="1981"/>
        <w:rPr>
          <w:rFonts w:hAnsi="宋体"/>
          <w:color w:val="auto"/>
          <w:sz w:val="32"/>
          <w:szCs w:val="32"/>
        </w:rPr>
      </w:pPr>
      <w:r>
        <w:rPr>
          <w:rFonts w:hint="eastAsia" w:hAnsi="宋体"/>
          <w:color w:val="auto"/>
          <w:sz w:val="32"/>
          <w:szCs w:val="32"/>
        </w:rPr>
        <w:t>供应商名称：</w:t>
      </w:r>
    </w:p>
    <w:p w14:paraId="7667221C">
      <w:pPr>
        <w:pStyle w:val="17"/>
        <w:kinsoku w:val="0"/>
        <w:overflowPunct w:val="0"/>
        <w:ind w:left="1981"/>
        <w:rPr>
          <w:rFonts w:hAnsi="宋体"/>
          <w:color w:val="auto"/>
          <w:sz w:val="32"/>
          <w:szCs w:val="32"/>
        </w:rPr>
        <w:sectPr>
          <w:pgSz w:w="11910" w:h="16840"/>
          <w:pgMar w:top="1340" w:right="560" w:bottom="1080" w:left="1160" w:header="879" w:footer="879" w:gutter="0"/>
          <w:pgNumType w:fmt="decimal"/>
          <w:cols w:space="720" w:num="1"/>
        </w:sectPr>
      </w:pPr>
    </w:p>
    <w:p w14:paraId="4A94FC46">
      <w:pPr>
        <w:spacing w:line="360" w:lineRule="auto"/>
        <w:outlineLvl w:val="0"/>
        <w:rPr>
          <w:rFonts w:hAnsi="宋体"/>
          <w:color w:val="auto"/>
        </w:rPr>
      </w:pPr>
      <w:bookmarkStart w:id="50" w:name="_Toc149147717"/>
      <w:bookmarkStart w:id="51" w:name="_Toc149147562"/>
      <w:r>
        <w:rPr>
          <w:rFonts w:hint="eastAsia" w:hAnsi="宋体"/>
          <w:color w:val="auto"/>
        </w:rPr>
        <w:t>1</w:t>
      </w:r>
      <w:r>
        <w:rPr>
          <w:rFonts w:hAnsi="宋体"/>
          <w:color w:val="auto"/>
        </w:rPr>
        <w:t xml:space="preserve"> </w:t>
      </w:r>
      <w:r>
        <w:rPr>
          <w:rFonts w:hint="eastAsia" w:hAnsi="宋体"/>
          <w:color w:val="auto"/>
        </w:rPr>
        <w:t>满足《中华人民共和国政府采购法》第二十二条规定</w:t>
      </w:r>
      <w:bookmarkEnd w:id="50"/>
      <w:bookmarkEnd w:id="51"/>
    </w:p>
    <w:p w14:paraId="39F303B5">
      <w:pPr>
        <w:spacing w:line="360" w:lineRule="auto"/>
        <w:outlineLvl w:val="0"/>
        <w:rPr>
          <w:rFonts w:hAnsi="宋体"/>
          <w:color w:val="auto"/>
        </w:rPr>
      </w:pPr>
      <w:bookmarkStart w:id="52" w:name="_Toc149147563"/>
      <w:bookmarkStart w:id="53" w:name="_Toc149147718"/>
      <w:r>
        <w:rPr>
          <w:rFonts w:hint="eastAsia" w:hAnsi="宋体"/>
          <w:color w:val="auto"/>
        </w:rPr>
        <w:t>1</w:t>
      </w:r>
      <w:r>
        <w:rPr>
          <w:rFonts w:hAnsi="宋体"/>
          <w:color w:val="auto"/>
        </w:rPr>
        <w:t>-1</w:t>
      </w:r>
      <w:r>
        <w:rPr>
          <w:rFonts w:hint="eastAsia" w:hAnsi="宋体"/>
          <w:color w:val="auto"/>
        </w:rPr>
        <w:t>营业执照等证明文件</w:t>
      </w:r>
      <w:bookmarkEnd w:id="52"/>
      <w:bookmarkEnd w:id="53"/>
    </w:p>
    <w:p w14:paraId="73FF82C1">
      <w:pPr>
        <w:pStyle w:val="69"/>
        <w:numPr>
          <w:ilvl w:val="1"/>
          <w:numId w:val="14"/>
        </w:numPr>
        <w:tabs>
          <w:tab w:val="left" w:pos="1053"/>
        </w:tabs>
        <w:kinsoku w:val="0"/>
        <w:overflowPunct w:val="0"/>
        <w:spacing w:before="159"/>
        <w:rPr>
          <w:rFonts w:hAnsi="宋体"/>
          <w:color w:val="auto"/>
        </w:rPr>
        <w:sectPr>
          <w:pgSz w:w="11910" w:h="16840"/>
          <w:pgMar w:top="1340" w:right="560" w:bottom="1080" w:left="1160" w:header="879" w:footer="879" w:gutter="0"/>
          <w:pgNumType w:fmt="decimal"/>
          <w:cols w:space="720" w:num="1"/>
        </w:sectPr>
      </w:pPr>
    </w:p>
    <w:p w14:paraId="60AA2922">
      <w:pPr>
        <w:spacing w:line="360" w:lineRule="auto"/>
        <w:outlineLvl w:val="0"/>
        <w:rPr>
          <w:rFonts w:hAnsi="宋体"/>
          <w:color w:val="auto"/>
        </w:rPr>
      </w:pPr>
      <w:bookmarkStart w:id="54" w:name="_Toc149147719"/>
      <w:bookmarkStart w:id="55" w:name="_Toc149147564"/>
      <w:r>
        <w:rPr>
          <w:rFonts w:hint="eastAsia" w:hAnsi="宋体"/>
          <w:color w:val="auto"/>
        </w:rPr>
        <w:t>1</w:t>
      </w:r>
      <w:r>
        <w:rPr>
          <w:rFonts w:hAnsi="宋体"/>
          <w:color w:val="auto"/>
        </w:rPr>
        <w:t>-2</w:t>
      </w:r>
      <w:r>
        <w:rPr>
          <w:rFonts w:hint="eastAsia" w:hAnsi="宋体"/>
          <w:color w:val="auto"/>
        </w:rPr>
        <w:t>供应商资格声明书</w:t>
      </w:r>
      <w:bookmarkEnd w:id="54"/>
      <w:bookmarkEnd w:id="55"/>
    </w:p>
    <w:p w14:paraId="6D869B94">
      <w:pPr>
        <w:pStyle w:val="17"/>
        <w:rPr>
          <w:rFonts w:hAnsi="宋体"/>
          <w:color w:val="auto"/>
        </w:rPr>
      </w:pPr>
      <w:r>
        <w:rPr>
          <w:rFonts w:hAnsi="宋体"/>
          <w:color w:val="auto"/>
        </w:rPr>
        <w:t xml:space="preserve"> </w:t>
      </w:r>
      <w:r>
        <w:rPr>
          <w:rFonts w:hAnsi="宋体"/>
          <w:color w:val="auto"/>
        </w:rPr>
        <w:br w:type="column"/>
      </w:r>
    </w:p>
    <w:p w14:paraId="155A992E">
      <w:pPr>
        <w:pStyle w:val="17"/>
        <w:ind w:firstLine="720" w:firstLineChars="300"/>
        <w:rPr>
          <w:rFonts w:hAnsi="宋体"/>
          <w:color w:val="auto"/>
          <w:sz w:val="22"/>
          <w:szCs w:val="22"/>
        </w:rPr>
      </w:pPr>
      <w:r>
        <w:rPr>
          <w:rFonts w:hint="eastAsia" w:hAnsi="宋体"/>
          <w:color w:val="auto"/>
        </w:rPr>
        <w:t>供应商资格声明书</w:t>
      </w:r>
    </w:p>
    <w:p w14:paraId="3FF24D3E">
      <w:pPr>
        <w:pStyle w:val="2"/>
        <w:kinsoku w:val="0"/>
        <w:overflowPunct w:val="0"/>
        <w:spacing w:before="0"/>
        <w:ind w:left="541"/>
        <w:jc w:val="left"/>
        <w:rPr>
          <w:rFonts w:hAnsi="宋体"/>
          <w:color w:val="auto"/>
        </w:rPr>
        <w:sectPr>
          <w:pgSz w:w="11910" w:h="16840"/>
          <w:pgMar w:top="1340" w:right="560" w:bottom="1080" w:left="1160" w:header="879" w:footer="879" w:gutter="0"/>
          <w:pgNumType w:fmt="decimal"/>
          <w:cols w:equalWidth="0" w:num="2">
            <w:col w:w="3013" w:space="78"/>
            <w:col w:w="7099"/>
          </w:cols>
        </w:sectPr>
      </w:pPr>
    </w:p>
    <w:p w14:paraId="71788BA1">
      <w:pPr>
        <w:pStyle w:val="17"/>
        <w:kinsoku w:val="0"/>
        <w:overflowPunct w:val="0"/>
        <w:spacing w:before="12"/>
        <w:rPr>
          <w:rFonts w:hAnsi="宋体"/>
          <w:color w:val="auto"/>
          <w:sz w:val="27"/>
          <w:szCs w:val="27"/>
        </w:rPr>
      </w:pPr>
    </w:p>
    <w:p w14:paraId="2C25A71C">
      <w:pPr>
        <w:pStyle w:val="17"/>
        <w:kinsoku w:val="0"/>
        <w:overflowPunct w:val="0"/>
        <w:spacing w:before="66"/>
        <w:ind w:left="541"/>
        <w:rPr>
          <w:rFonts w:hint="default" w:hAnsi="宋体" w:eastAsia="宋体"/>
          <w:color w:val="auto"/>
          <w:lang w:val="en-US" w:eastAsia="zh-CN"/>
        </w:rPr>
      </w:pPr>
      <w:r>
        <w:rPr>
          <w:rFonts w:hint="eastAsia" w:hAnsi="宋体"/>
          <w:color w:val="auto"/>
        </w:rPr>
        <w:t>致：</w:t>
      </w:r>
      <w:r>
        <w:rPr>
          <w:rFonts w:hint="eastAsia" w:hAnsi="宋体"/>
          <w:color w:val="auto"/>
          <w:u w:val="single" w:color="000000"/>
          <w:lang w:val="en-US" w:eastAsia="zh-CN"/>
        </w:rPr>
        <w:t>北京北咨招标有限公司</w:t>
      </w:r>
    </w:p>
    <w:p w14:paraId="14666A4C">
      <w:pPr>
        <w:pStyle w:val="17"/>
        <w:kinsoku w:val="0"/>
        <w:overflowPunct w:val="0"/>
        <w:spacing w:before="161"/>
        <w:ind w:left="1021"/>
        <w:rPr>
          <w:rFonts w:hAnsi="宋体"/>
          <w:color w:val="auto"/>
        </w:rPr>
      </w:pPr>
      <w:r>
        <w:rPr>
          <w:rFonts w:hint="eastAsia" w:hAnsi="宋体"/>
          <w:color w:val="auto"/>
        </w:rPr>
        <w:t>在参与本次项目磋商中，我单位承诺：</w:t>
      </w:r>
    </w:p>
    <w:p w14:paraId="191EC299">
      <w:pPr>
        <w:pStyle w:val="17"/>
        <w:kinsoku w:val="0"/>
        <w:overflowPunct w:val="0"/>
        <w:spacing w:before="158"/>
        <w:ind w:left="954"/>
        <w:rPr>
          <w:rFonts w:hAnsi="宋体"/>
          <w:color w:val="auto"/>
        </w:rPr>
      </w:pPr>
      <w:r>
        <w:rPr>
          <w:rFonts w:hint="eastAsia" w:hAnsi="宋体"/>
          <w:color w:val="auto"/>
        </w:rPr>
        <w:t>（一）具有良好的商业信誉和健全的财务会计制度；</w:t>
      </w:r>
    </w:p>
    <w:p w14:paraId="64C121F9">
      <w:pPr>
        <w:pStyle w:val="17"/>
        <w:kinsoku w:val="0"/>
        <w:overflowPunct w:val="0"/>
        <w:spacing w:before="158"/>
        <w:ind w:left="954"/>
        <w:rPr>
          <w:rFonts w:hAnsi="宋体"/>
          <w:color w:val="auto"/>
        </w:rPr>
      </w:pPr>
      <w:r>
        <w:rPr>
          <w:rFonts w:hint="eastAsia" w:hAnsi="宋体"/>
          <w:color w:val="auto"/>
        </w:rPr>
        <w:t>（二）具有履行合同所必需的设备和专业技术能力；</w:t>
      </w:r>
    </w:p>
    <w:p w14:paraId="1804083F">
      <w:pPr>
        <w:pStyle w:val="17"/>
        <w:kinsoku w:val="0"/>
        <w:overflowPunct w:val="0"/>
        <w:spacing w:before="160"/>
        <w:ind w:left="954"/>
        <w:rPr>
          <w:rFonts w:hAnsi="宋体"/>
          <w:color w:val="auto"/>
        </w:rPr>
      </w:pPr>
      <w:r>
        <w:rPr>
          <w:rFonts w:hint="eastAsia" w:hAnsi="宋体"/>
          <w:color w:val="auto"/>
        </w:rPr>
        <w:t>（三）有依法缴纳税收和社会保障资金的良好记录；</w:t>
      </w:r>
    </w:p>
    <w:p w14:paraId="3BFFE5D0">
      <w:pPr>
        <w:pStyle w:val="17"/>
        <w:kinsoku w:val="0"/>
        <w:overflowPunct w:val="0"/>
        <w:spacing w:before="158" w:line="364" w:lineRule="auto"/>
        <w:ind w:left="1674" w:right="573" w:hanging="720"/>
        <w:jc w:val="both"/>
        <w:rPr>
          <w:rFonts w:hAnsi="宋体"/>
          <w:color w:val="auto"/>
        </w:rPr>
      </w:pPr>
      <w:r>
        <w:rPr>
          <w:rFonts w:hint="eastAsia" w:hAnsi="宋体"/>
          <w:color w:val="auto"/>
        </w:rPr>
        <w:t>（四）参加政府采购活动前三年内，在经营活动中没有重大违法记录（</w:t>
      </w:r>
      <w:r>
        <w:rPr>
          <w:rFonts w:hint="eastAsia" w:hAnsi="宋体"/>
          <w:color w:val="auto"/>
          <w:spacing w:val="-3"/>
        </w:rPr>
        <w:t>重大违法记</w:t>
      </w:r>
      <w:r>
        <w:rPr>
          <w:rFonts w:hint="eastAsia" w:hAnsi="宋体"/>
          <w:color w:val="auto"/>
          <w:spacing w:val="-1"/>
        </w:rPr>
        <w:t>录指因违法经营受到刑事处罚或者责令停产停业、吊销许可证或者执照、较大数额罚款等行政处罚，不包括因违法经营被禁止在一定期限内参加政府采</w:t>
      </w:r>
      <w:r>
        <w:rPr>
          <w:rFonts w:hint="eastAsia" w:hAnsi="宋体"/>
          <w:color w:val="auto"/>
        </w:rPr>
        <w:t>购活动，但期限已经届满的情形</w:t>
      </w:r>
      <w:r>
        <w:rPr>
          <w:rFonts w:hint="eastAsia" w:hAnsi="宋体"/>
          <w:color w:val="auto"/>
          <w:spacing w:val="-120"/>
        </w:rPr>
        <w:t>）</w:t>
      </w:r>
      <w:r>
        <w:rPr>
          <w:rFonts w:hint="eastAsia" w:hAnsi="宋体"/>
          <w:color w:val="auto"/>
        </w:rPr>
        <w:t>；</w:t>
      </w:r>
    </w:p>
    <w:p w14:paraId="61295335">
      <w:pPr>
        <w:pStyle w:val="17"/>
        <w:kinsoku w:val="0"/>
        <w:overflowPunct w:val="0"/>
        <w:spacing w:line="362" w:lineRule="auto"/>
        <w:ind w:left="1674" w:right="573" w:hanging="720"/>
        <w:rPr>
          <w:rFonts w:hAnsi="宋体"/>
          <w:color w:val="auto"/>
        </w:rPr>
      </w:pPr>
      <w:r>
        <w:rPr>
          <w:rFonts w:hint="eastAsia" w:hAnsi="宋体"/>
          <w:color w:val="auto"/>
        </w:rPr>
        <w:t>（五）</w:t>
      </w:r>
      <w:r>
        <w:rPr>
          <w:rFonts w:hint="eastAsia" w:hAnsi="宋体"/>
          <w:color w:val="auto"/>
          <w:spacing w:val="-1"/>
        </w:rPr>
        <w:t>我单位不属于政府采购法律、行政法规规定的公益一类事业单位、或使用事</w:t>
      </w:r>
      <w:r>
        <w:rPr>
          <w:rFonts w:hint="eastAsia" w:hAnsi="宋体"/>
          <w:color w:val="auto"/>
        </w:rPr>
        <w:t>业编制且由财政拨款保障的群团组织（仅适用于政府购买服务项目</w:t>
      </w:r>
      <w:r>
        <w:rPr>
          <w:rFonts w:hint="eastAsia" w:hAnsi="宋体"/>
          <w:color w:val="auto"/>
          <w:spacing w:val="-120"/>
        </w:rPr>
        <w:t>）</w:t>
      </w:r>
      <w:r>
        <w:rPr>
          <w:rFonts w:hint="eastAsia" w:hAnsi="宋体"/>
          <w:color w:val="auto"/>
        </w:rPr>
        <w:t>；</w:t>
      </w:r>
    </w:p>
    <w:p w14:paraId="2D75E49A">
      <w:pPr>
        <w:pStyle w:val="17"/>
        <w:kinsoku w:val="0"/>
        <w:overflowPunct w:val="0"/>
        <w:spacing w:before="5" w:line="364" w:lineRule="auto"/>
        <w:ind w:left="1674" w:right="573" w:hanging="720"/>
        <w:jc w:val="both"/>
        <w:rPr>
          <w:rFonts w:hAnsi="宋体"/>
          <w:color w:val="auto"/>
        </w:rPr>
      </w:pPr>
      <w:r>
        <w:rPr>
          <w:rFonts w:hint="eastAsia" w:hAnsi="宋体"/>
          <w:color w:val="auto"/>
        </w:rPr>
        <w:t>（六）</w:t>
      </w:r>
      <w:r>
        <w:rPr>
          <w:rFonts w:hint="eastAsia" w:hAnsi="宋体"/>
          <w:color w:val="auto"/>
          <w:spacing w:val="-1"/>
        </w:rPr>
        <w:t>我单位不存在为采购项目提供整体设计、规范编制或者项目管理、监理、检</w:t>
      </w:r>
      <w:r>
        <w:rPr>
          <w:rFonts w:hint="eastAsia" w:hAnsi="宋体"/>
          <w:color w:val="auto"/>
        </w:rPr>
        <w:t>测等服务后，再参加该采购项目的其他采购活动的情形（</w:t>
      </w:r>
      <w:r>
        <w:rPr>
          <w:rFonts w:hint="eastAsia" w:hAnsi="宋体"/>
          <w:color w:val="auto"/>
          <w:spacing w:val="-2"/>
        </w:rPr>
        <w:t>单一来源采购项目</w:t>
      </w:r>
      <w:r>
        <w:rPr>
          <w:rFonts w:hint="eastAsia" w:hAnsi="宋体"/>
          <w:color w:val="auto"/>
        </w:rPr>
        <w:t>除外</w:t>
      </w:r>
      <w:r>
        <w:rPr>
          <w:rFonts w:hint="eastAsia" w:hAnsi="宋体"/>
          <w:color w:val="auto"/>
          <w:spacing w:val="-120"/>
        </w:rPr>
        <w:t>）</w:t>
      </w:r>
      <w:r>
        <w:rPr>
          <w:rFonts w:hint="eastAsia" w:hAnsi="宋体"/>
          <w:color w:val="auto"/>
        </w:rPr>
        <w:t>；</w:t>
      </w:r>
    </w:p>
    <w:p w14:paraId="62786BA4">
      <w:pPr>
        <w:pStyle w:val="17"/>
        <w:kinsoku w:val="0"/>
        <w:overflowPunct w:val="0"/>
        <w:spacing w:line="364" w:lineRule="auto"/>
        <w:ind w:left="1674" w:right="573" w:hanging="720"/>
        <w:jc w:val="both"/>
        <w:rPr>
          <w:rFonts w:hAnsi="宋体"/>
          <w:color w:val="auto"/>
        </w:rPr>
      </w:pPr>
      <w:r>
        <w:rPr>
          <w:rFonts w:hint="eastAsia" w:hAnsi="宋体"/>
          <w:color w:val="auto"/>
        </w:rPr>
        <w:t>（七）与我单位存在</w:t>
      </w:r>
      <w:r>
        <w:rPr>
          <w:rFonts w:hAnsi="宋体" w:cs="Arial"/>
          <w:color w:val="auto"/>
          <w:w w:val="135"/>
        </w:rPr>
        <w:t>“</w:t>
      </w:r>
      <w:r>
        <w:rPr>
          <w:rFonts w:hint="eastAsia" w:hAnsi="宋体"/>
          <w:color w:val="auto"/>
        </w:rPr>
        <w:t>单位负责人为同一人或者存在直接控股、管理关系</w:t>
      </w:r>
      <w:r>
        <w:rPr>
          <w:rFonts w:hAnsi="宋体" w:cs="Arial"/>
          <w:color w:val="auto"/>
          <w:w w:val="135"/>
        </w:rPr>
        <w:t>”</w:t>
      </w:r>
      <w:r>
        <w:rPr>
          <w:rFonts w:hint="eastAsia" w:hAnsi="宋体"/>
          <w:color w:val="auto"/>
          <w:spacing w:val="-4"/>
        </w:rPr>
        <w:t>的其他法</w:t>
      </w:r>
      <w:r>
        <w:rPr>
          <w:rFonts w:hint="eastAsia" w:hAnsi="宋体"/>
          <w:color w:val="auto"/>
        </w:rPr>
        <w:t>人单位信息如下（</w:t>
      </w:r>
      <w:r>
        <w:rPr>
          <w:rFonts w:hint="eastAsia" w:hAnsi="宋体"/>
          <w:color w:val="auto"/>
          <w:spacing w:val="-1"/>
        </w:rPr>
        <w:t>如有，不论其是否参加同一合同项下的政府采购活动均须</w:t>
      </w:r>
      <w:r>
        <w:rPr>
          <w:rFonts w:hint="eastAsia" w:hAnsi="宋体"/>
          <w:color w:val="auto"/>
        </w:rPr>
        <w:t>填写</w:t>
      </w:r>
      <w:r>
        <w:rPr>
          <w:rFonts w:hint="eastAsia" w:hAnsi="宋体"/>
          <w:color w:val="auto"/>
          <w:spacing w:val="-120"/>
        </w:rPr>
        <w:t>）</w:t>
      </w:r>
      <w:r>
        <w:rPr>
          <w:rFonts w:hint="eastAsia" w:hAnsi="宋体"/>
          <w:color w:val="auto"/>
        </w:rPr>
        <w:t>：</w:t>
      </w:r>
    </w:p>
    <w:tbl>
      <w:tblPr>
        <w:tblStyle w:val="43"/>
        <w:tblW w:w="8500" w:type="dxa"/>
        <w:tblInd w:w="832" w:type="dxa"/>
        <w:tblLayout w:type="fixed"/>
        <w:tblCellMar>
          <w:top w:w="0" w:type="dxa"/>
          <w:left w:w="0" w:type="dxa"/>
          <w:bottom w:w="0" w:type="dxa"/>
          <w:right w:w="0" w:type="dxa"/>
        </w:tblCellMar>
      </w:tblPr>
      <w:tblGrid>
        <w:gridCol w:w="950"/>
        <w:gridCol w:w="4574"/>
        <w:gridCol w:w="2976"/>
      </w:tblGrid>
      <w:tr w14:paraId="7F0D222D">
        <w:tblPrEx>
          <w:tblCellMar>
            <w:top w:w="0" w:type="dxa"/>
            <w:left w:w="0" w:type="dxa"/>
            <w:bottom w:w="0" w:type="dxa"/>
            <w:right w:w="0" w:type="dxa"/>
          </w:tblCellMar>
        </w:tblPrEx>
        <w:trPr>
          <w:trHeight w:val="430" w:hRule="atLeast"/>
        </w:trPr>
        <w:tc>
          <w:tcPr>
            <w:tcW w:w="950" w:type="dxa"/>
            <w:tcBorders>
              <w:top w:val="single" w:color="000000" w:sz="4" w:space="0"/>
              <w:left w:val="single" w:color="000000" w:sz="4" w:space="0"/>
              <w:bottom w:val="single" w:color="000000" w:sz="4" w:space="0"/>
              <w:right w:val="single" w:color="000000" w:sz="4" w:space="0"/>
            </w:tcBorders>
          </w:tcPr>
          <w:p w14:paraId="5B854075">
            <w:pPr>
              <w:pStyle w:val="70"/>
              <w:kinsoku w:val="0"/>
              <w:overflowPunct w:val="0"/>
              <w:spacing w:before="57"/>
              <w:ind w:left="215" w:right="205"/>
              <w:jc w:val="center"/>
              <w:rPr>
                <w:rFonts w:hAnsi="宋体"/>
                <w:color w:val="auto"/>
              </w:rPr>
            </w:pPr>
            <w:r>
              <w:rPr>
                <w:rFonts w:hint="eastAsia" w:hAnsi="宋体"/>
                <w:color w:val="auto"/>
              </w:rPr>
              <w:t>序号</w:t>
            </w:r>
          </w:p>
        </w:tc>
        <w:tc>
          <w:tcPr>
            <w:tcW w:w="4574" w:type="dxa"/>
            <w:tcBorders>
              <w:top w:val="single" w:color="000000" w:sz="4" w:space="0"/>
              <w:left w:val="single" w:color="000000" w:sz="4" w:space="0"/>
              <w:bottom w:val="single" w:color="000000" w:sz="4" w:space="0"/>
              <w:right w:val="single" w:color="000000" w:sz="4" w:space="0"/>
            </w:tcBorders>
          </w:tcPr>
          <w:p w14:paraId="567B6E86">
            <w:pPr>
              <w:pStyle w:val="70"/>
              <w:kinsoku w:val="0"/>
              <w:overflowPunct w:val="0"/>
              <w:spacing w:before="57"/>
              <w:ind w:left="1787" w:right="1776"/>
              <w:jc w:val="center"/>
              <w:rPr>
                <w:rFonts w:hAnsi="宋体"/>
                <w:color w:val="auto"/>
              </w:rPr>
            </w:pPr>
            <w:r>
              <w:rPr>
                <w:rFonts w:hint="eastAsia" w:hAnsi="宋体"/>
                <w:color w:val="auto"/>
              </w:rPr>
              <w:t>单位名称</w:t>
            </w:r>
          </w:p>
        </w:tc>
        <w:tc>
          <w:tcPr>
            <w:tcW w:w="2976" w:type="dxa"/>
            <w:tcBorders>
              <w:top w:val="single" w:color="000000" w:sz="4" w:space="0"/>
              <w:left w:val="single" w:color="000000" w:sz="4" w:space="0"/>
              <w:bottom w:val="single" w:color="000000" w:sz="4" w:space="0"/>
              <w:right w:val="single" w:color="000000" w:sz="4" w:space="0"/>
            </w:tcBorders>
          </w:tcPr>
          <w:p w14:paraId="66E8A78C">
            <w:pPr>
              <w:pStyle w:val="70"/>
              <w:kinsoku w:val="0"/>
              <w:overflowPunct w:val="0"/>
              <w:spacing w:before="57"/>
              <w:ind w:left="988" w:right="977"/>
              <w:jc w:val="center"/>
              <w:rPr>
                <w:rFonts w:hAnsi="宋体"/>
                <w:color w:val="auto"/>
              </w:rPr>
            </w:pPr>
            <w:r>
              <w:rPr>
                <w:rFonts w:hint="eastAsia" w:hAnsi="宋体"/>
                <w:color w:val="auto"/>
              </w:rPr>
              <w:t>相互关系</w:t>
            </w:r>
          </w:p>
        </w:tc>
      </w:tr>
      <w:tr w14:paraId="313DC08C">
        <w:tblPrEx>
          <w:tblCellMar>
            <w:top w:w="0" w:type="dxa"/>
            <w:left w:w="0" w:type="dxa"/>
            <w:bottom w:w="0" w:type="dxa"/>
            <w:right w:w="0" w:type="dxa"/>
          </w:tblCellMar>
        </w:tblPrEx>
        <w:trPr>
          <w:trHeight w:val="429" w:hRule="atLeast"/>
        </w:trPr>
        <w:tc>
          <w:tcPr>
            <w:tcW w:w="950" w:type="dxa"/>
            <w:tcBorders>
              <w:top w:val="single" w:color="000000" w:sz="4" w:space="0"/>
              <w:left w:val="single" w:color="000000" w:sz="4" w:space="0"/>
              <w:bottom w:val="single" w:color="000000" w:sz="4" w:space="0"/>
              <w:right w:val="single" w:color="000000" w:sz="4" w:space="0"/>
            </w:tcBorders>
          </w:tcPr>
          <w:p w14:paraId="45F5A4A6">
            <w:pPr>
              <w:pStyle w:val="70"/>
              <w:kinsoku w:val="0"/>
              <w:overflowPunct w:val="0"/>
              <w:spacing w:before="66"/>
              <w:ind w:left="9"/>
              <w:jc w:val="center"/>
              <w:rPr>
                <w:rFonts w:hAnsi="宋体" w:cs="Arial"/>
                <w:color w:val="auto"/>
                <w:w w:val="114"/>
              </w:rPr>
            </w:pPr>
            <w:r>
              <w:rPr>
                <w:rFonts w:hAnsi="宋体" w:cs="Arial"/>
                <w:color w:val="auto"/>
                <w:w w:val="114"/>
              </w:rPr>
              <w:t>1</w:t>
            </w:r>
          </w:p>
        </w:tc>
        <w:tc>
          <w:tcPr>
            <w:tcW w:w="4574" w:type="dxa"/>
            <w:tcBorders>
              <w:top w:val="single" w:color="000000" w:sz="4" w:space="0"/>
              <w:left w:val="single" w:color="000000" w:sz="4" w:space="0"/>
              <w:bottom w:val="single" w:color="000000" w:sz="4" w:space="0"/>
              <w:right w:val="single" w:color="000000" w:sz="4" w:space="0"/>
            </w:tcBorders>
          </w:tcPr>
          <w:p w14:paraId="35F9E169">
            <w:pPr>
              <w:pStyle w:val="70"/>
              <w:kinsoku w:val="0"/>
              <w:overflowPunct w:val="0"/>
              <w:rPr>
                <w:rFonts w:hAnsi="宋体" w:cs="Times New Roman"/>
                <w:color w:val="auto"/>
                <w:sz w:val="22"/>
                <w:szCs w:val="22"/>
              </w:rPr>
            </w:pPr>
          </w:p>
        </w:tc>
        <w:tc>
          <w:tcPr>
            <w:tcW w:w="2976" w:type="dxa"/>
            <w:tcBorders>
              <w:top w:val="single" w:color="000000" w:sz="4" w:space="0"/>
              <w:left w:val="single" w:color="000000" w:sz="4" w:space="0"/>
              <w:bottom w:val="single" w:color="000000" w:sz="4" w:space="0"/>
              <w:right w:val="single" w:color="000000" w:sz="4" w:space="0"/>
            </w:tcBorders>
          </w:tcPr>
          <w:p w14:paraId="70E10B89">
            <w:pPr>
              <w:pStyle w:val="70"/>
              <w:kinsoku w:val="0"/>
              <w:overflowPunct w:val="0"/>
              <w:rPr>
                <w:rFonts w:hAnsi="宋体" w:cs="Times New Roman"/>
                <w:color w:val="auto"/>
                <w:sz w:val="22"/>
                <w:szCs w:val="22"/>
              </w:rPr>
            </w:pPr>
          </w:p>
        </w:tc>
      </w:tr>
      <w:tr w14:paraId="48D49B23">
        <w:tblPrEx>
          <w:tblCellMar>
            <w:top w:w="0" w:type="dxa"/>
            <w:left w:w="0" w:type="dxa"/>
            <w:bottom w:w="0" w:type="dxa"/>
            <w:right w:w="0" w:type="dxa"/>
          </w:tblCellMar>
        </w:tblPrEx>
        <w:trPr>
          <w:trHeight w:val="430" w:hRule="atLeast"/>
        </w:trPr>
        <w:tc>
          <w:tcPr>
            <w:tcW w:w="950" w:type="dxa"/>
            <w:tcBorders>
              <w:top w:val="single" w:color="000000" w:sz="4" w:space="0"/>
              <w:left w:val="single" w:color="000000" w:sz="4" w:space="0"/>
              <w:bottom w:val="single" w:color="000000" w:sz="4" w:space="0"/>
              <w:right w:val="single" w:color="000000" w:sz="4" w:space="0"/>
            </w:tcBorders>
          </w:tcPr>
          <w:p w14:paraId="174C404A">
            <w:pPr>
              <w:pStyle w:val="70"/>
              <w:kinsoku w:val="0"/>
              <w:overflowPunct w:val="0"/>
              <w:spacing w:before="67"/>
              <w:ind w:left="9"/>
              <w:jc w:val="center"/>
              <w:rPr>
                <w:rFonts w:hAnsi="宋体" w:cs="Arial"/>
                <w:color w:val="auto"/>
                <w:w w:val="114"/>
              </w:rPr>
            </w:pPr>
            <w:r>
              <w:rPr>
                <w:rFonts w:hAnsi="宋体" w:cs="Arial"/>
                <w:color w:val="auto"/>
                <w:w w:val="114"/>
              </w:rPr>
              <w:t>2</w:t>
            </w:r>
          </w:p>
        </w:tc>
        <w:tc>
          <w:tcPr>
            <w:tcW w:w="4574" w:type="dxa"/>
            <w:tcBorders>
              <w:top w:val="single" w:color="000000" w:sz="4" w:space="0"/>
              <w:left w:val="single" w:color="000000" w:sz="4" w:space="0"/>
              <w:bottom w:val="single" w:color="000000" w:sz="4" w:space="0"/>
              <w:right w:val="single" w:color="000000" w:sz="4" w:space="0"/>
            </w:tcBorders>
          </w:tcPr>
          <w:p w14:paraId="52989949">
            <w:pPr>
              <w:pStyle w:val="70"/>
              <w:kinsoku w:val="0"/>
              <w:overflowPunct w:val="0"/>
              <w:rPr>
                <w:rFonts w:hAnsi="宋体" w:cs="Times New Roman"/>
                <w:color w:val="auto"/>
                <w:sz w:val="22"/>
                <w:szCs w:val="22"/>
              </w:rPr>
            </w:pPr>
          </w:p>
        </w:tc>
        <w:tc>
          <w:tcPr>
            <w:tcW w:w="2976" w:type="dxa"/>
            <w:tcBorders>
              <w:top w:val="single" w:color="000000" w:sz="4" w:space="0"/>
              <w:left w:val="single" w:color="000000" w:sz="4" w:space="0"/>
              <w:bottom w:val="single" w:color="000000" w:sz="4" w:space="0"/>
              <w:right w:val="single" w:color="000000" w:sz="4" w:space="0"/>
            </w:tcBorders>
          </w:tcPr>
          <w:p w14:paraId="3D483709">
            <w:pPr>
              <w:pStyle w:val="70"/>
              <w:kinsoku w:val="0"/>
              <w:overflowPunct w:val="0"/>
              <w:rPr>
                <w:rFonts w:hAnsi="宋体" w:cs="Times New Roman"/>
                <w:color w:val="auto"/>
                <w:sz w:val="22"/>
                <w:szCs w:val="22"/>
              </w:rPr>
            </w:pPr>
          </w:p>
        </w:tc>
      </w:tr>
      <w:tr w14:paraId="493B4814">
        <w:tblPrEx>
          <w:tblCellMar>
            <w:top w:w="0" w:type="dxa"/>
            <w:left w:w="0" w:type="dxa"/>
            <w:bottom w:w="0" w:type="dxa"/>
            <w:right w:w="0" w:type="dxa"/>
          </w:tblCellMar>
        </w:tblPrEx>
        <w:trPr>
          <w:trHeight w:val="430" w:hRule="atLeast"/>
        </w:trPr>
        <w:tc>
          <w:tcPr>
            <w:tcW w:w="950" w:type="dxa"/>
            <w:tcBorders>
              <w:top w:val="single" w:color="000000" w:sz="4" w:space="0"/>
              <w:left w:val="single" w:color="000000" w:sz="4" w:space="0"/>
              <w:bottom w:val="single" w:color="000000" w:sz="4" w:space="0"/>
              <w:right w:val="single" w:color="000000" w:sz="4" w:space="0"/>
            </w:tcBorders>
          </w:tcPr>
          <w:p w14:paraId="6BA72B70">
            <w:pPr>
              <w:pStyle w:val="70"/>
              <w:kinsoku w:val="0"/>
              <w:overflowPunct w:val="0"/>
              <w:spacing w:before="67"/>
              <w:ind w:left="10"/>
              <w:jc w:val="center"/>
              <w:rPr>
                <w:rFonts w:hAnsi="宋体" w:cs="Arial"/>
                <w:color w:val="auto"/>
              </w:rPr>
            </w:pPr>
            <w:r>
              <w:rPr>
                <w:rFonts w:hAnsi="宋体" w:cs="Arial"/>
                <w:color w:val="auto"/>
              </w:rPr>
              <w:t>…</w:t>
            </w:r>
          </w:p>
        </w:tc>
        <w:tc>
          <w:tcPr>
            <w:tcW w:w="4574" w:type="dxa"/>
            <w:tcBorders>
              <w:top w:val="single" w:color="000000" w:sz="4" w:space="0"/>
              <w:left w:val="single" w:color="000000" w:sz="4" w:space="0"/>
              <w:bottom w:val="single" w:color="000000" w:sz="4" w:space="0"/>
              <w:right w:val="single" w:color="000000" w:sz="4" w:space="0"/>
            </w:tcBorders>
          </w:tcPr>
          <w:p w14:paraId="3E645554">
            <w:pPr>
              <w:pStyle w:val="70"/>
              <w:kinsoku w:val="0"/>
              <w:overflowPunct w:val="0"/>
              <w:rPr>
                <w:rFonts w:hAnsi="宋体" w:cs="Times New Roman"/>
                <w:color w:val="auto"/>
                <w:sz w:val="22"/>
                <w:szCs w:val="22"/>
              </w:rPr>
            </w:pPr>
          </w:p>
        </w:tc>
        <w:tc>
          <w:tcPr>
            <w:tcW w:w="2976" w:type="dxa"/>
            <w:tcBorders>
              <w:top w:val="single" w:color="000000" w:sz="4" w:space="0"/>
              <w:left w:val="single" w:color="000000" w:sz="4" w:space="0"/>
              <w:bottom w:val="single" w:color="000000" w:sz="4" w:space="0"/>
              <w:right w:val="single" w:color="000000" w:sz="4" w:space="0"/>
            </w:tcBorders>
          </w:tcPr>
          <w:p w14:paraId="4AF96FCD">
            <w:pPr>
              <w:pStyle w:val="70"/>
              <w:kinsoku w:val="0"/>
              <w:overflowPunct w:val="0"/>
              <w:rPr>
                <w:rFonts w:hAnsi="宋体" w:cs="Times New Roman"/>
                <w:color w:val="auto"/>
                <w:sz w:val="22"/>
                <w:szCs w:val="22"/>
              </w:rPr>
            </w:pPr>
          </w:p>
        </w:tc>
      </w:tr>
    </w:tbl>
    <w:p w14:paraId="7D75C81B">
      <w:pPr>
        <w:pStyle w:val="17"/>
        <w:kinsoku w:val="0"/>
        <w:overflowPunct w:val="0"/>
        <w:spacing w:before="10"/>
        <w:rPr>
          <w:rFonts w:hAnsi="宋体"/>
          <w:color w:val="auto"/>
          <w:sz w:val="18"/>
          <w:szCs w:val="18"/>
        </w:rPr>
      </w:pPr>
    </w:p>
    <w:p w14:paraId="2DD47F25">
      <w:pPr>
        <w:pStyle w:val="17"/>
        <w:kinsoku w:val="0"/>
        <w:overflowPunct w:val="0"/>
        <w:ind w:left="1021"/>
        <w:rPr>
          <w:rFonts w:hAnsi="宋体"/>
          <w:color w:val="auto"/>
        </w:rPr>
      </w:pPr>
      <w:r>
        <w:rPr>
          <w:rFonts w:hint="eastAsia" w:hAnsi="宋体"/>
          <w:color w:val="auto"/>
        </w:rPr>
        <w:t>上述声明真实有效，否则我方负全部责任。</w:t>
      </w:r>
    </w:p>
    <w:p w14:paraId="33C71A5E">
      <w:pPr>
        <w:pStyle w:val="17"/>
        <w:kinsoku w:val="0"/>
        <w:overflowPunct w:val="0"/>
        <w:rPr>
          <w:rFonts w:hAnsi="宋体"/>
          <w:color w:val="auto"/>
          <w:sz w:val="35"/>
          <w:szCs w:val="35"/>
        </w:rPr>
      </w:pPr>
    </w:p>
    <w:p w14:paraId="1DBDB27C">
      <w:pPr>
        <w:pStyle w:val="17"/>
        <w:tabs>
          <w:tab w:val="left" w:pos="7573"/>
          <w:tab w:val="left" w:pos="8293"/>
          <w:tab w:val="left" w:pos="9013"/>
          <w:tab w:val="left" w:pos="9306"/>
        </w:tabs>
        <w:kinsoku w:val="0"/>
        <w:overflowPunct w:val="0"/>
        <w:spacing w:line="384" w:lineRule="auto"/>
        <w:ind w:left="6373" w:right="878" w:hanging="600"/>
        <w:rPr>
          <w:rFonts w:hAnsi="宋体"/>
          <w:color w:val="auto"/>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ab/>
      </w:r>
      <w:r>
        <w:rPr>
          <w:rFonts w:hAnsi="宋体" w:cs="Times New Roman"/>
          <w:color w:val="auto"/>
          <w:u w:val="single" w:color="000000"/>
        </w:rPr>
        <w:t xml:space="preserve"> </w:t>
      </w: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5E32DF78">
      <w:pPr>
        <w:pStyle w:val="17"/>
        <w:kinsoku w:val="0"/>
        <w:overflowPunct w:val="0"/>
        <w:spacing w:line="281" w:lineRule="exact"/>
        <w:ind w:left="541"/>
        <w:rPr>
          <w:rFonts w:hAnsi="宋体"/>
          <w:color w:val="auto"/>
        </w:rPr>
      </w:pPr>
      <w:r>
        <w:rPr>
          <w:rFonts w:hint="eastAsia" w:hAnsi="宋体"/>
          <w:color w:val="auto"/>
        </w:rPr>
        <w:t>说明：供应商承诺不实的，依据《政府采购法》第七十七条</w:t>
      </w:r>
      <w:r>
        <w:rPr>
          <w:rFonts w:hAnsi="宋体" w:cs="Arial"/>
          <w:color w:val="auto"/>
          <w:w w:val="135"/>
        </w:rPr>
        <w:t>“</w:t>
      </w:r>
      <w:r>
        <w:rPr>
          <w:rFonts w:hint="eastAsia" w:hAnsi="宋体"/>
          <w:color w:val="auto"/>
        </w:rPr>
        <w:t>提供虚假材料谋取中标、</w:t>
      </w:r>
    </w:p>
    <w:p w14:paraId="430576EA">
      <w:pPr>
        <w:pStyle w:val="17"/>
        <w:kinsoku w:val="0"/>
        <w:overflowPunct w:val="0"/>
        <w:spacing w:before="161"/>
        <w:ind w:left="541"/>
        <w:rPr>
          <w:rFonts w:hAnsi="宋体"/>
          <w:color w:val="auto"/>
          <w:w w:val="105"/>
        </w:rPr>
      </w:pPr>
      <w:r>
        <w:rPr>
          <w:rFonts w:hint="eastAsia" w:hAnsi="宋体"/>
          <w:color w:val="auto"/>
          <w:w w:val="105"/>
        </w:rPr>
        <w:t>成交的</w:t>
      </w:r>
      <w:r>
        <w:rPr>
          <w:rFonts w:hAnsi="宋体" w:cs="Arial"/>
          <w:color w:val="auto"/>
          <w:w w:val="135"/>
        </w:rPr>
        <w:t>”</w:t>
      </w:r>
      <w:r>
        <w:rPr>
          <w:rFonts w:hint="eastAsia" w:hAnsi="宋体"/>
          <w:color w:val="auto"/>
          <w:w w:val="105"/>
        </w:rPr>
        <w:t>有关规定予以处理。</w:t>
      </w:r>
    </w:p>
    <w:p w14:paraId="66870DAD">
      <w:pPr>
        <w:pStyle w:val="17"/>
        <w:kinsoku w:val="0"/>
        <w:overflowPunct w:val="0"/>
        <w:spacing w:before="161"/>
        <w:ind w:left="541"/>
        <w:rPr>
          <w:rFonts w:hAnsi="宋体"/>
          <w:color w:val="auto"/>
          <w:w w:val="105"/>
        </w:rPr>
        <w:sectPr>
          <w:type w:val="continuous"/>
          <w:pgSz w:w="11910" w:h="16840"/>
          <w:pgMar w:top="1380" w:right="560" w:bottom="280" w:left="1160" w:header="720" w:footer="720" w:gutter="0"/>
          <w:pgNumType w:fmt="decimal"/>
          <w:cols w:equalWidth="0" w:num="1">
            <w:col w:w="10190"/>
          </w:cols>
        </w:sectPr>
      </w:pPr>
    </w:p>
    <w:p w14:paraId="4413744C">
      <w:pPr>
        <w:spacing w:line="360" w:lineRule="auto"/>
        <w:ind w:left="540" w:firstLine="220" w:firstLineChars="100"/>
        <w:outlineLvl w:val="0"/>
        <w:rPr>
          <w:rFonts w:hAnsi="宋体"/>
          <w:color w:val="auto"/>
        </w:rPr>
      </w:pPr>
      <w:bookmarkStart w:id="56" w:name="_Toc149147720"/>
      <w:bookmarkStart w:id="57" w:name="_Toc149147565"/>
      <w:r>
        <w:rPr>
          <w:rFonts w:hint="eastAsia" w:hAnsi="宋体"/>
          <w:color w:val="auto"/>
        </w:rPr>
        <w:t>2</w:t>
      </w:r>
      <w:r>
        <w:rPr>
          <w:rFonts w:hAnsi="宋体"/>
          <w:color w:val="auto"/>
        </w:rPr>
        <w:t xml:space="preserve"> </w:t>
      </w:r>
      <w:r>
        <w:rPr>
          <w:rFonts w:hint="eastAsia" w:hAnsi="宋体"/>
          <w:color w:val="auto"/>
        </w:rPr>
        <w:t>落实政府采购政策需满足的资格要求（如有）</w:t>
      </w:r>
      <w:bookmarkEnd w:id="56"/>
      <w:bookmarkEnd w:id="57"/>
    </w:p>
    <w:p w14:paraId="7C92E5A4">
      <w:pPr>
        <w:spacing w:line="360" w:lineRule="auto"/>
        <w:ind w:left="540" w:firstLine="220" w:firstLineChars="100"/>
        <w:outlineLvl w:val="0"/>
        <w:rPr>
          <w:rFonts w:hAnsi="宋体"/>
          <w:color w:val="auto"/>
        </w:rPr>
      </w:pPr>
      <w:bookmarkStart w:id="58" w:name="_Toc149147566"/>
      <w:bookmarkStart w:id="59" w:name="_Toc149147721"/>
      <w:r>
        <w:rPr>
          <w:rFonts w:hint="eastAsia" w:hAnsi="宋体"/>
          <w:color w:val="auto"/>
        </w:rPr>
        <w:t>2</w:t>
      </w:r>
      <w:r>
        <w:rPr>
          <w:rFonts w:hAnsi="宋体"/>
          <w:color w:val="auto"/>
        </w:rPr>
        <w:t xml:space="preserve">-1 </w:t>
      </w:r>
      <w:r>
        <w:rPr>
          <w:rFonts w:hint="eastAsia" w:hAnsi="宋体"/>
          <w:color w:val="auto"/>
        </w:rPr>
        <w:t>中小企业证明文件说明：</w:t>
      </w:r>
      <w:bookmarkEnd w:id="58"/>
      <w:bookmarkEnd w:id="59"/>
    </w:p>
    <w:p w14:paraId="4EC4D366">
      <w:pPr>
        <w:pStyle w:val="69"/>
        <w:numPr>
          <w:ilvl w:val="0"/>
          <w:numId w:val="15"/>
        </w:numPr>
        <w:tabs>
          <w:tab w:val="left" w:pos="1177"/>
        </w:tabs>
        <w:kinsoku w:val="0"/>
        <w:overflowPunct w:val="0"/>
        <w:spacing w:before="1" w:line="364" w:lineRule="auto"/>
        <w:ind w:right="570" w:firstLine="0"/>
        <w:jc w:val="both"/>
        <w:rPr>
          <w:rFonts w:hAnsi="宋体"/>
          <w:color w:val="auto"/>
        </w:rPr>
      </w:pPr>
      <w:r>
        <w:rPr>
          <w:rFonts w:hint="eastAsia" w:hAnsi="宋体"/>
          <w:color w:val="auto"/>
        </w:rPr>
        <w:t>如本项目（包）不专门面向中小企业预留采购份额，供应商无须提供《中小企业</w:t>
      </w:r>
      <w:r>
        <w:rPr>
          <w:rFonts w:hint="eastAsia" w:hAnsi="宋体"/>
          <w:color w:val="auto"/>
          <w:spacing w:val="-7"/>
        </w:rPr>
        <w:t>声明函》或《残疾人福利性单位声明函》或由省级以上监狱管理局、戒毒管理局</w:t>
      </w:r>
      <w:r>
        <w:rPr>
          <w:rFonts w:hint="eastAsia" w:hAnsi="宋体"/>
          <w:color w:val="auto"/>
          <w:spacing w:val="-3"/>
        </w:rPr>
        <w:t>（</w:t>
      </w:r>
      <w:r>
        <w:rPr>
          <w:rFonts w:hint="eastAsia" w:hAnsi="宋体"/>
          <w:color w:val="auto"/>
          <w:spacing w:val="-7"/>
        </w:rPr>
        <w:t>含新</w:t>
      </w:r>
      <w:r>
        <w:rPr>
          <w:rFonts w:hint="eastAsia" w:hAnsi="宋体"/>
          <w:color w:val="auto"/>
        </w:rPr>
        <w:t>疆生产建设兵团</w:t>
      </w:r>
      <w:r>
        <w:rPr>
          <w:rFonts w:hint="eastAsia" w:hAnsi="宋体"/>
          <w:color w:val="auto"/>
          <w:spacing w:val="-24"/>
        </w:rPr>
        <w:t>）</w:t>
      </w:r>
      <w:r>
        <w:rPr>
          <w:rFonts w:hint="eastAsia" w:hAnsi="宋体"/>
          <w:color w:val="auto"/>
          <w:spacing w:val="-3"/>
        </w:rPr>
        <w:t>出具的属于监狱企业的证明文件；当供应商拟享受中小企业扶持政策</w:t>
      </w:r>
      <w:r>
        <w:rPr>
          <w:rFonts w:hint="eastAsia" w:hAnsi="宋体"/>
          <w:color w:val="auto"/>
        </w:rPr>
        <w:t>时，仍应提供上述证明文件，否则不享受相关中小企业扶持政策。</w:t>
      </w:r>
    </w:p>
    <w:p w14:paraId="1D83EB5C">
      <w:pPr>
        <w:pStyle w:val="69"/>
        <w:numPr>
          <w:ilvl w:val="0"/>
          <w:numId w:val="15"/>
        </w:numPr>
        <w:tabs>
          <w:tab w:val="left" w:pos="1177"/>
        </w:tabs>
        <w:kinsoku w:val="0"/>
        <w:overflowPunct w:val="0"/>
        <w:spacing w:line="364" w:lineRule="auto"/>
        <w:ind w:right="570" w:firstLine="0"/>
        <w:jc w:val="both"/>
        <w:rPr>
          <w:rFonts w:hAnsi="宋体"/>
          <w:color w:val="auto"/>
        </w:rPr>
      </w:pPr>
      <w:r>
        <w:rPr>
          <w:rFonts w:hint="eastAsia" w:hAnsi="宋体"/>
          <w:color w:val="auto"/>
        </w:rPr>
        <w:t>如本项目（包）专门面向中小企业采购，响应文件中须提供《中小企业声明函》</w:t>
      </w:r>
      <w:r>
        <w:rPr>
          <w:rFonts w:hint="eastAsia" w:hAnsi="宋体"/>
          <w:color w:val="auto"/>
          <w:spacing w:val="-9"/>
        </w:rPr>
        <w:t>或《残疾人福利性单位声明函》，或提供由省级以上监狱管理局、戒毒管理局</w:t>
      </w:r>
      <w:r>
        <w:rPr>
          <w:rFonts w:hint="eastAsia" w:hAnsi="宋体"/>
          <w:color w:val="auto"/>
        </w:rPr>
        <w:t>（含新疆生产建设兵团）出具的属于监狱企业的证明文件。</w:t>
      </w:r>
    </w:p>
    <w:p w14:paraId="27205BB2">
      <w:pPr>
        <w:pStyle w:val="69"/>
        <w:numPr>
          <w:ilvl w:val="0"/>
          <w:numId w:val="15"/>
        </w:numPr>
        <w:tabs>
          <w:tab w:val="left" w:pos="1177"/>
        </w:tabs>
        <w:kinsoku w:val="0"/>
        <w:overflowPunct w:val="0"/>
        <w:spacing w:line="364" w:lineRule="auto"/>
        <w:ind w:right="570" w:firstLine="0"/>
        <w:jc w:val="both"/>
        <w:rPr>
          <w:rFonts w:hAnsi="宋体"/>
          <w:color w:val="auto"/>
        </w:rPr>
      </w:pPr>
      <w:r>
        <w:rPr>
          <w:rFonts w:hint="eastAsia" w:hAnsi="宋体"/>
          <w:color w:val="auto"/>
        </w:rPr>
        <w:t>如本项目（包）预留部分采购项目预算专门面向中小企业采购，且要求获得采购</w:t>
      </w:r>
      <w:r>
        <w:rPr>
          <w:rFonts w:hint="eastAsia" w:hAnsi="宋体"/>
          <w:color w:val="auto"/>
          <w:spacing w:val="3"/>
        </w:rPr>
        <w:t>合同的供应商将采购项目中的一定比例分包给一家或者多家中小企业或要求供应商以</w:t>
      </w:r>
      <w:r>
        <w:rPr>
          <w:rFonts w:hint="eastAsia" w:hAnsi="宋体"/>
          <w:color w:val="auto"/>
          <w:spacing w:val="-4"/>
        </w:rPr>
        <w:t>联合体形式参加采购活动，响应文件中须提供《中小企业声明函》或《残疾人福利性单</w:t>
      </w:r>
      <w:r>
        <w:rPr>
          <w:rFonts w:hint="eastAsia" w:hAnsi="宋体"/>
          <w:color w:val="auto"/>
          <w:spacing w:val="-5"/>
        </w:rPr>
        <w:t>位声明函》或由省级以上监狱管理局、戒毒管理局</w:t>
      </w:r>
      <w:r>
        <w:rPr>
          <w:rFonts w:hint="eastAsia" w:hAnsi="宋体"/>
          <w:color w:val="auto"/>
        </w:rPr>
        <w:t>（含新疆生产建设兵团</w:t>
      </w:r>
      <w:r>
        <w:rPr>
          <w:rFonts w:hint="eastAsia" w:hAnsi="宋体"/>
          <w:color w:val="auto"/>
          <w:spacing w:val="-12"/>
        </w:rPr>
        <w:t>）</w:t>
      </w:r>
      <w:r>
        <w:rPr>
          <w:rFonts w:hint="eastAsia" w:hAnsi="宋体"/>
          <w:color w:val="auto"/>
          <w:spacing w:val="-4"/>
        </w:rPr>
        <w:t>出具的属于</w:t>
      </w:r>
      <w:r>
        <w:rPr>
          <w:rFonts w:hint="eastAsia" w:hAnsi="宋体"/>
          <w:color w:val="auto"/>
        </w:rPr>
        <w:t>监狱企业的证明文件。</w:t>
      </w:r>
    </w:p>
    <w:p w14:paraId="565B5919">
      <w:pPr>
        <w:pStyle w:val="69"/>
        <w:numPr>
          <w:ilvl w:val="0"/>
          <w:numId w:val="15"/>
        </w:numPr>
        <w:tabs>
          <w:tab w:val="left" w:pos="1174"/>
        </w:tabs>
        <w:kinsoku w:val="0"/>
        <w:overflowPunct w:val="0"/>
        <w:spacing w:line="364" w:lineRule="auto"/>
        <w:ind w:right="570" w:firstLine="0"/>
        <w:jc w:val="both"/>
        <w:rPr>
          <w:rFonts w:hAnsi="宋体"/>
          <w:color w:val="auto"/>
          <w:spacing w:val="-11"/>
        </w:rPr>
      </w:pPr>
      <w:r>
        <w:rPr>
          <w:rFonts w:hint="eastAsia" w:hAnsi="宋体"/>
          <w:color w:val="auto"/>
          <w:spacing w:val="-5"/>
        </w:rPr>
        <w:t>中小企业声明函填写注意事项</w:t>
      </w:r>
      <w:r>
        <w:rPr>
          <w:rFonts w:hAnsi="宋体"/>
          <w:color w:val="auto"/>
          <w:spacing w:val="-5"/>
        </w:rPr>
        <w:t xml:space="preserve"> </w:t>
      </w:r>
      <w:r>
        <w:rPr>
          <w:rFonts w:hAnsi="宋体" w:cs="Arial"/>
          <w:color w:val="auto"/>
          <w:w w:val="114"/>
        </w:rPr>
        <w:t>1</w:t>
      </w:r>
      <w:r>
        <w:rPr>
          <w:rFonts w:hint="eastAsia" w:hAnsi="宋体"/>
          <w:color w:val="auto"/>
          <w:spacing w:val="-137"/>
        </w:rPr>
        <w:t>）</w:t>
      </w:r>
      <w:r>
        <w:rPr>
          <w:rFonts w:hint="eastAsia" w:hAnsi="宋体"/>
          <w:color w:val="auto"/>
          <w:spacing w:val="-5"/>
        </w:rPr>
        <w:t>《中小企业声明函》由参加政府采购活动的供应</w:t>
      </w:r>
      <w:r>
        <w:rPr>
          <w:rFonts w:hint="eastAsia" w:hAnsi="宋体"/>
          <w:color w:val="auto"/>
          <w:spacing w:val="-11"/>
        </w:rPr>
        <w:t>商出具。联合体参与的，《中小企业声明函》可由牵头人出具。</w:t>
      </w:r>
    </w:p>
    <w:p w14:paraId="05160361">
      <w:pPr>
        <w:pStyle w:val="69"/>
        <w:numPr>
          <w:ilvl w:val="0"/>
          <w:numId w:val="16"/>
        </w:numPr>
        <w:tabs>
          <w:tab w:val="left" w:pos="934"/>
        </w:tabs>
        <w:kinsoku w:val="0"/>
        <w:overflowPunct w:val="0"/>
        <w:spacing w:line="364" w:lineRule="auto"/>
        <w:ind w:right="571" w:firstLine="0"/>
        <w:jc w:val="both"/>
        <w:rPr>
          <w:rFonts w:hAnsi="宋体"/>
          <w:color w:val="auto"/>
        </w:rPr>
      </w:pPr>
      <w:r>
        <w:rPr>
          <w:rFonts w:hint="eastAsia" w:hAnsi="宋体"/>
          <w:color w:val="auto"/>
        </w:rPr>
        <w:t>对于联合体中由中小企业承担的部分，或者分包给中小企业的部分，必须全部由中</w:t>
      </w:r>
      <w:r>
        <w:rPr>
          <w:rFonts w:hint="eastAsia" w:hAnsi="宋体"/>
          <w:color w:val="auto"/>
          <w:spacing w:val="-7"/>
        </w:rPr>
        <w:t>小企业制造、承建或者承接。供应商应当在声明函</w:t>
      </w:r>
      <w:r>
        <w:rPr>
          <w:rFonts w:hAnsi="宋体" w:cs="Arial"/>
          <w:color w:val="auto"/>
          <w:w w:val="135"/>
        </w:rPr>
        <w:t>“</w:t>
      </w:r>
      <w:r>
        <w:rPr>
          <w:rFonts w:hint="eastAsia" w:hAnsi="宋体"/>
          <w:color w:val="auto"/>
        </w:rPr>
        <w:t>标的名称</w:t>
      </w:r>
      <w:r>
        <w:rPr>
          <w:rFonts w:hAnsi="宋体" w:cs="Arial"/>
          <w:color w:val="auto"/>
          <w:w w:val="135"/>
        </w:rPr>
        <w:t>”</w:t>
      </w:r>
      <w:r>
        <w:rPr>
          <w:rFonts w:hint="eastAsia" w:hAnsi="宋体"/>
          <w:color w:val="auto"/>
          <w:spacing w:val="-2"/>
        </w:rPr>
        <w:t>部分标明联合体中中小企</w:t>
      </w:r>
      <w:r>
        <w:rPr>
          <w:rFonts w:hint="eastAsia" w:hAnsi="宋体"/>
          <w:color w:val="auto"/>
        </w:rPr>
        <w:t>业承担的具体内容或者中小企业的具体分包内容。</w:t>
      </w:r>
    </w:p>
    <w:p w14:paraId="3B24D0A5">
      <w:pPr>
        <w:pStyle w:val="69"/>
        <w:numPr>
          <w:ilvl w:val="0"/>
          <w:numId w:val="16"/>
        </w:numPr>
        <w:tabs>
          <w:tab w:val="left" w:pos="934"/>
        </w:tabs>
        <w:kinsoku w:val="0"/>
        <w:overflowPunct w:val="0"/>
        <w:spacing w:line="362" w:lineRule="auto"/>
        <w:ind w:right="573" w:firstLine="0"/>
        <w:rPr>
          <w:rFonts w:hAnsi="宋体"/>
          <w:color w:val="auto"/>
        </w:rPr>
      </w:pPr>
      <w:r>
        <w:rPr>
          <w:rFonts w:hint="eastAsia" w:hAnsi="宋体"/>
          <w:color w:val="auto"/>
        </w:rPr>
        <w:t>对于多标的采购项目，供应商应充分、准确地了解所提供货物的制造企业、提供服务的承接企业信息。对相关情况了解不清楚的，不建议填报本声明函。</w:t>
      </w:r>
    </w:p>
    <w:p w14:paraId="292CCBCA">
      <w:pPr>
        <w:pStyle w:val="17"/>
        <w:kinsoku w:val="0"/>
        <w:overflowPunct w:val="0"/>
        <w:spacing w:before="3"/>
        <w:rPr>
          <w:rFonts w:hAnsi="宋体"/>
          <w:color w:val="auto"/>
          <w:sz w:val="32"/>
          <w:szCs w:val="32"/>
        </w:rPr>
      </w:pPr>
    </w:p>
    <w:p w14:paraId="2FC1391A">
      <w:pPr>
        <w:pStyle w:val="69"/>
        <w:numPr>
          <w:ilvl w:val="0"/>
          <w:numId w:val="15"/>
        </w:numPr>
        <w:tabs>
          <w:tab w:val="left" w:pos="1177"/>
        </w:tabs>
        <w:kinsoku w:val="0"/>
        <w:overflowPunct w:val="0"/>
        <w:spacing w:line="364" w:lineRule="auto"/>
        <w:ind w:right="475" w:firstLine="0"/>
        <w:jc w:val="both"/>
        <w:rPr>
          <w:rFonts w:hAnsi="宋体"/>
          <w:color w:val="auto"/>
          <w:spacing w:val="-1"/>
        </w:rPr>
      </w:pPr>
      <w:r>
        <w:rPr>
          <w:rFonts w:hint="eastAsia" w:hAnsi="宋体"/>
          <w:color w:val="auto"/>
        </w:rPr>
        <w:t>温馨提示：为方便广大中小企业识别企业规模类型，工业和信息化部组织开发了</w:t>
      </w:r>
      <w:r>
        <w:rPr>
          <w:rFonts w:hint="eastAsia" w:hAnsi="宋体"/>
          <w:color w:val="auto"/>
          <w:spacing w:val="-3"/>
        </w:rPr>
        <w:t>中小企业规模类型自测小程序，在国务院客户端和工业和信息化部网站上均有链接，供</w:t>
      </w:r>
      <w:r>
        <w:rPr>
          <w:rFonts w:hint="eastAsia" w:hAnsi="宋体"/>
          <w:color w:val="auto"/>
          <w:spacing w:val="-5"/>
        </w:rPr>
        <w:t>应商填写所属的行业和指标数据可自动生成企业规模类型测试结果。本项目中小企业划</w:t>
      </w:r>
      <w:r>
        <w:rPr>
          <w:rFonts w:hint="eastAsia" w:hAnsi="宋体"/>
          <w:color w:val="auto"/>
          <w:spacing w:val="-11"/>
        </w:rPr>
        <w:t>分标准所属行业详见第二章《供应商须知资料表》，如在该程序中未找到本项目文件规</w:t>
      </w:r>
      <w:r>
        <w:rPr>
          <w:rFonts w:hint="eastAsia" w:hAnsi="宋体"/>
          <w:color w:val="auto"/>
          <w:spacing w:val="-14"/>
        </w:rPr>
        <w:t>定的中小企业划分标准所属行业，则按照《关于印发中小企业划型标准规定的通知</w:t>
      </w:r>
      <w:r>
        <w:rPr>
          <w:rFonts w:hint="eastAsia" w:hAnsi="宋体"/>
          <w:color w:val="auto"/>
        </w:rPr>
        <w:t>（工信部联企业﹝</w:t>
      </w:r>
      <w:r>
        <w:rPr>
          <w:rFonts w:hAnsi="宋体" w:cs="Arial"/>
          <w:color w:val="auto"/>
        </w:rPr>
        <w:t>2011</w:t>
      </w:r>
      <w:r>
        <w:rPr>
          <w:rFonts w:hint="eastAsia" w:hAnsi="宋体"/>
          <w:color w:val="auto"/>
        </w:rPr>
        <w:t>﹞</w:t>
      </w:r>
      <w:r>
        <w:rPr>
          <w:rFonts w:hAnsi="宋体" w:cs="Arial"/>
          <w:color w:val="auto"/>
        </w:rPr>
        <w:t>300</w:t>
      </w:r>
      <w:r>
        <w:rPr>
          <w:rFonts w:hAnsi="宋体" w:cs="Arial"/>
          <w:color w:val="auto"/>
          <w:spacing w:val="19"/>
        </w:rPr>
        <w:t xml:space="preserve"> </w:t>
      </w:r>
      <w:r>
        <w:rPr>
          <w:rFonts w:hint="eastAsia" w:hAnsi="宋体"/>
          <w:color w:val="auto"/>
        </w:rPr>
        <w:t>号</w:t>
      </w:r>
      <w:r>
        <w:rPr>
          <w:rFonts w:hint="eastAsia" w:hAnsi="宋体"/>
          <w:color w:val="auto"/>
          <w:spacing w:val="-120"/>
        </w:rPr>
        <w:t>）</w:t>
      </w:r>
      <w:r>
        <w:rPr>
          <w:rFonts w:hint="eastAsia" w:hAnsi="宋体"/>
          <w:color w:val="auto"/>
          <w:spacing w:val="-1"/>
        </w:rPr>
        <w:t>》及本项目文件规定的中小企业划分标准所属行业执行。</w:t>
      </w:r>
    </w:p>
    <w:p w14:paraId="72B56F7E">
      <w:pPr>
        <w:pStyle w:val="69"/>
        <w:numPr>
          <w:ilvl w:val="0"/>
          <w:numId w:val="15"/>
        </w:numPr>
        <w:tabs>
          <w:tab w:val="left" w:pos="1177"/>
        </w:tabs>
        <w:kinsoku w:val="0"/>
        <w:overflowPunct w:val="0"/>
        <w:spacing w:line="364" w:lineRule="auto"/>
        <w:ind w:right="475" w:firstLine="0"/>
        <w:jc w:val="both"/>
        <w:rPr>
          <w:rFonts w:hAnsi="宋体"/>
          <w:color w:val="auto"/>
          <w:spacing w:val="-1"/>
        </w:rPr>
        <w:sectPr>
          <w:pgSz w:w="11910" w:h="16840"/>
          <w:pgMar w:top="1340" w:right="560" w:bottom="1080" w:left="1160" w:header="879" w:footer="879" w:gutter="0"/>
          <w:pgNumType w:fmt="decimal"/>
          <w:cols w:space="720" w:num="1"/>
        </w:sectPr>
      </w:pPr>
    </w:p>
    <w:p w14:paraId="2AF934AE">
      <w:pPr>
        <w:spacing w:line="360" w:lineRule="auto"/>
        <w:ind w:left="540" w:firstLine="220" w:firstLineChars="100"/>
        <w:outlineLvl w:val="0"/>
        <w:rPr>
          <w:rFonts w:hAnsi="宋体"/>
          <w:color w:val="auto"/>
        </w:rPr>
      </w:pPr>
      <w:bookmarkStart w:id="60" w:name="_Toc149147722"/>
      <w:bookmarkStart w:id="61" w:name="_Toc149147567"/>
      <w:r>
        <w:rPr>
          <w:rFonts w:hint="eastAsia" w:hAnsi="宋体"/>
          <w:color w:val="auto"/>
        </w:rPr>
        <w:t>2</w:t>
      </w:r>
      <w:r>
        <w:rPr>
          <w:rFonts w:hAnsi="宋体"/>
          <w:color w:val="auto"/>
        </w:rPr>
        <w:t>-1-1</w:t>
      </w:r>
      <w:r>
        <w:rPr>
          <w:rFonts w:hint="eastAsia" w:hAnsi="宋体"/>
          <w:color w:val="auto"/>
        </w:rPr>
        <w:t>中小企业声明函及残疾人福利性单位声明函格式</w:t>
      </w:r>
      <w:bookmarkEnd w:id="60"/>
      <w:bookmarkEnd w:id="61"/>
    </w:p>
    <w:p w14:paraId="144D71F0">
      <w:pPr>
        <w:pStyle w:val="17"/>
        <w:kinsoku w:val="0"/>
        <w:overflowPunct w:val="0"/>
        <w:rPr>
          <w:rFonts w:hAnsi="宋体"/>
          <w:color w:val="auto"/>
          <w:sz w:val="23"/>
          <w:szCs w:val="23"/>
        </w:rPr>
      </w:pPr>
    </w:p>
    <w:p w14:paraId="5AF7ABF4">
      <w:pPr>
        <w:pStyle w:val="17"/>
        <w:kinsoku w:val="0"/>
        <w:overflowPunct w:val="0"/>
        <w:spacing w:before="7"/>
        <w:rPr>
          <w:rFonts w:hAnsi="宋体"/>
          <w:color w:val="auto"/>
          <w:sz w:val="20"/>
          <w:szCs w:val="20"/>
        </w:rPr>
      </w:pPr>
    </w:p>
    <w:p w14:paraId="693006BF">
      <w:pPr>
        <w:pStyle w:val="2"/>
        <w:kinsoku w:val="0"/>
        <w:overflowPunct w:val="0"/>
        <w:spacing w:before="49"/>
        <w:ind w:right="26"/>
        <w:rPr>
          <w:rFonts w:hAnsi="宋体"/>
          <w:color w:val="auto"/>
        </w:rPr>
      </w:pPr>
      <w:bookmarkStart w:id="62" w:name="_Toc149147723"/>
      <w:bookmarkStart w:id="63" w:name="_Toc149147568"/>
      <w:r>
        <w:rPr>
          <w:rFonts w:hint="eastAsia" w:hAnsi="宋体"/>
          <w:color w:val="auto"/>
        </w:rPr>
        <w:t>中小企业声明函（工程、服务）格式</w:t>
      </w:r>
      <w:bookmarkEnd w:id="62"/>
      <w:bookmarkEnd w:id="63"/>
    </w:p>
    <w:p w14:paraId="503904CE">
      <w:pPr>
        <w:pStyle w:val="17"/>
        <w:kinsoku w:val="0"/>
        <w:overflowPunct w:val="0"/>
        <w:spacing w:before="6"/>
        <w:rPr>
          <w:rFonts w:hAnsi="宋体"/>
          <w:color w:val="auto"/>
          <w:sz w:val="37"/>
          <w:szCs w:val="37"/>
        </w:rPr>
      </w:pPr>
    </w:p>
    <w:p w14:paraId="55C515EA">
      <w:pPr>
        <w:pStyle w:val="17"/>
        <w:kinsoku w:val="0"/>
        <w:overflowPunct w:val="0"/>
        <w:spacing w:line="364" w:lineRule="auto"/>
        <w:ind w:left="541" w:right="499" w:firstLine="504"/>
        <w:rPr>
          <w:rFonts w:hAnsi="宋体"/>
          <w:color w:val="auto"/>
          <w:spacing w:val="10"/>
        </w:rPr>
      </w:pPr>
      <w:r>
        <w:rPr>
          <w:rFonts w:hint="eastAsia" w:hAnsi="宋体"/>
          <w:color w:val="auto"/>
          <w:spacing w:val="3"/>
        </w:rPr>
        <w:t>本公司</w:t>
      </w:r>
      <w:r>
        <w:rPr>
          <w:rFonts w:hint="eastAsia" w:hAnsi="宋体"/>
          <w:color w:val="auto"/>
          <w:spacing w:val="12"/>
        </w:rPr>
        <w:t>（联合体</w:t>
      </w:r>
      <w:r>
        <w:rPr>
          <w:rFonts w:hint="eastAsia" w:hAnsi="宋体"/>
          <w:color w:val="auto"/>
          <w:spacing w:val="-12"/>
        </w:rPr>
        <w:t>）</w:t>
      </w:r>
      <w:r>
        <w:rPr>
          <w:rFonts w:hint="eastAsia" w:hAnsi="宋体"/>
          <w:color w:val="auto"/>
          <w:spacing w:val="5"/>
        </w:rPr>
        <w:t>郑重声明，根据《政府采购促进中小企业发展管理办法</w:t>
      </w:r>
      <w:r>
        <w:rPr>
          <w:rFonts w:hint="eastAsia" w:hAnsi="宋体"/>
          <w:color w:val="auto"/>
          <w:spacing w:val="-139"/>
        </w:rPr>
        <w:t>》</w:t>
      </w:r>
      <w:r>
        <w:rPr>
          <w:rFonts w:hint="eastAsia" w:hAnsi="宋体"/>
          <w:color w:val="auto"/>
          <w:spacing w:val="12"/>
        </w:rPr>
        <w:t>（</w:t>
      </w:r>
      <w:r>
        <w:rPr>
          <w:rFonts w:hint="eastAsia" w:hAnsi="宋体"/>
          <w:color w:val="auto"/>
        </w:rPr>
        <w:t>财</w:t>
      </w:r>
      <w:r>
        <w:rPr>
          <w:rFonts w:hint="eastAsia" w:hAnsi="宋体"/>
          <w:color w:val="auto"/>
          <w:spacing w:val="12"/>
        </w:rPr>
        <w:t>库</w:t>
      </w:r>
      <w:r>
        <w:rPr>
          <w:rFonts w:hint="eastAsia" w:hAnsi="宋体"/>
          <w:color w:val="auto"/>
          <w:spacing w:val="5"/>
        </w:rPr>
        <w:t>﹝</w:t>
      </w:r>
      <w:r>
        <w:rPr>
          <w:rFonts w:hAnsi="宋体" w:cs="Arial"/>
          <w:color w:val="auto"/>
          <w:spacing w:val="5"/>
        </w:rPr>
        <w:t>2020</w:t>
      </w:r>
      <w:r>
        <w:rPr>
          <w:rFonts w:hint="eastAsia" w:hAnsi="宋体"/>
          <w:color w:val="auto"/>
          <w:spacing w:val="5"/>
        </w:rPr>
        <w:t>﹞</w:t>
      </w:r>
      <w:r>
        <w:rPr>
          <w:rFonts w:hAnsi="宋体" w:cs="Arial"/>
          <w:color w:val="auto"/>
          <w:spacing w:val="5"/>
        </w:rPr>
        <w:t xml:space="preserve">46 </w:t>
      </w:r>
      <w:r>
        <w:rPr>
          <w:rFonts w:hint="eastAsia" w:hAnsi="宋体"/>
          <w:color w:val="auto"/>
          <w:spacing w:val="12"/>
        </w:rPr>
        <w:t>号）的规定，本公司（联合体）参加（单位名称）的</w:t>
      </w:r>
      <w:r>
        <w:rPr>
          <w:rFonts w:hint="eastAsia" w:hAnsi="宋体"/>
          <w:color w:val="auto"/>
          <w:spacing w:val="14"/>
        </w:rPr>
        <w:t>（</w:t>
      </w:r>
      <w:r>
        <w:rPr>
          <w:rFonts w:hint="eastAsia" w:hAnsi="宋体"/>
          <w:color w:val="auto"/>
          <w:spacing w:val="12"/>
        </w:rPr>
        <w:t>项目名称</w:t>
      </w:r>
      <w:r>
        <w:rPr>
          <w:rFonts w:hint="eastAsia" w:hAnsi="宋体"/>
          <w:color w:val="auto"/>
        </w:rPr>
        <w:t>）</w:t>
      </w:r>
      <w:r>
        <w:rPr>
          <w:rFonts w:hAnsi="宋体"/>
          <w:color w:val="auto"/>
        </w:rPr>
        <w:t xml:space="preserve"> </w:t>
      </w:r>
      <w:r>
        <w:rPr>
          <w:rFonts w:hint="eastAsia" w:hAnsi="宋体"/>
          <w:color w:val="auto"/>
          <w:spacing w:val="12"/>
        </w:rPr>
        <w:t>采购活动，工程的施工单位全部为符合政策要求的中小企业（</w:t>
      </w:r>
      <w:r>
        <w:rPr>
          <w:rFonts w:hint="eastAsia" w:hAnsi="宋体"/>
          <w:color w:val="auto"/>
          <w:spacing w:val="10"/>
        </w:rPr>
        <w:t>或者：服务全部由符</w:t>
      </w:r>
      <w:r>
        <w:rPr>
          <w:rFonts w:hint="eastAsia" w:hAnsi="宋体"/>
          <w:color w:val="auto"/>
          <w:spacing w:val="12"/>
        </w:rPr>
        <w:t>合政策要求的中小企业承接</w:t>
      </w:r>
      <w:r>
        <w:rPr>
          <w:rFonts w:hint="eastAsia" w:hAnsi="宋体"/>
          <w:color w:val="auto"/>
          <w:spacing w:val="-115"/>
        </w:rPr>
        <w:t>）</w:t>
      </w:r>
      <w:r>
        <w:rPr>
          <w:rFonts w:hint="eastAsia" w:hAnsi="宋体"/>
          <w:color w:val="auto"/>
          <w:spacing w:val="-6"/>
        </w:rPr>
        <w:t>。相关企业</w:t>
      </w:r>
      <w:r>
        <w:rPr>
          <w:rFonts w:hint="eastAsia" w:hAnsi="宋体"/>
          <w:color w:val="auto"/>
          <w:spacing w:val="12"/>
        </w:rPr>
        <w:t>（</w:t>
      </w:r>
      <w:r>
        <w:rPr>
          <w:rFonts w:hint="eastAsia" w:hAnsi="宋体"/>
          <w:color w:val="auto"/>
          <w:spacing w:val="7"/>
        </w:rPr>
        <w:t>含联合体中的中小企业、签订分包意向协</w:t>
      </w:r>
      <w:r>
        <w:rPr>
          <w:rFonts w:hint="eastAsia" w:hAnsi="宋体"/>
          <w:color w:val="auto"/>
          <w:spacing w:val="12"/>
        </w:rPr>
        <w:t>议的中小企业）</w:t>
      </w:r>
      <w:r>
        <w:rPr>
          <w:rFonts w:hint="eastAsia" w:hAnsi="宋体"/>
          <w:color w:val="auto"/>
          <w:spacing w:val="10"/>
        </w:rPr>
        <w:t>的具体情况如下：</w:t>
      </w:r>
    </w:p>
    <w:p w14:paraId="4928D14A">
      <w:pPr>
        <w:pStyle w:val="69"/>
        <w:numPr>
          <w:ilvl w:val="0"/>
          <w:numId w:val="17"/>
        </w:numPr>
        <w:tabs>
          <w:tab w:val="left" w:pos="1285"/>
          <w:tab w:val="left" w:pos="4527"/>
          <w:tab w:val="left" w:pos="6944"/>
          <w:tab w:val="left" w:pos="9666"/>
        </w:tabs>
        <w:kinsoku w:val="0"/>
        <w:overflowPunct w:val="0"/>
        <w:spacing w:line="364" w:lineRule="auto"/>
        <w:ind w:right="518" w:firstLine="504"/>
        <w:jc w:val="both"/>
        <w:rPr>
          <w:rFonts w:hAnsi="宋体"/>
          <w:color w:val="auto"/>
        </w:rPr>
      </w:pPr>
      <w:r>
        <w:rPr>
          <w:rFonts w:hAnsi="宋体" w:cs="Times New Roman"/>
          <w:color w:val="auto"/>
          <w:u w:val="single" w:color="000000"/>
        </w:rPr>
        <w:t xml:space="preserve"> </w:t>
      </w:r>
      <w:r>
        <w:rPr>
          <w:rFonts w:hAnsi="宋体" w:cs="Times New Roman"/>
          <w:color w:val="auto"/>
          <w:spacing w:val="12"/>
          <w:u w:val="single" w:color="000000"/>
        </w:rPr>
        <w:t xml:space="preserve"> </w:t>
      </w:r>
      <w:r>
        <w:rPr>
          <w:rFonts w:hint="eastAsia" w:hAnsi="宋体"/>
          <w:color w:val="auto"/>
          <w:spacing w:val="12"/>
          <w:u w:val="single" w:color="000000"/>
        </w:rPr>
        <w:t>（标的名称</w:t>
      </w:r>
      <w:r>
        <w:rPr>
          <w:rFonts w:hint="eastAsia" w:hAnsi="宋体"/>
          <w:color w:val="auto"/>
          <w:u w:val="single" w:color="000000"/>
        </w:rPr>
        <w:t>）</w:t>
      </w:r>
      <w:r>
        <w:rPr>
          <w:rFonts w:hAnsi="宋体"/>
          <w:color w:val="auto"/>
          <w:spacing w:val="22"/>
        </w:rPr>
        <w:t xml:space="preserve"> </w:t>
      </w:r>
      <w:r>
        <w:rPr>
          <w:rFonts w:hint="eastAsia" w:hAnsi="宋体"/>
          <w:color w:val="auto"/>
          <w:spacing w:val="12"/>
        </w:rPr>
        <w:t>，属于</w:t>
      </w:r>
      <w:r>
        <w:rPr>
          <w:rFonts w:hint="eastAsia" w:hAnsi="宋体"/>
          <w:color w:val="auto"/>
          <w:spacing w:val="12"/>
          <w:u w:val="single" w:color="000000"/>
        </w:rPr>
        <w:t>（采购文件中明确的所属行业</w:t>
      </w:r>
      <w:r>
        <w:rPr>
          <w:rFonts w:hint="eastAsia" w:hAnsi="宋体"/>
          <w:color w:val="auto"/>
          <w:spacing w:val="9"/>
          <w:u w:val="single" w:color="000000"/>
        </w:rPr>
        <w:t>）</w:t>
      </w:r>
      <w:r>
        <w:rPr>
          <w:rFonts w:hint="eastAsia" w:hAnsi="宋体"/>
          <w:color w:val="auto"/>
          <w:spacing w:val="12"/>
        </w:rPr>
        <w:t>行业；承建（承接</w:t>
      </w:r>
      <w:r>
        <w:rPr>
          <w:rFonts w:hint="eastAsia" w:hAnsi="宋体"/>
          <w:color w:val="auto"/>
        </w:rPr>
        <w:t>）</w:t>
      </w:r>
      <w:r>
        <w:rPr>
          <w:rFonts w:hAnsi="宋体"/>
          <w:color w:val="auto"/>
        </w:rPr>
        <w:t xml:space="preserve"> </w:t>
      </w:r>
      <w:r>
        <w:rPr>
          <w:rFonts w:hint="eastAsia" w:hAnsi="宋体"/>
          <w:color w:val="auto"/>
          <w:spacing w:val="12"/>
        </w:rPr>
        <w:t>企业</w:t>
      </w:r>
      <w:r>
        <w:rPr>
          <w:rFonts w:hint="eastAsia" w:hAnsi="宋体"/>
          <w:color w:val="auto"/>
          <w:spacing w:val="-55"/>
        </w:rPr>
        <w:t>为</w:t>
      </w:r>
      <w:r>
        <w:rPr>
          <w:rFonts w:hint="eastAsia" w:hAnsi="宋体"/>
          <w:color w:val="auto"/>
          <w:spacing w:val="9"/>
        </w:rPr>
        <w:t>（</w:t>
      </w:r>
      <w:r>
        <w:rPr>
          <w:rFonts w:hint="eastAsia" w:hAnsi="宋体"/>
          <w:color w:val="auto"/>
          <w:spacing w:val="12"/>
          <w:u w:val="single" w:color="000000"/>
        </w:rPr>
        <w:t>企业名</w:t>
      </w:r>
      <w:r>
        <w:rPr>
          <w:rFonts w:hint="eastAsia" w:hAnsi="宋体"/>
          <w:color w:val="auto"/>
          <w:spacing w:val="14"/>
          <w:u w:val="single" w:color="000000"/>
        </w:rPr>
        <w:t>称</w:t>
      </w:r>
      <w:r>
        <w:rPr>
          <w:rFonts w:hint="eastAsia" w:hAnsi="宋体"/>
          <w:color w:val="auto"/>
          <w:spacing w:val="-86"/>
          <w:u w:val="single" w:color="000000"/>
        </w:rPr>
        <w:t>）</w:t>
      </w:r>
      <w:r>
        <w:rPr>
          <w:rFonts w:hint="eastAsia" w:hAnsi="宋体"/>
          <w:color w:val="auto"/>
          <w:spacing w:val="-86"/>
        </w:rPr>
        <w:t>，</w:t>
      </w:r>
      <w:r>
        <w:rPr>
          <w:rFonts w:hint="eastAsia" w:hAnsi="宋体"/>
          <w:color w:val="auto"/>
          <w:spacing w:val="12"/>
        </w:rPr>
        <w:t>从业人</w:t>
      </w:r>
      <w:r>
        <w:rPr>
          <w:rFonts w:hint="eastAsia" w:hAnsi="宋体"/>
          <w:color w:val="auto"/>
          <w:spacing w:val="11"/>
        </w:rPr>
        <w:t>员</w:t>
      </w:r>
      <w:r>
        <w:rPr>
          <w:rFonts w:hAnsi="宋体"/>
          <w:color w:val="auto"/>
          <w:spacing w:val="11"/>
          <w:u w:val="single" w:color="000000"/>
        </w:rPr>
        <w:t xml:space="preserve"> </w:t>
      </w:r>
      <w:r>
        <w:rPr>
          <w:rFonts w:hAnsi="宋体"/>
          <w:color w:val="auto"/>
          <w:spacing w:val="11"/>
          <w:u w:val="single" w:color="000000"/>
        </w:rPr>
        <w:tab/>
      </w:r>
      <w:r>
        <w:rPr>
          <w:rFonts w:hint="eastAsia" w:hAnsi="宋体"/>
          <w:color w:val="auto"/>
          <w:spacing w:val="12"/>
        </w:rPr>
        <w:t>人</w:t>
      </w:r>
      <w:r>
        <w:rPr>
          <w:rFonts w:hint="eastAsia" w:hAnsi="宋体"/>
          <w:color w:val="auto"/>
          <w:spacing w:val="-56"/>
        </w:rPr>
        <w:t>，</w:t>
      </w:r>
      <w:r>
        <w:rPr>
          <w:rFonts w:hint="eastAsia" w:hAnsi="宋体"/>
          <w:color w:val="auto"/>
          <w:spacing w:val="12"/>
        </w:rPr>
        <w:t>营业收入</w:t>
      </w:r>
      <w:r>
        <w:rPr>
          <w:rFonts w:hint="eastAsia" w:hAnsi="宋体"/>
          <w:color w:val="auto"/>
          <w:spacing w:val="11"/>
        </w:rPr>
        <w:t>为</w:t>
      </w:r>
      <w:r>
        <w:rPr>
          <w:rFonts w:hAnsi="宋体"/>
          <w:color w:val="auto"/>
          <w:spacing w:val="11"/>
          <w:u w:val="single" w:color="000000"/>
        </w:rPr>
        <w:t xml:space="preserve"> </w:t>
      </w:r>
      <w:r>
        <w:rPr>
          <w:rFonts w:hAnsi="宋体"/>
          <w:color w:val="auto"/>
          <w:spacing w:val="11"/>
          <w:u w:val="single" w:color="000000"/>
        </w:rPr>
        <w:tab/>
      </w:r>
      <w:r>
        <w:rPr>
          <w:rFonts w:hint="eastAsia" w:hAnsi="宋体"/>
          <w:color w:val="auto"/>
          <w:spacing w:val="12"/>
        </w:rPr>
        <w:t>万元</w:t>
      </w:r>
      <w:r>
        <w:rPr>
          <w:rFonts w:hint="eastAsia" w:hAnsi="宋体"/>
          <w:color w:val="auto"/>
          <w:spacing w:val="-55"/>
        </w:rPr>
        <w:t>，</w:t>
      </w:r>
      <w:r>
        <w:rPr>
          <w:rFonts w:hint="eastAsia" w:hAnsi="宋体"/>
          <w:color w:val="auto"/>
          <w:spacing w:val="12"/>
        </w:rPr>
        <w:t>资产总额</w:t>
      </w:r>
      <w:r>
        <w:rPr>
          <w:rFonts w:hint="eastAsia" w:hAnsi="宋体"/>
          <w:color w:val="auto"/>
          <w:spacing w:val="11"/>
        </w:rPr>
        <w:t>为</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spacing w:val="12"/>
        </w:rPr>
        <w:t>万</w:t>
      </w:r>
      <w:r>
        <w:rPr>
          <w:rFonts w:hint="eastAsia" w:hAnsi="宋体"/>
          <w:color w:val="auto"/>
        </w:rPr>
        <w:t>元</w:t>
      </w:r>
      <w:r>
        <w:rPr>
          <w:rFonts w:hAnsi="宋体"/>
          <w:color w:val="auto"/>
          <w:spacing w:val="-46"/>
        </w:rPr>
        <w:t xml:space="preserve"> </w:t>
      </w:r>
      <w:r>
        <w:rPr>
          <w:rFonts w:hAnsi="宋体" w:cs="Arial"/>
          <w:color w:val="auto"/>
          <w:spacing w:val="5"/>
          <w:w w:val="113"/>
          <w:position w:val="7"/>
          <w:sz w:val="17"/>
          <w:szCs w:val="17"/>
        </w:rPr>
        <w:t>1</w:t>
      </w:r>
      <w:r>
        <w:rPr>
          <w:rFonts w:hint="eastAsia" w:hAnsi="宋体"/>
          <w:color w:val="auto"/>
          <w:spacing w:val="12"/>
        </w:rPr>
        <w:t>，属于（中型企业、小型企业、微型企业</w:t>
      </w:r>
      <w:r>
        <w:rPr>
          <w:rFonts w:hint="eastAsia" w:hAnsi="宋体"/>
          <w:color w:val="auto"/>
          <w:spacing w:val="-115"/>
        </w:rPr>
        <w:t>）</w:t>
      </w:r>
      <w:r>
        <w:rPr>
          <w:rFonts w:hint="eastAsia" w:hAnsi="宋体"/>
          <w:color w:val="auto"/>
        </w:rPr>
        <w:t>；</w:t>
      </w:r>
    </w:p>
    <w:p w14:paraId="1670F413">
      <w:pPr>
        <w:pStyle w:val="69"/>
        <w:numPr>
          <w:ilvl w:val="0"/>
          <w:numId w:val="17"/>
        </w:numPr>
        <w:tabs>
          <w:tab w:val="left" w:pos="1418"/>
          <w:tab w:val="left" w:pos="4527"/>
          <w:tab w:val="left" w:pos="6944"/>
          <w:tab w:val="left" w:pos="9666"/>
        </w:tabs>
        <w:kinsoku w:val="0"/>
        <w:overflowPunct w:val="0"/>
        <w:spacing w:line="364" w:lineRule="auto"/>
        <w:ind w:right="518" w:firstLine="504"/>
        <w:jc w:val="both"/>
        <w:rPr>
          <w:rFonts w:hAnsi="宋体"/>
          <w:color w:val="auto"/>
        </w:rPr>
      </w:pPr>
      <w:r>
        <w:rPr>
          <w:rFonts w:hint="eastAsia" w:hAnsi="宋体"/>
          <w:color w:val="auto"/>
          <w:spacing w:val="12"/>
          <w:u w:val="single" w:color="000000"/>
        </w:rPr>
        <w:t>（标的名称</w:t>
      </w:r>
      <w:r>
        <w:rPr>
          <w:rFonts w:hint="eastAsia" w:hAnsi="宋体"/>
          <w:color w:val="auto"/>
          <w:u w:val="single" w:color="000000"/>
        </w:rPr>
        <w:t>）</w:t>
      </w:r>
      <w:r>
        <w:rPr>
          <w:rFonts w:hAnsi="宋体"/>
          <w:color w:val="auto"/>
          <w:spacing w:val="22"/>
        </w:rPr>
        <w:t xml:space="preserve"> </w:t>
      </w:r>
      <w:r>
        <w:rPr>
          <w:rFonts w:hint="eastAsia" w:hAnsi="宋体"/>
          <w:color w:val="auto"/>
          <w:spacing w:val="12"/>
        </w:rPr>
        <w:t>，属于</w:t>
      </w:r>
      <w:r>
        <w:rPr>
          <w:rFonts w:hint="eastAsia" w:hAnsi="宋体"/>
          <w:color w:val="auto"/>
          <w:spacing w:val="12"/>
          <w:u w:val="single" w:color="000000"/>
        </w:rPr>
        <w:t>（采购文件中明确的所属行业</w:t>
      </w:r>
      <w:r>
        <w:rPr>
          <w:rFonts w:hint="eastAsia" w:hAnsi="宋体"/>
          <w:color w:val="auto"/>
          <w:spacing w:val="9"/>
          <w:u w:val="single" w:color="000000"/>
        </w:rPr>
        <w:t>）</w:t>
      </w:r>
      <w:r>
        <w:rPr>
          <w:rFonts w:hint="eastAsia" w:hAnsi="宋体"/>
          <w:color w:val="auto"/>
          <w:spacing w:val="12"/>
        </w:rPr>
        <w:t>行业；承建（承接</w:t>
      </w:r>
      <w:r>
        <w:rPr>
          <w:rFonts w:hint="eastAsia" w:hAnsi="宋体"/>
          <w:color w:val="auto"/>
        </w:rPr>
        <w:t>）</w:t>
      </w:r>
      <w:r>
        <w:rPr>
          <w:rFonts w:hAnsi="宋体"/>
          <w:color w:val="auto"/>
        </w:rPr>
        <w:t xml:space="preserve"> </w:t>
      </w:r>
      <w:r>
        <w:rPr>
          <w:rFonts w:hint="eastAsia" w:hAnsi="宋体"/>
          <w:color w:val="auto"/>
          <w:spacing w:val="12"/>
        </w:rPr>
        <w:t>企业</w:t>
      </w:r>
      <w:r>
        <w:rPr>
          <w:rFonts w:hint="eastAsia" w:hAnsi="宋体"/>
          <w:color w:val="auto"/>
          <w:spacing w:val="-55"/>
        </w:rPr>
        <w:t>为</w:t>
      </w:r>
      <w:r>
        <w:rPr>
          <w:rFonts w:hint="eastAsia" w:hAnsi="宋体"/>
          <w:color w:val="auto"/>
          <w:spacing w:val="9"/>
        </w:rPr>
        <w:t>（</w:t>
      </w:r>
      <w:r>
        <w:rPr>
          <w:rFonts w:hint="eastAsia" w:hAnsi="宋体"/>
          <w:color w:val="auto"/>
          <w:spacing w:val="12"/>
          <w:u w:val="single" w:color="000000"/>
        </w:rPr>
        <w:t>企业名</w:t>
      </w:r>
      <w:r>
        <w:rPr>
          <w:rFonts w:hint="eastAsia" w:hAnsi="宋体"/>
          <w:color w:val="auto"/>
          <w:spacing w:val="14"/>
          <w:u w:val="single" w:color="000000"/>
        </w:rPr>
        <w:t>称</w:t>
      </w:r>
      <w:r>
        <w:rPr>
          <w:rFonts w:hint="eastAsia" w:hAnsi="宋体"/>
          <w:color w:val="auto"/>
          <w:spacing w:val="-86"/>
          <w:u w:val="single" w:color="000000"/>
        </w:rPr>
        <w:t>）</w:t>
      </w:r>
      <w:r>
        <w:rPr>
          <w:rFonts w:hint="eastAsia" w:hAnsi="宋体"/>
          <w:color w:val="auto"/>
          <w:spacing w:val="-86"/>
        </w:rPr>
        <w:t>，</w:t>
      </w:r>
      <w:r>
        <w:rPr>
          <w:rFonts w:hint="eastAsia" w:hAnsi="宋体"/>
          <w:color w:val="auto"/>
          <w:spacing w:val="12"/>
        </w:rPr>
        <w:t>从业人</w:t>
      </w:r>
      <w:r>
        <w:rPr>
          <w:rFonts w:hint="eastAsia" w:hAnsi="宋体"/>
          <w:color w:val="auto"/>
          <w:spacing w:val="11"/>
        </w:rPr>
        <w:t>员</w:t>
      </w:r>
      <w:r>
        <w:rPr>
          <w:rFonts w:hAnsi="宋体"/>
          <w:color w:val="auto"/>
          <w:spacing w:val="11"/>
          <w:u w:val="single" w:color="000000"/>
        </w:rPr>
        <w:t xml:space="preserve"> </w:t>
      </w:r>
      <w:r>
        <w:rPr>
          <w:rFonts w:hAnsi="宋体"/>
          <w:color w:val="auto"/>
          <w:spacing w:val="11"/>
          <w:u w:val="single" w:color="000000"/>
        </w:rPr>
        <w:tab/>
      </w:r>
      <w:r>
        <w:rPr>
          <w:rFonts w:hint="eastAsia" w:hAnsi="宋体"/>
          <w:color w:val="auto"/>
          <w:spacing w:val="12"/>
        </w:rPr>
        <w:t>人</w:t>
      </w:r>
      <w:r>
        <w:rPr>
          <w:rFonts w:hint="eastAsia" w:hAnsi="宋体"/>
          <w:color w:val="auto"/>
          <w:spacing w:val="-56"/>
        </w:rPr>
        <w:t>，</w:t>
      </w:r>
      <w:r>
        <w:rPr>
          <w:rFonts w:hint="eastAsia" w:hAnsi="宋体"/>
          <w:color w:val="auto"/>
          <w:spacing w:val="12"/>
        </w:rPr>
        <w:t>营业收入</w:t>
      </w:r>
      <w:r>
        <w:rPr>
          <w:rFonts w:hint="eastAsia" w:hAnsi="宋体"/>
          <w:color w:val="auto"/>
          <w:spacing w:val="11"/>
        </w:rPr>
        <w:t>为</w:t>
      </w:r>
      <w:r>
        <w:rPr>
          <w:rFonts w:hAnsi="宋体"/>
          <w:color w:val="auto"/>
          <w:spacing w:val="11"/>
          <w:u w:val="single" w:color="000000"/>
        </w:rPr>
        <w:t xml:space="preserve"> </w:t>
      </w:r>
      <w:r>
        <w:rPr>
          <w:rFonts w:hAnsi="宋体"/>
          <w:color w:val="auto"/>
          <w:spacing w:val="11"/>
          <w:u w:val="single" w:color="000000"/>
        </w:rPr>
        <w:tab/>
      </w:r>
      <w:r>
        <w:rPr>
          <w:rFonts w:hint="eastAsia" w:hAnsi="宋体"/>
          <w:color w:val="auto"/>
          <w:spacing w:val="12"/>
        </w:rPr>
        <w:t>万元</w:t>
      </w:r>
      <w:r>
        <w:rPr>
          <w:rFonts w:hint="eastAsia" w:hAnsi="宋体"/>
          <w:color w:val="auto"/>
          <w:spacing w:val="-55"/>
        </w:rPr>
        <w:t>，</w:t>
      </w:r>
      <w:r>
        <w:rPr>
          <w:rFonts w:hint="eastAsia" w:hAnsi="宋体"/>
          <w:color w:val="auto"/>
          <w:spacing w:val="12"/>
        </w:rPr>
        <w:t>资产总额</w:t>
      </w:r>
      <w:r>
        <w:rPr>
          <w:rFonts w:hint="eastAsia" w:hAnsi="宋体"/>
          <w:color w:val="auto"/>
          <w:spacing w:val="11"/>
        </w:rPr>
        <w:t>为</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spacing w:val="12"/>
        </w:rPr>
        <w:t>万元，属于</w:t>
      </w:r>
      <w:r>
        <w:rPr>
          <w:rFonts w:hint="eastAsia" w:hAnsi="宋体"/>
          <w:color w:val="auto"/>
          <w:spacing w:val="12"/>
          <w:u w:val="single" w:color="000000"/>
        </w:rPr>
        <w:t>（中型企业、小型企业、微型企业</w:t>
      </w:r>
      <w:r>
        <w:rPr>
          <w:rFonts w:hint="eastAsia" w:hAnsi="宋体"/>
          <w:color w:val="auto"/>
          <w:spacing w:val="-119"/>
          <w:u w:val="single" w:color="000000"/>
        </w:rPr>
        <w:t>）</w:t>
      </w:r>
      <w:r>
        <w:rPr>
          <w:rFonts w:hint="eastAsia" w:hAnsi="宋体"/>
          <w:color w:val="auto"/>
        </w:rPr>
        <w:t>；</w:t>
      </w:r>
    </w:p>
    <w:p w14:paraId="62FF8B1E">
      <w:pPr>
        <w:pStyle w:val="17"/>
        <w:kinsoku w:val="0"/>
        <w:overflowPunct w:val="0"/>
        <w:spacing w:before="10"/>
        <w:rPr>
          <w:rFonts w:hAnsi="宋体"/>
          <w:color w:val="auto"/>
          <w:sz w:val="31"/>
          <w:szCs w:val="31"/>
        </w:rPr>
      </w:pPr>
    </w:p>
    <w:p w14:paraId="03277F3B">
      <w:pPr>
        <w:pStyle w:val="17"/>
        <w:kinsoku w:val="0"/>
        <w:overflowPunct w:val="0"/>
        <w:ind w:left="1045"/>
        <w:rPr>
          <w:rFonts w:hAnsi="宋体" w:cs="Arial"/>
          <w:color w:val="auto"/>
        </w:rPr>
      </w:pPr>
      <w:r>
        <w:rPr>
          <w:rFonts w:hAnsi="宋体" w:cs="Arial"/>
          <w:color w:val="auto"/>
        </w:rPr>
        <w:t>……</w:t>
      </w:r>
    </w:p>
    <w:p w14:paraId="03B7A27D">
      <w:pPr>
        <w:pStyle w:val="17"/>
        <w:kinsoku w:val="0"/>
        <w:overflowPunct w:val="0"/>
        <w:spacing w:before="149" w:line="362" w:lineRule="auto"/>
        <w:ind w:left="541" w:right="577" w:firstLine="504"/>
        <w:rPr>
          <w:rFonts w:hAnsi="宋体"/>
          <w:color w:val="auto"/>
        </w:rPr>
      </w:pPr>
      <w:r>
        <w:rPr>
          <w:rFonts w:hint="eastAsia" w:hAnsi="宋体"/>
          <w:color w:val="auto"/>
        </w:rPr>
        <w:t>以上企业，不属于大企业的分支机构，不存在控股股东为大企业的情形，也不存在与大企业的负责人为同一人的情形。</w:t>
      </w:r>
    </w:p>
    <w:p w14:paraId="23627F4F">
      <w:pPr>
        <w:pStyle w:val="17"/>
        <w:kinsoku w:val="0"/>
        <w:overflowPunct w:val="0"/>
        <w:spacing w:before="5"/>
        <w:ind w:left="1045"/>
        <w:rPr>
          <w:rFonts w:hAnsi="宋体"/>
          <w:color w:val="auto"/>
        </w:rPr>
      </w:pPr>
      <w:r>
        <w:rPr>
          <w:rFonts w:hint="eastAsia" w:hAnsi="宋体"/>
          <w:color w:val="auto"/>
        </w:rPr>
        <w:t>本企业对上述声明内容的真实性负责。如有虚假，将依法承担相应责任。</w:t>
      </w:r>
    </w:p>
    <w:p w14:paraId="73F99ABF">
      <w:pPr>
        <w:pStyle w:val="17"/>
        <w:kinsoku w:val="0"/>
        <w:overflowPunct w:val="0"/>
        <w:rPr>
          <w:rFonts w:hAnsi="宋体"/>
          <w:color w:val="auto"/>
        </w:rPr>
      </w:pPr>
    </w:p>
    <w:p w14:paraId="2E3B2ED7">
      <w:pPr>
        <w:pStyle w:val="17"/>
        <w:kinsoku w:val="0"/>
        <w:overflowPunct w:val="0"/>
        <w:spacing w:before="1"/>
        <w:rPr>
          <w:rFonts w:hAnsi="宋体"/>
          <w:color w:val="auto"/>
          <w:sz w:val="21"/>
          <w:szCs w:val="21"/>
        </w:rPr>
      </w:pPr>
    </w:p>
    <w:p w14:paraId="1ECD81C3">
      <w:pPr>
        <w:pStyle w:val="17"/>
        <w:tabs>
          <w:tab w:val="left" w:pos="2812"/>
        </w:tabs>
        <w:kinsoku w:val="0"/>
        <w:overflowPunct w:val="0"/>
        <w:ind w:right="878"/>
        <w:jc w:val="right"/>
        <w:rPr>
          <w:rFonts w:hAnsi="宋体" w:cs="Times New Roman"/>
          <w:color w:val="auto"/>
        </w:rPr>
      </w:pPr>
      <w:r>
        <w:rPr>
          <w:rFonts w:hint="eastAsia" w:hAnsi="宋体"/>
          <w:color w:val="auto"/>
        </w:rPr>
        <w:t>企业名称（盖章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3E68951F">
      <w:pPr>
        <w:pStyle w:val="17"/>
        <w:tabs>
          <w:tab w:val="left" w:pos="1612"/>
        </w:tabs>
        <w:kinsoku w:val="0"/>
        <w:overflowPunct w:val="0"/>
        <w:spacing w:before="161"/>
        <w:ind w:right="878"/>
        <w:jc w:val="right"/>
        <w:rPr>
          <w:rFonts w:hAnsi="宋体" w:cs="Times New Roman"/>
          <w:color w:val="auto"/>
        </w:rPr>
      </w:pPr>
      <w:r>
        <w:rPr>
          <w:rFonts w:hint="eastAsia" w:hAnsi="宋体"/>
          <w:color w:val="auto"/>
        </w:rPr>
        <w:t>日</w:t>
      </w:r>
      <w:r>
        <w:rPr>
          <w:rFonts w:hAnsi="宋体"/>
          <w:color w:val="auto"/>
          <w:spacing w:val="-1"/>
        </w:rPr>
        <w:t xml:space="preserve"> </w:t>
      </w:r>
      <w:r>
        <w:rPr>
          <w:rFonts w:hint="eastAsia" w:hAnsi="宋体"/>
          <w:color w:val="auto"/>
        </w:rPr>
        <w:t>期：</w:t>
      </w:r>
      <w:r>
        <w:rPr>
          <w:rFonts w:hAnsi="宋体" w:cs="Times New Roman"/>
          <w:color w:val="auto"/>
          <w:u w:val="single" w:color="000000"/>
        </w:rPr>
        <w:t xml:space="preserve"> </w:t>
      </w:r>
      <w:r>
        <w:rPr>
          <w:rFonts w:hAnsi="宋体" w:cs="Times New Roman"/>
          <w:color w:val="auto"/>
          <w:u w:val="single" w:color="000000"/>
        </w:rPr>
        <w:tab/>
      </w:r>
    </w:p>
    <w:p w14:paraId="79C485D3">
      <w:pPr>
        <w:pStyle w:val="17"/>
        <w:kinsoku w:val="0"/>
        <w:overflowPunct w:val="0"/>
        <w:rPr>
          <w:rFonts w:hAnsi="宋体" w:cs="Times New Roman"/>
          <w:color w:val="auto"/>
          <w:sz w:val="20"/>
          <w:szCs w:val="20"/>
        </w:rPr>
      </w:pPr>
    </w:p>
    <w:p w14:paraId="1250062D">
      <w:pPr>
        <w:pStyle w:val="17"/>
        <w:kinsoku w:val="0"/>
        <w:overflowPunct w:val="0"/>
        <w:rPr>
          <w:rFonts w:hAnsi="宋体" w:cs="Times New Roman"/>
          <w:color w:val="auto"/>
          <w:sz w:val="20"/>
          <w:szCs w:val="20"/>
        </w:rPr>
      </w:pPr>
    </w:p>
    <w:p w14:paraId="0B5EDE54">
      <w:pPr>
        <w:pStyle w:val="17"/>
        <w:kinsoku w:val="0"/>
        <w:overflowPunct w:val="0"/>
        <w:spacing w:before="8"/>
        <w:rPr>
          <w:rFonts w:hAnsi="宋体" w:cs="Times New Roman"/>
          <w:color w:val="auto"/>
          <w:sz w:val="18"/>
          <w:szCs w:val="18"/>
        </w:rPr>
      </w:pPr>
      <w:r>
        <w:rPr>
          <w:rFonts w:hAnsi="宋体"/>
          <w:color w:val="auto"/>
        </w:rPr>
        <mc:AlternateContent>
          <mc:Choice Requires="wps">
            <w:drawing>
              <wp:anchor distT="0" distB="0" distL="0" distR="0" simplePos="0" relativeHeight="251667456" behindDoc="0" locked="0" layoutInCell="0" allowOverlap="1">
                <wp:simplePos x="0" y="0"/>
                <wp:positionH relativeFrom="page">
                  <wp:posOffset>1010920</wp:posOffset>
                </wp:positionH>
                <wp:positionV relativeFrom="paragraph">
                  <wp:posOffset>164465</wp:posOffset>
                </wp:positionV>
                <wp:extent cx="5681345" cy="12700"/>
                <wp:effectExtent l="0" t="0" r="0" b="0"/>
                <wp:wrapTopAndBottom/>
                <wp:docPr id="588462380" name="Freeform 16"/>
                <wp:cNvGraphicFramePr/>
                <a:graphic xmlns:a="http://schemas.openxmlformats.org/drawingml/2006/main">
                  <a:graphicData uri="http://schemas.microsoft.com/office/word/2010/wordprocessingShape">
                    <wps:wsp>
                      <wps:cNvSpPr/>
                      <wps:spPr bwMode="auto">
                        <a:xfrm>
                          <a:off x="0" y="0"/>
                          <a:ext cx="5681345" cy="12700"/>
                        </a:xfrm>
                        <a:custGeom>
                          <a:avLst/>
                          <a:gdLst>
                            <a:gd name="T0" fmla="*/ 0 w 8947"/>
                            <a:gd name="T1" fmla="*/ 0 h 20"/>
                            <a:gd name="T2" fmla="*/ 8946 w 8947"/>
                            <a:gd name="T3" fmla="*/ 0 h 20"/>
                          </a:gdLst>
                          <a:ahLst/>
                          <a:cxnLst>
                            <a:cxn ang="0">
                              <a:pos x="T0" y="T1"/>
                            </a:cxn>
                            <a:cxn ang="0">
                              <a:pos x="T2" y="T3"/>
                            </a:cxn>
                          </a:cxnLst>
                          <a:rect l="0" t="0" r="r" b="b"/>
                          <a:pathLst>
                            <a:path w="8947" h="20">
                              <a:moveTo>
                                <a:pt x="0" y="0"/>
                              </a:moveTo>
                              <a:lnTo>
                                <a:pt x="8946" y="0"/>
                              </a:lnTo>
                            </a:path>
                          </a:pathLst>
                        </a:custGeom>
                        <a:noFill/>
                        <a:ln w="6096">
                          <a:solidFill>
                            <a:srgbClr val="000000"/>
                          </a:solidFill>
                          <a:round/>
                        </a:ln>
                      </wps:spPr>
                      <wps:bodyPr rot="0" vert="horz" wrap="square" lIns="91440" tIns="45720" rIns="91440" bIns="45720" anchor="t" anchorCtr="0" upright="1">
                        <a:noAutofit/>
                      </wps:bodyPr>
                    </wps:wsp>
                  </a:graphicData>
                </a:graphic>
              </wp:anchor>
            </w:drawing>
          </mc:Choice>
          <mc:Fallback>
            <w:pict>
              <v:shape id="Freeform 16" o:spid="_x0000_s1026" o:spt="100" style="position:absolute;left:0pt;margin-left:79.6pt;margin-top:12.95pt;height:1pt;width:447.35pt;mso-position-horizontal-relative:page;mso-wrap-distance-bottom:0pt;mso-wrap-distance-top:0pt;z-index:251667456;mso-width-relative:page;mso-height-relative:page;" filled="f" stroked="t" coordsize="8947,20" o:allowincell="f" o:gfxdata="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DlV4DXZAAAACgEAAA8AAAAAAAAAAQAgAAAAIgAAAGRycy9kb3ducmV2&#10;LnhtbFBLAQIUABQAAAAIAIdO4kC/Vy+upgIAAMoFAAAOAAAAAAAAAAEAIAAAACgBAABkcnMvZTJv&#10;RG9jLnhtbFBLBQYAAAAABgAGAFkBAABABgAAAAA=&#10;" path="m0,0l8946,0e">
                <v:path o:connectlocs="0,0;5680710,0" o:connectangles="0,0"/>
                <v:fill on="f" focussize="0,0"/>
                <v:stroke weight="0.48pt" color="#000000" joinstyle="round"/>
                <v:imagedata o:title=""/>
                <o:lock v:ext="edit" aspectratio="f"/>
                <w10:wrap type="topAndBottom"/>
              </v:shape>
            </w:pict>
          </mc:Fallback>
        </mc:AlternateContent>
      </w:r>
    </w:p>
    <w:p w14:paraId="428DDA41">
      <w:pPr>
        <w:pStyle w:val="17"/>
        <w:kinsoku w:val="0"/>
        <w:overflowPunct w:val="0"/>
        <w:spacing w:line="242" w:lineRule="exact"/>
        <w:ind w:left="541"/>
        <w:rPr>
          <w:rFonts w:hAnsi="宋体"/>
          <w:color w:val="auto"/>
          <w:sz w:val="21"/>
          <w:szCs w:val="21"/>
        </w:rPr>
      </w:pPr>
      <w:r>
        <w:rPr>
          <w:rFonts w:hAnsi="宋体" w:cs="Arial"/>
          <w:color w:val="auto"/>
          <w:position w:val="6"/>
          <w:sz w:val="14"/>
          <w:szCs w:val="14"/>
        </w:rPr>
        <w:t xml:space="preserve">1 </w:t>
      </w:r>
      <w:r>
        <w:rPr>
          <w:rFonts w:hint="eastAsia" w:hAnsi="宋体"/>
          <w:color w:val="auto"/>
          <w:sz w:val="21"/>
          <w:szCs w:val="21"/>
        </w:rPr>
        <w:t>从业人员、营业收入、资产总额填报上一年度数据，无上一年度数据的新成立企业可不填报。</w:t>
      </w:r>
    </w:p>
    <w:p w14:paraId="383981B4">
      <w:pPr>
        <w:pStyle w:val="17"/>
        <w:kinsoku w:val="0"/>
        <w:overflowPunct w:val="0"/>
        <w:spacing w:line="242" w:lineRule="exact"/>
        <w:ind w:left="541"/>
        <w:rPr>
          <w:rFonts w:hAnsi="宋体"/>
          <w:color w:val="auto"/>
          <w:sz w:val="21"/>
          <w:szCs w:val="21"/>
        </w:rPr>
        <w:sectPr>
          <w:pgSz w:w="11910" w:h="16840"/>
          <w:pgMar w:top="1340" w:right="560" w:bottom="1080" w:left="1160" w:header="879" w:footer="879" w:gutter="0"/>
          <w:pgNumType w:fmt="decimal"/>
          <w:cols w:space="720" w:num="1"/>
        </w:sectPr>
      </w:pPr>
    </w:p>
    <w:p w14:paraId="5003252E">
      <w:pPr>
        <w:pStyle w:val="2"/>
        <w:kinsoku w:val="0"/>
        <w:overflowPunct w:val="0"/>
        <w:ind w:right="26"/>
        <w:rPr>
          <w:rFonts w:hAnsi="宋体"/>
          <w:color w:val="auto"/>
        </w:rPr>
      </w:pPr>
      <w:bookmarkStart w:id="64" w:name="_Toc149147569"/>
      <w:bookmarkStart w:id="65" w:name="_Toc149147724"/>
      <w:r>
        <w:rPr>
          <w:rFonts w:hint="eastAsia" w:hAnsi="宋体"/>
          <w:color w:val="auto"/>
        </w:rPr>
        <w:t>残疾人福利性单位声明函格式</w:t>
      </w:r>
      <w:bookmarkEnd w:id="64"/>
      <w:bookmarkEnd w:id="65"/>
    </w:p>
    <w:p w14:paraId="3241542A">
      <w:pPr>
        <w:pStyle w:val="17"/>
        <w:kinsoku w:val="0"/>
        <w:overflowPunct w:val="0"/>
        <w:rPr>
          <w:rFonts w:hAnsi="宋体"/>
          <w:color w:val="auto"/>
          <w:sz w:val="36"/>
          <w:szCs w:val="36"/>
        </w:rPr>
      </w:pPr>
    </w:p>
    <w:p w14:paraId="5B9641CB">
      <w:pPr>
        <w:pStyle w:val="17"/>
        <w:kinsoku w:val="0"/>
        <w:overflowPunct w:val="0"/>
        <w:spacing w:before="246" w:line="458" w:lineRule="auto"/>
        <w:ind w:left="541" w:right="458" w:firstLine="504"/>
        <w:rPr>
          <w:rFonts w:hAnsi="宋体"/>
          <w:color w:val="auto"/>
        </w:rPr>
      </w:pPr>
      <w:r>
        <w:rPr>
          <w:rFonts w:hint="eastAsia" w:hAnsi="宋体"/>
          <w:color w:val="auto"/>
          <w:spacing w:val="8"/>
        </w:rPr>
        <w:t>本单位郑重声明，根据《财政部</w:t>
      </w:r>
      <w:r>
        <w:rPr>
          <w:rFonts w:hAnsi="宋体"/>
          <w:color w:val="auto"/>
          <w:spacing w:val="8"/>
        </w:rPr>
        <w:t xml:space="preserve"> </w:t>
      </w:r>
      <w:r>
        <w:rPr>
          <w:rFonts w:hint="eastAsia" w:hAnsi="宋体"/>
          <w:color w:val="auto"/>
          <w:spacing w:val="8"/>
        </w:rPr>
        <w:t>民政部</w:t>
      </w:r>
      <w:r>
        <w:rPr>
          <w:rFonts w:hAnsi="宋体"/>
          <w:color w:val="auto"/>
          <w:spacing w:val="8"/>
        </w:rPr>
        <w:t xml:space="preserve"> </w:t>
      </w:r>
      <w:r>
        <w:rPr>
          <w:rFonts w:hint="eastAsia" w:hAnsi="宋体"/>
          <w:color w:val="auto"/>
          <w:spacing w:val="8"/>
        </w:rPr>
        <w:t>中国残疾人联合会关于促进残疾人就</w:t>
      </w:r>
      <w:r>
        <w:rPr>
          <w:rFonts w:hint="eastAsia" w:hAnsi="宋体"/>
          <w:color w:val="auto"/>
        </w:rPr>
        <w:t>业政府采购政策的通知》</w:t>
      </w:r>
      <w:r>
        <w:rPr>
          <w:rFonts w:hint="eastAsia" w:hAnsi="宋体"/>
          <w:color w:val="auto"/>
          <w:spacing w:val="12"/>
        </w:rPr>
        <w:t>（</w:t>
      </w:r>
      <w:r>
        <w:rPr>
          <w:rFonts w:hint="eastAsia" w:hAnsi="宋体"/>
          <w:color w:val="auto"/>
          <w:spacing w:val="5"/>
        </w:rPr>
        <w:t>财库〔</w:t>
      </w:r>
      <w:r>
        <w:rPr>
          <w:rFonts w:hAnsi="宋体" w:cs="Arial"/>
          <w:color w:val="auto"/>
          <w:spacing w:val="-2"/>
          <w:w w:val="114"/>
        </w:rPr>
        <w:t>2</w:t>
      </w:r>
      <w:r>
        <w:rPr>
          <w:rFonts w:hAnsi="宋体" w:cs="Arial"/>
          <w:color w:val="auto"/>
          <w:w w:val="114"/>
        </w:rPr>
        <w:t>0</w:t>
      </w:r>
      <w:r>
        <w:rPr>
          <w:rFonts w:hAnsi="宋体" w:cs="Arial"/>
          <w:color w:val="auto"/>
          <w:spacing w:val="-2"/>
          <w:w w:val="114"/>
        </w:rPr>
        <w:t>1</w:t>
      </w:r>
      <w:r>
        <w:rPr>
          <w:rFonts w:hAnsi="宋体" w:cs="Arial"/>
          <w:color w:val="auto"/>
          <w:spacing w:val="3"/>
          <w:w w:val="114"/>
        </w:rPr>
        <w:t>7</w:t>
      </w:r>
      <w:r>
        <w:rPr>
          <w:rFonts w:hint="eastAsia" w:hAnsi="宋体"/>
          <w:color w:val="auto"/>
          <w:spacing w:val="-2"/>
        </w:rPr>
        <w:t>〕</w:t>
      </w:r>
      <w:r>
        <w:rPr>
          <w:rFonts w:hAnsi="宋体"/>
          <w:color w:val="auto"/>
          <w:spacing w:val="-2"/>
        </w:rPr>
        <w:t xml:space="preserve"> </w:t>
      </w:r>
      <w:r>
        <w:rPr>
          <w:rFonts w:hAnsi="宋体" w:cs="Arial"/>
          <w:color w:val="auto"/>
          <w:spacing w:val="-2"/>
          <w:w w:val="114"/>
        </w:rPr>
        <w:t>14</w:t>
      </w:r>
      <w:r>
        <w:rPr>
          <w:rFonts w:hAnsi="宋体" w:cs="Arial"/>
          <w:color w:val="auto"/>
          <w:w w:val="114"/>
        </w:rPr>
        <w:t>1</w:t>
      </w:r>
      <w:r>
        <w:rPr>
          <w:rFonts w:hAnsi="宋体" w:cs="Arial"/>
          <w:color w:val="auto"/>
        </w:rPr>
        <w:t xml:space="preserve"> </w:t>
      </w:r>
      <w:r>
        <w:rPr>
          <w:rFonts w:hint="eastAsia" w:hAnsi="宋体"/>
          <w:color w:val="auto"/>
          <w:spacing w:val="12"/>
        </w:rPr>
        <w:t>号</w:t>
      </w:r>
      <w:r>
        <w:rPr>
          <w:rFonts w:hint="eastAsia" w:hAnsi="宋体"/>
          <w:color w:val="auto"/>
          <w:spacing w:val="9"/>
        </w:rPr>
        <w:t>）</w:t>
      </w:r>
      <w:r>
        <w:rPr>
          <w:rFonts w:hint="eastAsia" w:hAnsi="宋体"/>
          <w:color w:val="auto"/>
          <w:spacing w:val="10"/>
        </w:rPr>
        <w:t>的规定，本单位</w:t>
      </w:r>
      <w:r>
        <w:rPr>
          <w:rFonts w:hint="eastAsia" w:hAnsi="宋体"/>
          <w:color w:val="auto"/>
          <w:spacing w:val="2"/>
        </w:rPr>
        <w:t>（</w:t>
      </w:r>
      <w:r>
        <w:rPr>
          <w:rFonts w:hint="eastAsia" w:hAnsi="宋体"/>
          <w:color w:val="auto"/>
        </w:rPr>
        <w:t>请进行选择</w:t>
      </w:r>
      <w:r>
        <w:rPr>
          <w:rFonts w:hint="eastAsia" w:hAnsi="宋体"/>
          <w:color w:val="auto"/>
          <w:spacing w:val="-121"/>
        </w:rPr>
        <w:t>）</w:t>
      </w:r>
      <w:r>
        <w:rPr>
          <w:rFonts w:hint="eastAsia" w:hAnsi="宋体"/>
          <w:color w:val="auto"/>
        </w:rPr>
        <w:t>：</w:t>
      </w:r>
    </w:p>
    <w:p w14:paraId="231B337C">
      <w:pPr>
        <w:pStyle w:val="17"/>
        <w:kinsoku w:val="0"/>
        <w:overflowPunct w:val="0"/>
        <w:spacing w:before="1"/>
        <w:ind w:left="1023"/>
        <w:rPr>
          <w:rFonts w:hint="eastAsia" w:ascii="宋体" w:hAnsi="宋体" w:eastAsia="宋体" w:cs="宋体"/>
          <w:color w:val="auto"/>
          <w:w w:val="105"/>
        </w:rPr>
      </w:pPr>
      <w:r>
        <w:rPr>
          <w:rFonts w:hint="eastAsia" w:ascii="宋体" w:hAnsi="宋体" w:eastAsia="宋体" w:cs="宋体"/>
          <w:b/>
          <w:bCs/>
          <w:color w:val="auto"/>
          <w:w w:val="140"/>
        </w:rPr>
        <w:sym w:font="Wingdings 2" w:char="00A3"/>
      </w:r>
      <w:r>
        <w:rPr>
          <w:rFonts w:hint="eastAsia" w:ascii="宋体" w:hAnsi="宋体" w:eastAsia="宋体" w:cs="宋体"/>
          <w:color w:val="auto"/>
          <w:w w:val="105"/>
        </w:rPr>
        <w:t>不属于符合条件的残疾人福利性单位。</w:t>
      </w:r>
    </w:p>
    <w:p w14:paraId="2A62CE26">
      <w:pPr>
        <w:pStyle w:val="17"/>
        <w:kinsoku w:val="0"/>
        <w:overflowPunct w:val="0"/>
        <w:spacing w:before="7"/>
        <w:rPr>
          <w:rFonts w:hint="eastAsia" w:ascii="宋体" w:hAnsi="宋体" w:eastAsia="宋体" w:cs="宋体"/>
          <w:color w:val="auto"/>
          <w:sz w:val="21"/>
          <w:szCs w:val="21"/>
        </w:rPr>
      </w:pPr>
    </w:p>
    <w:p w14:paraId="73A45C9B">
      <w:pPr>
        <w:pStyle w:val="17"/>
        <w:tabs>
          <w:tab w:val="left" w:pos="7628"/>
          <w:tab w:val="left" w:pos="9118"/>
        </w:tabs>
        <w:kinsoku w:val="0"/>
        <w:overflowPunct w:val="0"/>
        <w:spacing w:line="456" w:lineRule="auto"/>
        <w:ind w:left="541" w:right="569" w:firstLine="482"/>
        <w:jc w:val="both"/>
        <w:rPr>
          <w:rFonts w:hAnsi="宋体"/>
          <w:color w:val="auto"/>
        </w:rPr>
      </w:pPr>
      <w:r>
        <w:rPr>
          <w:rFonts w:hint="eastAsia" w:ascii="宋体" w:hAnsi="宋体" w:eastAsia="宋体" w:cs="宋体"/>
          <w:b/>
          <w:bCs/>
          <w:color w:val="auto"/>
          <w:w w:val="135"/>
        </w:rPr>
        <w:t>□</w:t>
      </w:r>
      <w:r>
        <w:rPr>
          <w:rFonts w:hint="eastAsia" w:hAnsi="宋体"/>
          <w:color w:val="auto"/>
          <w:spacing w:val="16"/>
        </w:rPr>
        <w:t>属于符合</w:t>
      </w:r>
      <w:r>
        <w:rPr>
          <w:rFonts w:hint="eastAsia" w:hAnsi="宋体"/>
          <w:color w:val="auto"/>
          <w:spacing w:val="19"/>
        </w:rPr>
        <w:t>条</w:t>
      </w:r>
      <w:r>
        <w:rPr>
          <w:rFonts w:hint="eastAsia" w:hAnsi="宋体"/>
          <w:color w:val="auto"/>
          <w:spacing w:val="16"/>
        </w:rPr>
        <w:t>件的残疾人福利性</w:t>
      </w:r>
      <w:r>
        <w:rPr>
          <w:rFonts w:hint="eastAsia" w:hAnsi="宋体"/>
          <w:color w:val="auto"/>
          <w:spacing w:val="19"/>
        </w:rPr>
        <w:t>单</w:t>
      </w:r>
      <w:r>
        <w:rPr>
          <w:rFonts w:hint="eastAsia" w:hAnsi="宋体"/>
          <w:color w:val="auto"/>
          <w:spacing w:val="16"/>
        </w:rPr>
        <w:t>位</w:t>
      </w:r>
      <w:r>
        <w:rPr>
          <w:rFonts w:hint="eastAsia" w:hAnsi="宋体"/>
          <w:color w:val="auto"/>
          <w:spacing w:val="18"/>
        </w:rPr>
        <w:t>，</w:t>
      </w:r>
      <w:r>
        <w:rPr>
          <w:rFonts w:hint="eastAsia" w:hAnsi="宋体"/>
          <w:color w:val="auto"/>
          <w:spacing w:val="16"/>
        </w:rPr>
        <w:t>且</w:t>
      </w:r>
      <w:r>
        <w:rPr>
          <w:rFonts w:hint="eastAsia" w:hAnsi="宋体"/>
          <w:color w:val="auto"/>
          <w:spacing w:val="14"/>
        </w:rPr>
        <w:t>本</w:t>
      </w:r>
      <w:r>
        <w:rPr>
          <w:rFonts w:hint="eastAsia" w:hAnsi="宋体"/>
          <w:color w:val="auto"/>
          <w:spacing w:val="16"/>
        </w:rPr>
        <w:t>单位参</w:t>
      </w:r>
      <w:r>
        <w:rPr>
          <w:rFonts w:hint="eastAsia" w:hAnsi="宋体"/>
          <w:color w:val="auto"/>
          <w:spacing w:val="14"/>
        </w:rPr>
        <w:t>加</w:t>
      </w:r>
      <w:r>
        <w:rPr>
          <w:rFonts w:hAnsi="宋体"/>
          <w:color w:val="auto"/>
          <w:spacing w:val="14"/>
          <w:u w:val="single" w:color="000000"/>
        </w:rPr>
        <w:t xml:space="preserve"> </w:t>
      </w:r>
      <w:r>
        <w:rPr>
          <w:rFonts w:hAnsi="宋体"/>
          <w:color w:val="auto"/>
          <w:spacing w:val="14"/>
          <w:u w:val="single" w:color="000000"/>
        </w:rPr>
        <w:tab/>
      </w:r>
      <w:r>
        <w:rPr>
          <w:rFonts w:hint="eastAsia" w:hAnsi="宋体"/>
          <w:color w:val="auto"/>
          <w:spacing w:val="16"/>
        </w:rPr>
        <w:t>单</w:t>
      </w:r>
      <w:r>
        <w:rPr>
          <w:rFonts w:hint="eastAsia" w:hAnsi="宋体"/>
          <w:color w:val="auto"/>
          <w:spacing w:val="14"/>
        </w:rPr>
        <w:t>位</w:t>
      </w:r>
      <w:r>
        <w:rPr>
          <w:rFonts w:hint="eastAsia" w:hAnsi="宋体"/>
          <w:color w:val="auto"/>
          <w:spacing w:val="16"/>
        </w:rPr>
        <w:t>的</w:t>
      </w:r>
      <w:r>
        <w:rPr>
          <w:rFonts w:hAnsi="宋体"/>
          <w:color w:val="auto"/>
          <w:spacing w:val="16"/>
          <w:u w:val="single" w:color="000000"/>
        </w:rPr>
        <w:t xml:space="preserve"> </w:t>
      </w:r>
      <w:r>
        <w:rPr>
          <w:rFonts w:hAnsi="宋体"/>
          <w:color w:val="auto"/>
          <w:spacing w:val="16"/>
          <w:u w:val="single" w:color="000000"/>
        </w:rPr>
        <w:tab/>
      </w:r>
      <w:r>
        <w:rPr>
          <w:rFonts w:hint="eastAsia" w:hAnsi="宋体"/>
          <w:color w:val="auto"/>
          <w:spacing w:val="16"/>
        </w:rPr>
        <w:t>项</w:t>
      </w:r>
      <w:r>
        <w:rPr>
          <w:rFonts w:hint="eastAsia" w:hAnsi="宋体"/>
          <w:color w:val="auto"/>
          <w:spacing w:val="-16"/>
        </w:rPr>
        <w:t>目</w:t>
      </w:r>
      <w:r>
        <w:rPr>
          <w:rFonts w:hint="eastAsia" w:hAnsi="宋体"/>
          <w:color w:val="auto"/>
          <w:spacing w:val="12"/>
        </w:rPr>
        <w:t>采</w:t>
      </w:r>
      <w:r>
        <w:rPr>
          <w:rFonts w:hint="eastAsia" w:hAnsi="宋体"/>
          <w:color w:val="auto"/>
          <w:spacing w:val="14"/>
        </w:rPr>
        <w:t>购</w:t>
      </w:r>
      <w:r>
        <w:rPr>
          <w:rFonts w:hint="eastAsia" w:hAnsi="宋体"/>
          <w:color w:val="auto"/>
          <w:spacing w:val="12"/>
        </w:rPr>
        <w:t>活</w:t>
      </w:r>
      <w:r>
        <w:rPr>
          <w:rFonts w:hint="eastAsia" w:hAnsi="宋体"/>
          <w:color w:val="auto"/>
          <w:spacing w:val="14"/>
        </w:rPr>
        <w:t>动</w:t>
      </w:r>
      <w:r>
        <w:rPr>
          <w:rFonts w:hint="eastAsia" w:hAnsi="宋体"/>
          <w:color w:val="auto"/>
          <w:spacing w:val="12"/>
        </w:rPr>
        <w:t>提</w:t>
      </w:r>
      <w:r>
        <w:rPr>
          <w:rFonts w:hint="eastAsia" w:hAnsi="宋体"/>
          <w:color w:val="auto"/>
          <w:spacing w:val="14"/>
        </w:rPr>
        <w:t>供</w:t>
      </w:r>
      <w:r>
        <w:rPr>
          <w:rFonts w:hint="eastAsia" w:hAnsi="宋体"/>
          <w:color w:val="auto"/>
          <w:spacing w:val="12"/>
        </w:rPr>
        <w:t>本</w:t>
      </w:r>
      <w:r>
        <w:rPr>
          <w:rFonts w:hint="eastAsia" w:hAnsi="宋体"/>
          <w:color w:val="auto"/>
          <w:spacing w:val="14"/>
        </w:rPr>
        <w:t>单</w:t>
      </w:r>
      <w:r>
        <w:rPr>
          <w:rFonts w:hint="eastAsia" w:hAnsi="宋体"/>
          <w:color w:val="auto"/>
          <w:spacing w:val="12"/>
        </w:rPr>
        <w:t>位</w:t>
      </w:r>
      <w:r>
        <w:rPr>
          <w:rFonts w:hint="eastAsia" w:hAnsi="宋体"/>
          <w:color w:val="auto"/>
          <w:spacing w:val="14"/>
        </w:rPr>
        <w:t>制</w:t>
      </w:r>
      <w:r>
        <w:rPr>
          <w:rFonts w:hint="eastAsia" w:hAnsi="宋体"/>
          <w:color w:val="auto"/>
          <w:spacing w:val="12"/>
        </w:rPr>
        <w:t>造</w:t>
      </w:r>
      <w:r>
        <w:rPr>
          <w:rFonts w:hint="eastAsia" w:hAnsi="宋体"/>
          <w:color w:val="auto"/>
          <w:spacing w:val="14"/>
        </w:rPr>
        <w:t>的</w:t>
      </w:r>
      <w:r>
        <w:rPr>
          <w:rFonts w:hint="eastAsia" w:hAnsi="宋体"/>
          <w:color w:val="auto"/>
          <w:spacing w:val="12"/>
        </w:rPr>
        <w:t>货物</w:t>
      </w:r>
      <w:r>
        <w:rPr>
          <w:rFonts w:hint="eastAsia" w:hAnsi="宋体"/>
          <w:color w:val="auto"/>
          <w:spacing w:val="14"/>
        </w:rPr>
        <w:t>（</w:t>
      </w:r>
      <w:r>
        <w:rPr>
          <w:rFonts w:hint="eastAsia" w:hAnsi="宋体"/>
          <w:color w:val="auto"/>
          <w:spacing w:val="12"/>
        </w:rPr>
        <w:t>由</w:t>
      </w:r>
      <w:r>
        <w:rPr>
          <w:rFonts w:hint="eastAsia" w:hAnsi="宋体"/>
          <w:color w:val="auto"/>
          <w:spacing w:val="14"/>
        </w:rPr>
        <w:t>本</w:t>
      </w:r>
      <w:r>
        <w:rPr>
          <w:rFonts w:hint="eastAsia" w:hAnsi="宋体"/>
          <w:color w:val="auto"/>
          <w:spacing w:val="12"/>
        </w:rPr>
        <w:t>单</w:t>
      </w:r>
      <w:r>
        <w:rPr>
          <w:rFonts w:hint="eastAsia" w:hAnsi="宋体"/>
          <w:color w:val="auto"/>
          <w:spacing w:val="14"/>
        </w:rPr>
        <w:t>位</w:t>
      </w:r>
      <w:r>
        <w:rPr>
          <w:rFonts w:hint="eastAsia" w:hAnsi="宋体"/>
          <w:color w:val="auto"/>
          <w:spacing w:val="12"/>
        </w:rPr>
        <w:t>承</w:t>
      </w:r>
      <w:r>
        <w:rPr>
          <w:rFonts w:hint="eastAsia" w:hAnsi="宋体"/>
          <w:color w:val="auto"/>
          <w:spacing w:val="14"/>
        </w:rPr>
        <w:t>担</w:t>
      </w:r>
      <w:r>
        <w:rPr>
          <w:rFonts w:hint="eastAsia" w:hAnsi="宋体"/>
          <w:color w:val="auto"/>
          <w:spacing w:val="12"/>
        </w:rPr>
        <w:t>工</w:t>
      </w:r>
      <w:r>
        <w:rPr>
          <w:rFonts w:hint="eastAsia" w:hAnsi="宋体"/>
          <w:color w:val="auto"/>
          <w:spacing w:val="9"/>
        </w:rPr>
        <w:t>程</w:t>
      </w:r>
      <w:r>
        <w:rPr>
          <w:rFonts w:hAnsi="宋体" w:cs="Arial"/>
          <w:color w:val="auto"/>
          <w:spacing w:val="7"/>
          <w:w w:val="121"/>
        </w:rPr>
        <w:t>/</w:t>
      </w:r>
      <w:r>
        <w:rPr>
          <w:rFonts w:hint="eastAsia" w:hAnsi="宋体"/>
          <w:color w:val="auto"/>
          <w:spacing w:val="12"/>
        </w:rPr>
        <w:t>提</w:t>
      </w:r>
      <w:r>
        <w:rPr>
          <w:rFonts w:hint="eastAsia" w:hAnsi="宋体"/>
          <w:color w:val="auto"/>
          <w:spacing w:val="14"/>
        </w:rPr>
        <w:t>供</w:t>
      </w:r>
      <w:r>
        <w:rPr>
          <w:rFonts w:hint="eastAsia" w:hAnsi="宋体"/>
          <w:color w:val="auto"/>
          <w:spacing w:val="12"/>
        </w:rPr>
        <w:t>服务</w:t>
      </w:r>
      <w:r>
        <w:rPr>
          <w:rFonts w:hint="eastAsia" w:hAnsi="宋体"/>
          <w:color w:val="auto"/>
          <w:spacing w:val="-111"/>
        </w:rPr>
        <w:t>）</w:t>
      </w:r>
      <w:r>
        <w:rPr>
          <w:rFonts w:hint="eastAsia" w:hAnsi="宋体"/>
          <w:color w:val="auto"/>
          <w:spacing w:val="12"/>
        </w:rPr>
        <w:t>，</w:t>
      </w:r>
      <w:r>
        <w:rPr>
          <w:rFonts w:hint="eastAsia" w:hAnsi="宋体"/>
          <w:color w:val="auto"/>
          <w:spacing w:val="14"/>
        </w:rPr>
        <w:t>或</w:t>
      </w:r>
      <w:r>
        <w:rPr>
          <w:rFonts w:hint="eastAsia" w:hAnsi="宋体"/>
          <w:color w:val="auto"/>
          <w:spacing w:val="12"/>
        </w:rPr>
        <w:t>者</w:t>
      </w:r>
      <w:r>
        <w:rPr>
          <w:rFonts w:hint="eastAsia" w:hAnsi="宋体"/>
          <w:color w:val="auto"/>
          <w:spacing w:val="14"/>
        </w:rPr>
        <w:t>提</w:t>
      </w:r>
      <w:r>
        <w:rPr>
          <w:rFonts w:hint="eastAsia" w:hAnsi="宋体"/>
          <w:color w:val="auto"/>
          <w:spacing w:val="12"/>
        </w:rPr>
        <w:t>供</w:t>
      </w:r>
      <w:r>
        <w:rPr>
          <w:rFonts w:hint="eastAsia" w:hAnsi="宋体"/>
          <w:color w:val="auto"/>
          <w:spacing w:val="14"/>
        </w:rPr>
        <w:t>其</w:t>
      </w:r>
      <w:r>
        <w:rPr>
          <w:rFonts w:hint="eastAsia" w:hAnsi="宋体"/>
          <w:color w:val="auto"/>
          <w:spacing w:val="12"/>
        </w:rPr>
        <w:t>他</w:t>
      </w:r>
      <w:r>
        <w:rPr>
          <w:rFonts w:hint="eastAsia" w:hAnsi="宋体"/>
          <w:color w:val="auto"/>
        </w:rPr>
        <w:t>残</w:t>
      </w:r>
      <w:r>
        <w:rPr>
          <w:rFonts w:hint="eastAsia" w:hAnsi="宋体"/>
          <w:color w:val="auto"/>
          <w:spacing w:val="12"/>
        </w:rPr>
        <w:t>疾人福利性单位制造的货物（不包括使用非残疾人福利性单位注册商标的货物</w:t>
      </w:r>
      <w:r>
        <w:rPr>
          <w:rFonts w:hint="eastAsia" w:hAnsi="宋体"/>
          <w:color w:val="auto"/>
          <w:spacing w:val="-116"/>
        </w:rPr>
        <w:t>）</w:t>
      </w:r>
      <w:r>
        <w:rPr>
          <w:rFonts w:hint="eastAsia" w:hAnsi="宋体"/>
          <w:color w:val="auto"/>
        </w:rPr>
        <w:t>。</w:t>
      </w:r>
    </w:p>
    <w:p w14:paraId="136E527E">
      <w:pPr>
        <w:pStyle w:val="17"/>
        <w:kinsoku w:val="0"/>
        <w:overflowPunct w:val="0"/>
        <w:spacing w:before="7"/>
        <w:ind w:left="1045"/>
        <w:rPr>
          <w:rFonts w:hAnsi="宋体"/>
          <w:color w:val="auto"/>
        </w:rPr>
      </w:pPr>
      <w:r>
        <w:rPr>
          <w:rFonts w:hint="eastAsia" w:hAnsi="宋体"/>
          <w:color w:val="auto"/>
        </w:rPr>
        <w:t>本单位对上述声明的真实性负责。如有虚假，将依法承担相应责任。</w:t>
      </w:r>
    </w:p>
    <w:p w14:paraId="089ACDA7">
      <w:pPr>
        <w:pStyle w:val="17"/>
        <w:kinsoku w:val="0"/>
        <w:overflowPunct w:val="0"/>
        <w:rPr>
          <w:rFonts w:hAnsi="宋体"/>
          <w:color w:val="auto"/>
        </w:rPr>
      </w:pPr>
    </w:p>
    <w:p w14:paraId="7BD71FA3">
      <w:pPr>
        <w:pStyle w:val="17"/>
        <w:kinsoku w:val="0"/>
        <w:overflowPunct w:val="0"/>
        <w:rPr>
          <w:rFonts w:hAnsi="宋体"/>
          <w:color w:val="auto"/>
        </w:rPr>
      </w:pPr>
    </w:p>
    <w:p w14:paraId="4592FBFB">
      <w:pPr>
        <w:pStyle w:val="17"/>
        <w:kinsoku w:val="0"/>
        <w:overflowPunct w:val="0"/>
        <w:rPr>
          <w:rFonts w:hAnsi="宋体"/>
          <w:color w:val="auto"/>
        </w:rPr>
      </w:pPr>
    </w:p>
    <w:p w14:paraId="12B773C9">
      <w:pPr>
        <w:pStyle w:val="17"/>
        <w:kinsoku w:val="0"/>
        <w:overflowPunct w:val="0"/>
        <w:rPr>
          <w:rFonts w:hAnsi="宋体"/>
          <w:color w:val="auto"/>
        </w:rPr>
      </w:pPr>
    </w:p>
    <w:p w14:paraId="150DCA4F">
      <w:pPr>
        <w:pStyle w:val="17"/>
        <w:kinsoku w:val="0"/>
        <w:overflowPunct w:val="0"/>
        <w:spacing w:before="8"/>
        <w:rPr>
          <w:rFonts w:hAnsi="宋体"/>
          <w:color w:val="auto"/>
          <w:sz w:val="17"/>
          <w:szCs w:val="17"/>
        </w:rPr>
      </w:pPr>
    </w:p>
    <w:p w14:paraId="34680596">
      <w:pPr>
        <w:pStyle w:val="17"/>
        <w:tabs>
          <w:tab w:val="left" w:pos="8106"/>
        </w:tabs>
        <w:kinsoku w:val="0"/>
        <w:overflowPunct w:val="0"/>
        <w:ind w:left="5190"/>
        <w:rPr>
          <w:rFonts w:hAnsi="宋体" w:cs="Times New Roman"/>
          <w:color w:val="auto"/>
        </w:rPr>
      </w:pPr>
      <w:r>
        <w:rPr>
          <w:rFonts w:hint="eastAsia" w:hAnsi="宋体"/>
          <w:color w:val="auto"/>
          <w:spacing w:val="12"/>
        </w:rPr>
        <w:t>单位名称（盖章</w:t>
      </w:r>
      <w:r>
        <w:rPr>
          <w:rFonts w:hint="eastAsia" w:hAnsi="宋体"/>
          <w:color w:val="auto"/>
          <w:spacing w:val="-113"/>
        </w:rPr>
        <w:t>）</w:t>
      </w:r>
      <w:r>
        <w:rPr>
          <w:rFonts w:hint="eastAsia" w:hAnsi="宋体"/>
          <w:color w:val="auto"/>
          <w:spacing w:val="10"/>
        </w:rPr>
        <w:t>：</w:t>
      </w:r>
      <w:r>
        <w:rPr>
          <w:rFonts w:hAnsi="宋体" w:cs="Times New Roman"/>
          <w:color w:val="auto"/>
          <w:u w:val="single" w:color="000000"/>
        </w:rPr>
        <w:t xml:space="preserve"> </w:t>
      </w:r>
      <w:r>
        <w:rPr>
          <w:rFonts w:hAnsi="宋体" w:cs="Times New Roman"/>
          <w:color w:val="auto"/>
          <w:u w:val="single" w:color="000000"/>
        </w:rPr>
        <w:tab/>
      </w:r>
    </w:p>
    <w:p w14:paraId="7CF9BB54">
      <w:pPr>
        <w:pStyle w:val="17"/>
        <w:kinsoku w:val="0"/>
        <w:overflowPunct w:val="0"/>
        <w:spacing w:before="2"/>
        <w:rPr>
          <w:rFonts w:hAnsi="宋体" w:cs="Times New Roman"/>
          <w:color w:val="auto"/>
          <w:sz w:val="17"/>
          <w:szCs w:val="17"/>
        </w:rPr>
      </w:pPr>
    </w:p>
    <w:p w14:paraId="5CBC9EC2">
      <w:pPr>
        <w:pStyle w:val="17"/>
        <w:tabs>
          <w:tab w:val="left" w:pos="6829"/>
          <w:tab w:val="left" w:pos="8106"/>
        </w:tabs>
        <w:kinsoku w:val="0"/>
        <w:overflowPunct w:val="0"/>
        <w:spacing w:before="83"/>
        <w:ind w:left="6313"/>
        <w:rPr>
          <w:rFonts w:hAnsi="宋体" w:cs="Times New Roman"/>
          <w:color w:val="auto"/>
        </w:rPr>
      </w:pPr>
      <w:r>
        <w:rPr>
          <w:rFonts w:hint="eastAsia" w:hAnsi="宋体"/>
          <w:color w:val="auto"/>
        </w:rPr>
        <w:t>日</w:t>
      </w:r>
      <w:r>
        <w:rPr>
          <w:rFonts w:hAnsi="宋体"/>
          <w:color w:val="auto"/>
        </w:rPr>
        <w:tab/>
      </w:r>
      <w:r>
        <w:rPr>
          <w:rFonts w:hint="eastAsia" w:hAnsi="宋体"/>
          <w:color w:val="auto"/>
          <w:spacing w:val="12"/>
        </w:rPr>
        <w:t>期</w:t>
      </w:r>
      <w:r>
        <w:rPr>
          <w:rFonts w:hint="eastAsia" w:hAnsi="宋体"/>
          <w:color w:val="auto"/>
          <w:spacing w:val="11"/>
        </w:rPr>
        <w:t>：</w:t>
      </w:r>
      <w:r>
        <w:rPr>
          <w:rFonts w:hAnsi="宋体" w:cs="Times New Roman"/>
          <w:color w:val="auto"/>
          <w:u w:val="single" w:color="000000"/>
        </w:rPr>
        <w:t xml:space="preserve"> </w:t>
      </w:r>
      <w:r>
        <w:rPr>
          <w:rFonts w:hAnsi="宋体" w:cs="Times New Roman"/>
          <w:color w:val="auto"/>
          <w:u w:val="single" w:color="000000"/>
        </w:rPr>
        <w:tab/>
      </w:r>
    </w:p>
    <w:p w14:paraId="3AD64661">
      <w:pPr>
        <w:pStyle w:val="17"/>
        <w:tabs>
          <w:tab w:val="left" w:pos="6829"/>
          <w:tab w:val="left" w:pos="8106"/>
        </w:tabs>
        <w:kinsoku w:val="0"/>
        <w:overflowPunct w:val="0"/>
        <w:spacing w:before="83"/>
        <w:ind w:left="6313"/>
        <w:rPr>
          <w:rFonts w:hAnsi="宋体" w:cs="Times New Roman"/>
          <w:color w:val="auto"/>
        </w:rPr>
        <w:sectPr>
          <w:pgSz w:w="11910" w:h="16840"/>
          <w:pgMar w:top="1340" w:right="560" w:bottom="1080" w:left="1160" w:header="879" w:footer="879" w:gutter="0"/>
          <w:pgNumType w:fmt="decimal"/>
          <w:cols w:space="720" w:num="1"/>
        </w:sectPr>
      </w:pPr>
    </w:p>
    <w:p w14:paraId="6412863C">
      <w:pPr>
        <w:pStyle w:val="69"/>
        <w:numPr>
          <w:ilvl w:val="2"/>
          <w:numId w:val="18"/>
        </w:numPr>
        <w:tabs>
          <w:tab w:val="left" w:pos="1293"/>
        </w:tabs>
        <w:kinsoku w:val="0"/>
        <w:overflowPunct w:val="0"/>
        <w:spacing w:before="137"/>
        <w:rPr>
          <w:rFonts w:hAnsi="宋体" w:cs="Arial"/>
          <w:color w:val="auto"/>
        </w:rPr>
      </w:pPr>
      <w:r>
        <w:rPr>
          <w:rFonts w:hint="eastAsia" w:hAnsi="宋体"/>
          <w:color w:val="auto"/>
        </w:rPr>
        <w:t>拟分包情况说明及分包意向协议</w:t>
      </w:r>
      <w:r>
        <w:rPr>
          <w:rFonts w:hAnsi="宋体"/>
          <w:color w:val="auto"/>
        </w:rPr>
        <w:t>(</w:t>
      </w:r>
      <w:r>
        <w:rPr>
          <w:rFonts w:hint="eastAsia" w:hAnsi="宋体"/>
          <w:color w:val="auto"/>
        </w:rPr>
        <w:t>本项目不适用</w:t>
      </w:r>
      <w:r>
        <w:rPr>
          <w:rFonts w:hAnsi="宋体"/>
          <w:color w:val="auto"/>
        </w:rPr>
        <w:t>)</w:t>
      </w:r>
    </w:p>
    <w:p w14:paraId="5C800122">
      <w:pPr>
        <w:pStyle w:val="17"/>
        <w:kinsoku w:val="0"/>
        <w:overflowPunct w:val="0"/>
        <w:rPr>
          <w:rFonts w:hAnsi="宋体"/>
          <w:color w:val="auto"/>
          <w:sz w:val="23"/>
          <w:szCs w:val="23"/>
        </w:rPr>
      </w:pPr>
    </w:p>
    <w:p w14:paraId="250FF201">
      <w:pPr>
        <w:pStyle w:val="17"/>
        <w:kinsoku w:val="0"/>
        <w:overflowPunct w:val="0"/>
        <w:spacing w:before="1"/>
        <w:ind w:left="541"/>
        <w:rPr>
          <w:rFonts w:hAnsi="宋体"/>
          <w:color w:val="auto"/>
        </w:rPr>
      </w:pPr>
      <w:r>
        <w:rPr>
          <w:rFonts w:hint="eastAsia" w:hAnsi="宋体"/>
          <w:color w:val="auto"/>
        </w:rPr>
        <w:t>说明：</w:t>
      </w:r>
    </w:p>
    <w:p w14:paraId="72B4C086">
      <w:pPr>
        <w:pStyle w:val="17"/>
        <w:kinsoku w:val="0"/>
        <w:overflowPunct w:val="0"/>
        <w:spacing w:before="158"/>
        <w:ind w:left="541"/>
        <w:rPr>
          <w:rFonts w:hAnsi="宋体"/>
          <w:color w:val="auto"/>
        </w:rPr>
      </w:pPr>
      <w:r>
        <w:rPr>
          <w:rFonts w:hint="eastAsia" w:hAnsi="宋体"/>
          <w:color w:val="auto"/>
        </w:rPr>
        <w:t>如本项目（包）允许分包，且供应商拟进行分包时，</w:t>
      </w:r>
    </w:p>
    <w:p w14:paraId="1A5BE80E">
      <w:pPr>
        <w:tabs>
          <w:tab w:val="left" w:pos="1174"/>
        </w:tabs>
        <w:kinsoku w:val="0"/>
        <w:overflowPunct w:val="0"/>
        <w:spacing w:before="158"/>
        <w:ind w:firstLine="672" w:firstLineChars="300"/>
        <w:rPr>
          <w:rFonts w:hAnsi="宋体"/>
          <w:color w:val="auto"/>
          <w:spacing w:val="-8"/>
          <w:sz w:val="24"/>
          <w:szCs w:val="24"/>
        </w:rPr>
      </w:pPr>
      <w:r>
        <w:rPr>
          <w:rFonts w:hint="eastAsia" w:hAnsi="宋体"/>
          <w:color w:val="auto"/>
          <w:spacing w:val="-8"/>
          <w:sz w:val="24"/>
          <w:szCs w:val="24"/>
        </w:rPr>
        <w:t>（1）响应文件中须提供《拟分包情况说明》，否则响应无效；</w:t>
      </w:r>
    </w:p>
    <w:p w14:paraId="4275A77B">
      <w:pPr>
        <w:tabs>
          <w:tab w:val="left" w:pos="1174"/>
        </w:tabs>
        <w:kinsoku w:val="0"/>
        <w:overflowPunct w:val="0"/>
        <w:spacing w:before="160"/>
        <w:ind w:firstLine="690" w:firstLineChars="300"/>
        <w:rPr>
          <w:rFonts w:hAnsi="宋体"/>
          <w:color w:val="auto"/>
          <w:spacing w:val="-5"/>
          <w:sz w:val="24"/>
          <w:szCs w:val="24"/>
        </w:rPr>
      </w:pPr>
      <w:r>
        <w:rPr>
          <w:rFonts w:hint="eastAsia" w:hAnsi="宋体"/>
          <w:color w:val="auto"/>
          <w:spacing w:val="-5"/>
          <w:sz w:val="24"/>
          <w:szCs w:val="24"/>
        </w:rPr>
        <w:t>（2）当同时符合下列情形时，响应文件还须提供《分包意向协议》，否则响应无效：</w:t>
      </w:r>
    </w:p>
    <w:p w14:paraId="159B9DA2">
      <w:pPr>
        <w:pStyle w:val="69"/>
        <w:numPr>
          <w:ilvl w:val="1"/>
          <w:numId w:val="19"/>
        </w:numPr>
        <w:tabs>
          <w:tab w:val="left" w:pos="1464"/>
        </w:tabs>
        <w:kinsoku w:val="0"/>
        <w:overflowPunct w:val="0"/>
        <w:spacing w:before="161" w:line="362" w:lineRule="auto"/>
        <w:ind w:left="1107" w:right="570" w:firstLine="0"/>
        <w:rPr>
          <w:rFonts w:hAnsi="宋体"/>
          <w:color w:val="auto"/>
        </w:rPr>
      </w:pPr>
      <w:r>
        <w:rPr>
          <w:rFonts w:hint="eastAsia" w:hAnsi="宋体"/>
          <w:color w:val="auto"/>
          <w:spacing w:val="-1"/>
        </w:rPr>
        <w:t>本项目</w:t>
      </w:r>
      <w:r>
        <w:rPr>
          <w:rFonts w:hint="eastAsia" w:hAnsi="宋体"/>
          <w:color w:val="auto"/>
        </w:rPr>
        <w:t>（包</w:t>
      </w:r>
      <w:r>
        <w:rPr>
          <w:rFonts w:hint="eastAsia" w:hAnsi="宋体"/>
          <w:color w:val="auto"/>
          <w:spacing w:val="-5"/>
        </w:rPr>
        <w:t>）</w:t>
      </w:r>
      <w:r>
        <w:rPr>
          <w:rFonts w:hint="eastAsia" w:hAnsi="宋体"/>
          <w:color w:val="auto"/>
          <w:spacing w:val="-2"/>
        </w:rPr>
        <w:t>预留部分采购项目预算专门面向中小企业采购，且要求获得采购</w:t>
      </w:r>
      <w:r>
        <w:rPr>
          <w:rFonts w:hint="eastAsia" w:hAnsi="宋体"/>
          <w:color w:val="auto"/>
        </w:rPr>
        <w:t>合同的供应商将采购项目中的一定比例分包给一家或者多家中小企业的；</w:t>
      </w:r>
    </w:p>
    <w:p w14:paraId="7224F9A0">
      <w:pPr>
        <w:pStyle w:val="69"/>
        <w:numPr>
          <w:ilvl w:val="1"/>
          <w:numId w:val="19"/>
        </w:numPr>
        <w:tabs>
          <w:tab w:val="left" w:pos="1468"/>
        </w:tabs>
        <w:kinsoku w:val="0"/>
        <w:overflowPunct w:val="0"/>
        <w:spacing w:before="5"/>
        <w:ind w:left="1467" w:hanging="361"/>
        <w:rPr>
          <w:rFonts w:hAnsi="宋体"/>
          <w:color w:val="auto"/>
        </w:rPr>
      </w:pPr>
      <w:r>
        <w:rPr>
          <w:rFonts w:hint="eastAsia" w:hAnsi="宋体"/>
          <w:color w:val="auto"/>
        </w:rPr>
        <w:t>供应商通过分包方式满足中小企业政策要求的。</w:t>
      </w:r>
    </w:p>
    <w:p w14:paraId="6123F6F9">
      <w:pPr>
        <w:tabs>
          <w:tab w:val="left" w:pos="1174"/>
        </w:tabs>
        <w:kinsoku w:val="0"/>
        <w:overflowPunct w:val="0"/>
        <w:spacing w:before="158"/>
        <w:ind w:firstLine="696" w:firstLineChars="300"/>
        <w:rPr>
          <w:rFonts w:hAnsi="宋体"/>
          <w:color w:val="auto"/>
          <w:spacing w:val="-4"/>
          <w:sz w:val="24"/>
          <w:szCs w:val="24"/>
        </w:rPr>
      </w:pPr>
      <w:r>
        <w:rPr>
          <w:rFonts w:hint="eastAsia" w:hAnsi="宋体"/>
          <w:color w:val="auto"/>
          <w:spacing w:val="-4"/>
          <w:sz w:val="24"/>
          <w:szCs w:val="24"/>
        </w:rPr>
        <w:t>（3）不属于上述情形时，无须提供《拟分包情况说明》及《分包意向协议》。</w:t>
      </w:r>
    </w:p>
    <w:p w14:paraId="7F756DE6">
      <w:pPr>
        <w:pStyle w:val="69"/>
        <w:numPr>
          <w:ilvl w:val="0"/>
          <w:numId w:val="19"/>
        </w:numPr>
        <w:tabs>
          <w:tab w:val="left" w:pos="1174"/>
        </w:tabs>
        <w:kinsoku w:val="0"/>
        <w:overflowPunct w:val="0"/>
        <w:spacing w:before="158"/>
        <w:rPr>
          <w:rFonts w:hAnsi="宋体"/>
          <w:color w:val="auto"/>
          <w:spacing w:val="-4"/>
        </w:rPr>
        <w:sectPr>
          <w:pgSz w:w="11910" w:h="16840"/>
          <w:pgMar w:top="1340" w:right="560" w:bottom="1080" w:left="1160" w:header="879" w:footer="879" w:gutter="0"/>
          <w:pgNumType w:fmt="decimal"/>
          <w:cols w:space="720" w:num="1"/>
        </w:sectPr>
      </w:pPr>
    </w:p>
    <w:p w14:paraId="7611E9D1">
      <w:pPr>
        <w:pStyle w:val="2"/>
        <w:kinsoku w:val="0"/>
        <w:overflowPunct w:val="0"/>
        <w:ind w:right="29"/>
        <w:rPr>
          <w:rFonts w:hAnsi="宋体"/>
          <w:color w:val="auto"/>
        </w:rPr>
      </w:pPr>
      <w:bookmarkStart w:id="66" w:name="_Toc149147725"/>
      <w:bookmarkStart w:id="67" w:name="_Toc149147570"/>
      <w:r>
        <w:rPr>
          <w:rFonts w:hint="eastAsia" w:hAnsi="宋体"/>
          <w:color w:val="auto"/>
        </w:rPr>
        <w:t>拟分包情况说明</w:t>
      </w:r>
      <w:bookmarkEnd w:id="66"/>
      <w:bookmarkEnd w:id="67"/>
    </w:p>
    <w:p w14:paraId="353A5A37">
      <w:pPr>
        <w:pStyle w:val="17"/>
        <w:kinsoku w:val="0"/>
        <w:overflowPunct w:val="0"/>
        <w:spacing w:before="239"/>
        <w:ind w:left="541"/>
        <w:rPr>
          <w:rFonts w:hAnsi="宋体"/>
          <w:color w:val="auto"/>
        </w:rPr>
      </w:pPr>
      <w:r>
        <w:rPr>
          <w:rFonts w:hint="eastAsia" w:hAnsi="宋体"/>
          <w:color w:val="auto"/>
          <w:spacing w:val="-60"/>
        </w:rPr>
        <w:t>致：</w:t>
      </w:r>
      <w:r>
        <w:rPr>
          <w:rFonts w:hint="eastAsia" w:hAnsi="宋体"/>
          <w:color w:val="auto"/>
          <w:u w:val="single" w:color="000000"/>
        </w:rPr>
        <w:t>（采购人或采购代理机构）</w:t>
      </w:r>
    </w:p>
    <w:p w14:paraId="2017EA51">
      <w:pPr>
        <w:pStyle w:val="17"/>
        <w:tabs>
          <w:tab w:val="left" w:pos="1501"/>
          <w:tab w:val="left" w:pos="6061"/>
          <w:tab w:val="left" w:pos="7021"/>
        </w:tabs>
        <w:kinsoku w:val="0"/>
        <w:overflowPunct w:val="0"/>
        <w:spacing w:before="158" w:line="364" w:lineRule="auto"/>
        <w:ind w:left="541" w:right="331" w:firstLine="480"/>
        <w:rPr>
          <w:rFonts w:hAnsi="宋体"/>
          <w:color w:val="auto"/>
        </w:rPr>
      </w:pPr>
      <w:r>
        <w:rPr>
          <w:rFonts w:hint="eastAsia" w:hAnsi="宋体"/>
          <w:color w:val="auto"/>
        </w:rPr>
        <w:t>我单位参加贵单位组织采购的项目编号为</w:t>
      </w:r>
      <w:r>
        <w:rPr>
          <w:rFonts w:hAnsi="宋体"/>
          <w:color w:val="auto"/>
          <w:u w:val="single" w:color="000000"/>
        </w:rPr>
        <w:t xml:space="preserve"> </w:t>
      </w:r>
      <w:r>
        <w:rPr>
          <w:rFonts w:hAnsi="宋体"/>
          <w:color w:val="auto"/>
          <w:u w:val="single" w:color="000000"/>
        </w:rPr>
        <w:tab/>
      </w:r>
      <w:r>
        <w:rPr>
          <w:rFonts w:hint="eastAsia" w:hAnsi="宋体"/>
          <w:color w:val="auto"/>
        </w:rPr>
        <w:t>的</w:t>
      </w:r>
      <w:r>
        <w:rPr>
          <w:rFonts w:hAnsi="宋体"/>
          <w:color w:val="auto"/>
          <w:u w:val="single" w:color="000000"/>
        </w:rPr>
        <w:t xml:space="preserve"> </w:t>
      </w:r>
      <w:r>
        <w:rPr>
          <w:rFonts w:hAnsi="宋体"/>
          <w:color w:val="auto"/>
          <w:u w:val="single" w:color="000000"/>
        </w:rPr>
        <w:tab/>
      </w:r>
      <w:r>
        <w:rPr>
          <w:rFonts w:hint="eastAsia" w:hAnsi="宋体"/>
          <w:color w:val="auto"/>
        </w:rPr>
        <w:t>项</w:t>
      </w:r>
      <w:r>
        <w:rPr>
          <w:rFonts w:hint="eastAsia" w:hAnsi="宋体"/>
          <w:color w:val="auto"/>
          <w:spacing w:val="-48"/>
        </w:rPr>
        <w:t>目</w:t>
      </w:r>
      <w:r>
        <w:rPr>
          <w:rFonts w:hint="eastAsia" w:hAnsi="宋体"/>
          <w:color w:val="auto"/>
        </w:rPr>
        <w:t>（填写采购项目名称</w:t>
      </w:r>
      <w:r>
        <w:rPr>
          <w:rFonts w:hint="eastAsia" w:hAnsi="宋体"/>
          <w:color w:val="auto"/>
          <w:spacing w:val="-17"/>
        </w:rPr>
        <w:t>）</w:t>
      </w:r>
      <w:r>
        <w:rPr>
          <w:rFonts w:hAnsi="宋体"/>
          <w:color w:val="auto"/>
          <w:spacing w:val="-17"/>
        </w:rPr>
        <w:t xml:space="preserve"> </w:t>
      </w:r>
      <w:r>
        <w:rPr>
          <w:rFonts w:hint="eastAsia" w:hAnsi="宋体"/>
          <w:color w:val="auto"/>
        </w:rPr>
        <w:t>中</w:t>
      </w:r>
      <w:r>
        <w:rPr>
          <w:rFonts w:hAnsi="宋体"/>
          <w:color w:val="auto"/>
          <w:u w:val="single" w:color="000000"/>
        </w:rPr>
        <w:t xml:space="preserve"> </w:t>
      </w:r>
      <w:r>
        <w:rPr>
          <w:rFonts w:hAnsi="宋体"/>
          <w:color w:val="auto"/>
          <w:u w:val="single" w:color="000000"/>
        </w:rPr>
        <w:tab/>
      </w:r>
      <w:r>
        <w:rPr>
          <w:rFonts w:hint="eastAsia" w:hAnsi="宋体"/>
          <w:color w:val="auto"/>
          <w:spacing w:val="-12"/>
        </w:rPr>
        <w:t>包</w:t>
      </w:r>
      <w:r>
        <w:rPr>
          <w:rFonts w:hint="eastAsia" w:hAnsi="宋体"/>
          <w:color w:val="auto"/>
        </w:rPr>
        <w:t>（填写包号</w:t>
      </w:r>
      <w:r>
        <w:rPr>
          <w:rFonts w:hint="eastAsia" w:hAnsi="宋体"/>
          <w:color w:val="auto"/>
          <w:spacing w:val="-12"/>
        </w:rPr>
        <w:t>）</w:t>
      </w:r>
      <w:r>
        <w:rPr>
          <w:rFonts w:hint="eastAsia" w:hAnsi="宋体"/>
          <w:color w:val="auto"/>
        </w:rPr>
        <w:t>的磋商</w:t>
      </w:r>
      <w:r>
        <w:rPr>
          <w:rFonts w:hint="eastAsia" w:hAnsi="宋体"/>
          <w:color w:val="auto"/>
          <w:spacing w:val="-12"/>
        </w:rPr>
        <w:t>。</w:t>
      </w:r>
      <w:r>
        <w:rPr>
          <w:rFonts w:hint="eastAsia" w:hAnsi="宋体"/>
          <w:color w:val="auto"/>
        </w:rPr>
        <w:t>拟签订分包合同的单位情况如下表所示</w:t>
      </w:r>
      <w:r>
        <w:rPr>
          <w:rFonts w:hint="eastAsia" w:hAnsi="宋体"/>
          <w:color w:val="auto"/>
          <w:spacing w:val="-12"/>
        </w:rPr>
        <w:t>，</w:t>
      </w:r>
      <w:r>
        <w:rPr>
          <w:rFonts w:hint="eastAsia" w:hAnsi="宋体"/>
          <w:color w:val="auto"/>
        </w:rPr>
        <w:t>我单位承诺</w:t>
      </w:r>
      <w:r>
        <w:rPr>
          <w:rFonts w:hAnsi="宋体"/>
          <w:color w:val="auto"/>
        </w:rPr>
        <w:t xml:space="preserve"> </w:t>
      </w:r>
      <w:r>
        <w:rPr>
          <w:rFonts w:hint="eastAsia" w:hAnsi="宋体"/>
          <w:color w:val="auto"/>
        </w:rPr>
        <w:t>一旦在该项目中获得采购合同将按下表所列情况进行分包</w:t>
      </w:r>
      <w:r>
        <w:rPr>
          <w:rFonts w:hint="eastAsia" w:hAnsi="宋体"/>
          <w:color w:val="auto"/>
          <w:spacing w:val="-48"/>
        </w:rPr>
        <w:t>，</w:t>
      </w:r>
      <w:r>
        <w:rPr>
          <w:rFonts w:hint="eastAsia" w:hAnsi="宋体"/>
          <w:color w:val="auto"/>
        </w:rPr>
        <w:t>同时承诺分包承担主体不再</w:t>
      </w:r>
      <w:r>
        <w:rPr>
          <w:rFonts w:hAnsi="宋体"/>
          <w:color w:val="auto"/>
        </w:rPr>
        <w:t xml:space="preserve"> </w:t>
      </w:r>
      <w:r>
        <w:rPr>
          <w:rFonts w:hint="eastAsia" w:hAnsi="宋体"/>
          <w:color w:val="auto"/>
        </w:rPr>
        <w:t>次分包。</w:t>
      </w:r>
    </w:p>
    <w:tbl>
      <w:tblPr>
        <w:tblStyle w:val="43"/>
        <w:tblW w:w="9000" w:type="dxa"/>
        <w:tblInd w:w="582" w:type="dxa"/>
        <w:tblLayout w:type="fixed"/>
        <w:tblCellMar>
          <w:top w:w="0" w:type="dxa"/>
          <w:left w:w="0" w:type="dxa"/>
          <w:bottom w:w="0" w:type="dxa"/>
          <w:right w:w="0" w:type="dxa"/>
        </w:tblCellMar>
      </w:tblPr>
      <w:tblGrid>
        <w:gridCol w:w="457"/>
        <w:gridCol w:w="1286"/>
        <w:gridCol w:w="1639"/>
        <w:gridCol w:w="998"/>
        <w:gridCol w:w="1560"/>
        <w:gridCol w:w="1497"/>
        <w:gridCol w:w="1563"/>
      </w:tblGrid>
      <w:tr w14:paraId="4E74A189">
        <w:tblPrEx>
          <w:tblCellMar>
            <w:top w:w="0" w:type="dxa"/>
            <w:left w:w="0" w:type="dxa"/>
            <w:bottom w:w="0" w:type="dxa"/>
            <w:right w:w="0" w:type="dxa"/>
          </w:tblCellMar>
        </w:tblPrEx>
        <w:trPr>
          <w:trHeight w:val="932" w:hRule="atLeast"/>
        </w:trPr>
        <w:tc>
          <w:tcPr>
            <w:tcW w:w="457" w:type="dxa"/>
            <w:tcBorders>
              <w:top w:val="single" w:color="000000" w:sz="4" w:space="0"/>
              <w:left w:val="single" w:color="000000" w:sz="4" w:space="0"/>
              <w:bottom w:val="single" w:color="000000" w:sz="4" w:space="0"/>
              <w:right w:val="single" w:color="000000" w:sz="4" w:space="0"/>
            </w:tcBorders>
          </w:tcPr>
          <w:p w14:paraId="7DB11032">
            <w:pPr>
              <w:pStyle w:val="70"/>
              <w:kinsoku w:val="0"/>
              <w:overflowPunct w:val="0"/>
              <w:spacing w:before="154" w:line="242" w:lineRule="auto"/>
              <w:ind w:left="108" w:right="96"/>
              <w:rPr>
                <w:rFonts w:hAnsi="宋体"/>
                <w:color w:val="auto"/>
              </w:rPr>
            </w:pPr>
            <w:r>
              <w:rPr>
                <w:rFonts w:hint="eastAsia" w:hAnsi="宋体"/>
                <w:color w:val="auto"/>
              </w:rPr>
              <w:t>序号</w:t>
            </w:r>
          </w:p>
        </w:tc>
        <w:tc>
          <w:tcPr>
            <w:tcW w:w="1286" w:type="dxa"/>
            <w:tcBorders>
              <w:top w:val="single" w:color="000000" w:sz="4" w:space="0"/>
              <w:left w:val="single" w:color="000000" w:sz="4" w:space="0"/>
              <w:bottom w:val="single" w:color="000000" w:sz="4" w:space="0"/>
              <w:right w:val="single" w:color="000000" w:sz="4" w:space="0"/>
            </w:tcBorders>
          </w:tcPr>
          <w:p w14:paraId="4D5D46EE">
            <w:pPr>
              <w:pStyle w:val="70"/>
              <w:kinsoku w:val="0"/>
              <w:overflowPunct w:val="0"/>
              <w:spacing w:before="154" w:line="242" w:lineRule="auto"/>
              <w:ind w:left="162" w:right="151"/>
              <w:rPr>
                <w:rFonts w:hAnsi="宋体"/>
                <w:color w:val="auto"/>
              </w:rPr>
            </w:pPr>
            <w:r>
              <w:rPr>
                <w:rFonts w:hint="eastAsia" w:hAnsi="宋体"/>
                <w:color w:val="auto"/>
              </w:rPr>
              <w:t>分包承担主体名称</w:t>
            </w:r>
          </w:p>
        </w:tc>
        <w:tc>
          <w:tcPr>
            <w:tcW w:w="1639" w:type="dxa"/>
            <w:tcBorders>
              <w:top w:val="single" w:color="000000" w:sz="4" w:space="0"/>
              <w:left w:val="single" w:color="000000" w:sz="4" w:space="0"/>
              <w:bottom w:val="single" w:color="000000" w:sz="4" w:space="0"/>
              <w:right w:val="single" w:color="000000" w:sz="4" w:space="0"/>
            </w:tcBorders>
          </w:tcPr>
          <w:p w14:paraId="276314AB">
            <w:pPr>
              <w:pStyle w:val="70"/>
              <w:kinsoku w:val="0"/>
              <w:overflowPunct w:val="0"/>
              <w:spacing w:line="242" w:lineRule="auto"/>
              <w:ind w:left="275" w:right="264"/>
              <w:rPr>
                <w:rFonts w:hAnsi="宋体"/>
                <w:color w:val="auto"/>
                <w:spacing w:val="-5"/>
              </w:rPr>
            </w:pPr>
            <w:r>
              <w:rPr>
                <w:rFonts w:hint="eastAsia" w:hAnsi="宋体"/>
                <w:color w:val="auto"/>
                <w:spacing w:val="-5"/>
              </w:rPr>
              <w:t>分包承担主体类型</w:t>
            </w:r>
          </w:p>
          <w:p w14:paraId="2FF4F97E">
            <w:pPr>
              <w:pStyle w:val="70"/>
              <w:kinsoku w:val="0"/>
              <w:overflowPunct w:val="0"/>
              <w:spacing w:line="291" w:lineRule="exact"/>
              <w:ind w:left="275"/>
              <w:rPr>
                <w:rFonts w:hAnsi="宋体"/>
                <w:color w:val="auto"/>
              </w:rPr>
            </w:pPr>
            <w:r>
              <w:rPr>
                <w:rFonts w:hint="eastAsia" w:hAnsi="宋体"/>
                <w:color w:val="auto"/>
              </w:rPr>
              <w:t>（选择）</w:t>
            </w:r>
          </w:p>
        </w:tc>
        <w:tc>
          <w:tcPr>
            <w:tcW w:w="998" w:type="dxa"/>
            <w:tcBorders>
              <w:top w:val="single" w:color="000000" w:sz="4" w:space="0"/>
              <w:left w:val="single" w:color="000000" w:sz="4" w:space="0"/>
              <w:bottom w:val="single" w:color="000000" w:sz="4" w:space="0"/>
              <w:right w:val="single" w:color="000000" w:sz="4" w:space="0"/>
            </w:tcBorders>
          </w:tcPr>
          <w:p w14:paraId="31592A1D">
            <w:pPr>
              <w:pStyle w:val="70"/>
              <w:kinsoku w:val="0"/>
              <w:overflowPunct w:val="0"/>
              <w:spacing w:before="2"/>
              <w:rPr>
                <w:rFonts w:hAnsi="宋体"/>
                <w:color w:val="auto"/>
              </w:rPr>
            </w:pPr>
          </w:p>
          <w:p w14:paraId="60721545">
            <w:pPr>
              <w:pStyle w:val="70"/>
              <w:kinsoku w:val="0"/>
              <w:overflowPunct w:val="0"/>
              <w:ind w:left="81"/>
              <w:rPr>
                <w:rFonts w:hAnsi="宋体"/>
                <w:color w:val="auto"/>
              </w:rPr>
            </w:pPr>
            <w:r>
              <w:rPr>
                <w:rFonts w:hint="eastAsia" w:hAnsi="宋体"/>
                <w:color w:val="auto"/>
              </w:rPr>
              <w:t>资质等级</w:t>
            </w:r>
          </w:p>
        </w:tc>
        <w:tc>
          <w:tcPr>
            <w:tcW w:w="1560" w:type="dxa"/>
            <w:tcBorders>
              <w:top w:val="single" w:color="000000" w:sz="4" w:space="0"/>
              <w:left w:val="single" w:color="000000" w:sz="4" w:space="0"/>
              <w:bottom w:val="single" w:color="000000" w:sz="4" w:space="0"/>
              <w:right w:val="single" w:color="000000" w:sz="4" w:space="0"/>
            </w:tcBorders>
          </w:tcPr>
          <w:p w14:paraId="30CB8B3C">
            <w:pPr>
              <w:pStyle w:val="70"/>
              <w:kinsoku w:val="0"/>
              <w:overflowPunct w:val="0"/>
              <w:spacing w:before="154" w:line="242" w:lineRule="auto"/>
              <w:ind w:left="300" w:right="287" w:firstLine="120"/>
              <w:rPr>
                <w:rFonts w:hAnsi="宋体"/>
                <w:color w:val="auto"/>
              </w:rPr>
            </w:pPr>
            <w:r>
              <w:rPr>
                <w:rFonts w:hint="eastAsia" w:hAnsi="宋体"/>
                <w:color w:val="auto"/>
              </w:rPr>
              <w:t>拟分包合同内容</w:t>
            </w:r>
          </w:p>
        </w:tc>
        <w:tc>
          <w:tcPr>
            <w:tcW w:w="1497" w:type="dxa"/>
            <w:tcBorders>
              <w:top w:val="single" w:color="000000" w:sz="4" w:space="0"/>
              <w:left w:val="single" w:color="000000" w:sz="4" w:space="0"/>
              <w:bottom w:val="single" w:color="000000" w:sz="4" w:space="0"/>
              <w:right w:val="single" w:color="000000" w:sz="4" w:space="0"/>
            </w:tcBorders>
          </w:tcPr>
          <w:p w14:paraId="32817D64">
            <w:pPr>
              <w:pStyle w:val="70"/>
              <w:kinsoku w:val="0"/>
              <w:overflowPunct w:val="0"/>
              <w:spacing w:line="242" w:lineRule="auto"/>
              <w:ind w:left="266" w:right="258" w:hanging="1"/>
              <w:jc w:val="center"/>
              <w:rPr>
                <w:rFonts w:hAnsi="宋体"/>
                <w:color w:val="auto"/>
                <w:spacing w:val="-5"/>
              </w:rPr>
            </w:pPr>
            <w:r>
              <w:rPr>
                <w:rFonts w:hint="eastAsia" w:hAnsi="宋体"/>
                <w:color w:val="auto"/>
              </w:rPr>
              <w:t>拟分包</w:t>
            </w:r>
            <w:r>
              <w:rPr>
                <w:rFonts w:hAnsi="宋体"/>
                <w:color w:val="auto"/>
              </w:rPr>
              <w:t xml:space="preserve"> </w:t>
            </w:r>
            <w:r>
              <w:rPr>
                <w:rFonts w:hint="eastAsia" w:hAnsi="宋体"/>
                <w:color w:val="auto"/>
                <w:spacing w:val="-5"/>
              </w:rPr>
              <w:t>合同金额</w:t>
            </w:r>
          </w:p>
          <w:p w14:paraId="5E566EB3">
            <w:pPr>
              <w:pStyle w:val="70"/>
              <w:kinsoku w:val="0"/>
              <w:overflowPunct w:val="0"/>
              <w:spacing w:line="291" w:lineRule="exact"/>
              <w:ind w:left="6"/>
              <w:jc w:val="center"/>
              <w:rPr>
                <w:rFonts w:hAnsi="宋体"/>
                <w:color w:val="auto"/>
              </w:rPr>
            </w:pPr>
            <w:r>
              <w:rPr>
                <w:rFonts w:hint="eastAsia" w:hAnsi="宋体"/>
                <w:color w:val="auto"/>
              </w:rPr>
              <w:t>（人民币元）</w:t>
            </w:r>
          </w:p>
        </w:tc>
        <w:tc>
          <w:tcPr>
            <w:tcW w:w="1563" w:type="dxa"/>
            <w:tcBorders>
              <w:top w:val="single" w:color="000000" w:sz="4" w:space="0"/>
              <w:left w:val="single" w:color="000000" w:sz="4" w:space="0"/>
              <w:bottom w:val="single" w:color="000000" w:sz="4" w:space="0"/>
              <w:right w:val="single" w:color="000000" w:sz="4" w:space="0"/>
            </w:tcBorders>
          </w:tcPr>
          <w:p w14:paraId="532B0EBD">
            <w:pPr>
              <w:pStyle w:val="70"/>
              <w:kinsoku w:val="0"/>
              <w:overflowPunct w:val="0"/>
              <w:spacing w:line="242" w:lineRule="auto"/>
              <w:ind w:left="180" w:right="165"/>
              <w:rPr>
                <w:rFonts w:hAnsi="宋体"/>
                <w:color w:val="auto"/>
                <w:spacing w:val="-4"/>
              </w:rPr>
            </w:pPr>
            <w:r>
              <w:rPr>
                <w:rFonts w:hint="eastAsia" w:hAnsi="宋体"/>
                <w:color w:val="auto"/>
                <w:spacing w:val="-3"/>
              </w:rPr>
              <w:t>占该采购包</w:t>
            </w:r>
            <w:r>
              <w:rPr>
                <w:rFonts w:hint="eastAsia" w:hAnsi="宋体"/>
                <w:color w:val="auto"/>
                <w:spacing w:val="-4"/>
              </w:rPr>
              <w:t>合同金额的</w:t>
            </w:r>
          </w:p>
          <w:p w14:paraId="3938611C">
            <w:pPr>
              <w:pStyle w:val="70"/>
              <w:kinsoku w:val="0"/>
              <w:overflowPunct w:val="0"/>
              <w:spacing w:line="291" w:lineRule="exact"/>
              <w:ind w:left="185"/>
              <w:rPr>
                <w:rFonts w:hAnsi="宋体"/>
                <w:color w:val="auto"/>
                <w:spacing w:val="-1"/>
              </w:rPr>
            </w:pPr>
            <w:r>
              <w:rPr>
                <w:rFonts w:hint="eastAsia" w:hAnsi="宋体"/>
                <w:color w:val="auto"/>
                <w:spacing w:val="-1"/>
              </w:rPr>
              <w:t>比例（</w:t>
            </w:r>
            <w:r>
              <w:rPr>
                <w:rFonts w:hAnsi="宋体" w:cs="Arial"/>
                <w:color w:val="auto"/>
                <w:spacing w:val="-1"/>
              </w:rPr>
              <w:t>%</w:t>
            </w:r>
            <w:r>
              <w:rPr>
                <w:rFonts w:hint="eastAsia" w:hAnsi="宋体"/>
                <w:color w:val="auto"/>
                <w:spacing w:val="-1"/>
              </w:rPr>
              <w:t>）</w:t>
            </w:r>
          </w:p>
        </w:tc>
      </w:tr>
      <w:tr w14:paraId="77152794">
        <w:tblPrEx>
          <w:tblCellMar>
            <w:top w:w="0" w:type="dxa"/>
            <w:left w:w="0" w:type="dxa"/>
            <w:bottom w:w="0" w:type="dxa"/>
            <w:right w:w="0" w:type="dxa"/>
          </w:tblCellMar>
        </w:tblPrEx>
        <w:trPr>
          <w:trHeight w:val="933" w:hRule="atLeast"/>
        </w:trPr>
        <w:tc>
          <w:tcPr>
            <w:tcW w:w="457" w:type="dxa"/>
            <w:tcBorders>
              <w:top w:val="single" w:color="000000" w:sz="4" w:space="0"/>
              <w:left w:val="single" w:color="000000" w:sz="4" w:space="0"/>
              <w:bottom w:val="single" w:color="000000" w:sz="4" w:space="0"/>
              <w:right w:val="single" w:color="000000" w:sz="4" w:space="0"/>
            </w:tcBorders>
          </w:tcPr>
          <w:p w14:paraId="04C48A1E">
            <w:pPr>
              <w:pStyle w:val="70"/>
              <w:kinsoku w:val="0"/>
              <w:overflowPunct w:val="0"/>
              <w:spacing w:before="12"/>
              <w:rPr>
                <w:rFonts w:hAnsi="宋体"/>
                <w:color w:val="auto"/>
              </w:rPr>
            </w:pPr>
          </w:p>
          <w:p w14:paraId="6D954804">
            <w:pPr>
              <w:pStyle w:val="70"/>
              <w:kinsoku w:val="0"/>
              <w:overflowPunct w:val="0"/>
              <w:ind w:left="8"/>
              <w:jc w:val="center"/>
              <w:rPr>
                <w:rFonts w:hAnsi="宋体" w:cs="Arial"/>
                <w:color w:val="auto"/>
                <w:w w:val="114"/>
              </w:rPr>
            </w:pPr>
            <w:r>
              <w:rPr>
                <w:rFonts w:hAnsi="宋体" w:cs="Arial"/>
                <w:color w:val="auto"/>
                <w:w w:val="114"/>
              </w:rPr>
              <w:t>1</w:t>
            </w:r>
          </w:p>
        </w:tc>
        <w:tc>
          <w:tcPr>
            <w:tcW w:w="1286" w:type="dxa"/>
            <w:tcBorders>
              <w:top w:val="single" w:color="000000" w:sz="4" w:space="0"/>
              <w:left w:val="single" w:color="000000" w:sz="4" w:space="0"/>
              <w:bottom w:val="single" w:color="000000" w:sz="4" w:space="0"/>
              <w:right w:val="single" w:color="000000" w:sz="4" w:space="0"/>
            </w:tcBorders>
          </w:tcPr>
          <w:p w14:paraId="687567A2">
            <w:pPr>
              <w:pStyle w:val="70"/>
              <w:kinsoku w:val="0"/>
              <w:overflowPunct w:val="0"/>
              <w:rPr>
                <w:rFonts w:hAnsi="宋体" w:cs="Times New Roman"/>
                <w:color w:val="auto"/>
                <w:sz w:val="22"/>
                <w:szCs w:val="22"/>
              </w:rPr>
            </w:pPr>
          </w:p>
        </w:tc>
        <w:tc>
          <w:tcPr>
            <w:tcW w:w="1639" w:type="dxa"/>
            <w:tcBorders>
              <w:top w:val="single" w:color="000000" w:sz="4" w:space="0"/>
              <w:left w:val="single" w:color="000000" w:sz="4" w:space="0"/>
              <w:bottom w:val="single" w:color="000000" w:sz="4" w:space="0"/>
              <w:right w:val="single" w:color="000000" w:sz="4" w:space="0"/>
            </w:tcBorders>
          </w:tcPr>
          <w:p w14:paraId="4B5B4E69">
            <w:pPr>
              <w:pStyle w:val="70"/>
              <w:kinsoku w:val="0"/>
              <w:overflowPunct w:val="0"/>
              <w:ind w:left="113" w:right="192"/>
              <w:jc w:val="center"/>
              <w:rPr>
                <w:rFonts w:hAnsi="宋体"/>
                <w:color w:val="auto"/>
                <w:spacing w:val="-1"/>
                <w:w w:val="105"/>
              </w:rPr>
            </w:pPr>
            <w:r>
              <w:rPr>
                <w:rFonts w:hAnsi="宋体" w:cs="Arial"/>
                <w:color w:val="auto"/>
                <w:spacing w:val="-1"/>
                <w:w w:val="105"/>
              </w:rPr>
              <w:t>□</w:t>
            </w:r>
            <w:r>
              <w:rPr>
                <w:rFonts w:hint="eastAsia" w:hAnsi="宋体"/>
                <w:color w:val="auto"/>
                <w:spacing w:val="-1"/>
                <w:w w:val="105"/>
              </w:rPr>
              <w:t>中型企业</w:t>
            </w:r>
          </w:p>
          <w:p w14:paraId="2807527F">
            <w:pPr>
              <w:pStyle w:val="70"/>
              <w:kinsoku w:val="0"/>
              <w:overflowPunct w:val="0"/>
              <w:spacing w:before="2"/>
              <w:ind w:left="113" w:right="192"/>
              <w:jc w:val="center"/>
              <w:rPr>
                <w:rFonts w:hAnsi="宋体"/>
                <w:color w:val="auto"/>
                <w:spacing w:val="-1"/>
                <w:w w:val="105"/>
              </w:rPr>
            </w:pPr>
            <w:r>
              <w:rPr>
                <w:rFonts w:hAnsi="宋体" w:cs="Arial"/>
                <w:color w:val="auto"/>
                <w:spacing w:val="-1"/>
                <w:w w:val="105"/>
              </w:rPr>
              <w:t>□</w:t>
            </w:r>
            <w:r>
              <w:rPr>
                <w:rFonts w:hint="eastAsia" w:hAnsi="宋体"/>
                <w:color w:val="auto"/>
                <w:spacing w:val="-1"/>
                <w:w w:val="105"/>
              </w:rPr>
              <w:t>小微企业</w:t>
            </w:r>
          </w:p>
          <w:p w14:paraId="77F47FBB">
            <w:pPr>
              <w:pStyle w:val="70"/>
              <w:kinsoku w:val="0"/>
              <w:overflowPunct w:val="0"/>
              <w:spacing w:before="5" w:line="292" w:lineRule="exact"/>
              <w:ind w:left="113" w:right="192"/>
              <w:jc w:val="both"/>
              <w:rPr>
                <w:rFonts w:hAnsi="宋体"/>
                <w:color w:val="auto"/>
                <w:w w:val="110"/>
              </w:rPr>
            </w:pPr>
            <w:r>
              <w:rPr>
                <w:rFonts w:hAnsi="宋体" w:cs="Arial"/>
                <w:color w:val="auto"/>
                <w:w w:val="140"/>
              </w:rPr>
              <w:t>□</w:t>
            </w:r>
            <w:r>
              <w:rPr>
                <w:rFonts w:hint="eastAsia" w:hAnsi="宋体"/>
                <w:color w:val="auto"/>
                <w:w w:val="110"/>
              </w:rPr>
              <w:t>其他</w:t>
            </w:r>
          </w:p>
        </w:tc>
        <w:tc>
          <w:tcPr>
            <w:tcW w:w="998" w:type="dxa"/>
            <w:tcBorders>
              <w:top w:val="single" w:color="000000" w:sz="4" w:space="0"/>
              <w:left w:val="single" w:color="000000" w:sz="4" w:space="0"/>
              <w:bottom w:val="single" w:color="000000" w:sz="4" w:space="0"/>
              <w:right w:val="single" w:color="000000" w:sz="4" w:space="0"/>
            </w:tcBorders>
          </w:tcPr>
          <w:p w14:paraId="6306D2C3">
            <w:pPr>
              <w:pStyle w:val="70"/>
              <w:kinsoku w:val="0"/>
              <w:overflowPunct w:val="0"/>
              <w:rPr>
                <w:rFonts w:hAnsi="宋体" w:cs="Times New Roman"/>
                <w:color w:val="auto"/>
                <w:sz w:val="22"/>
                <w:szCs w:val="22"/>
              </w:rPr>
            </w:pPr>
          </w:p>
        </w:tc>
        <w:tc>
          <w:tcPr>
            <w:tcW w:w="1560" w:type="dxa"/>
            <w:tcBorders>
              <w:top w:val="single" w:color="000000" w:sz="4" w:space="0"/>
              <w:left w:val="single" w:color="000000" w:sz="4" w:space="0"/>
              <w:bottom w:val="single" w:color="000000" w:sz="4" w:space="0"/>
              <w:right w:val="single" w:color="000000" w:sz="4" w:space="0"/>
            </w:tcBorders>
          </w:tcPr>
          <w:p w14:paraId="6079F4BE">
            <w:pPr>
              <w:pStyle w:val="70"/>
              <w:kinsoku w:val="0"/>
              <w:overflowPunct w:val="0"/>
              <w:rPr>
                <w:rFonts w:hAnsi="宋体" w:cs="Times New Roman"/>
                <w:color w:val="auto"/>
                <w:sz w:val="22"/>
                <w:szCs w:val="22"/>
              </w:rPr>
            </w:pPr>
          </w:p>
        </w:tc>
        <w:tc>
          <w:tcPr>
            <w:tcW w:w="1497" w:type="dxa"/>
            <w:tcBorders>
              <w:top w:val="single" w:color="000000" w:sz="4" w:space="0"/>
              <w:left w:val="single" w:color="000000" w:sz="4" w:space="0"/>
              <w:bottom w:val="single" w:color="000000" w:sz="4" w:space="0"/>
              <w:right w:val="single" w:color="000000" w:sz="4" w:space="0"/>
            </w:tcBorders>
          </w:tcPr>
          <w:p w14:paraId="40C30562">
            <w:pPr>
              <w:pStyle w:val="70"/>
              <w:kinsoku w:val="0"/>
              <w:overflowPunct w:val="0"/>
              <w:rPr>
                <w:rFonts w:hAnsi="宋体" w:cs="Times New Roman"/>
                <w:color w:val="auto"/>
                <w:sz w:val="22"/>
                <w:szCs w:val="22"/>
              </w:rPr>
            </w:pPr>
          </w:p>
        </w:tc>
        <w:tc>
          <w:tcPr>
            <w:tcW w:w="1563" w:type="dxa"/>
            <w:tcBorders>
              <w:top w:val="single" w:color="000000" w:sz="4" w:space="0"/>
              <w:left w:val="single" w:color="000000" w:sz="4" w:space="0"/>
              <w:bottom w:val="single" w:color="000000" w:sz="4" w:space="0"/>
              <w:right w:val="single" w:color="000000" w:sz="4" w:space="0"/>
            </w:tcBorders>
          </w:tcPr>
          <w:p w14:paraId="5B766D72">
            <w:pPr>
              <w:pStyle w:val="70"/>
              <w:kinsoku w:val="0"/>
              <w:overflowPunct w:val="0"/>
              <w:rPr>
                <w:rFonts w:hAnsi="宋体" w:cs="Times New Roman"/>
                <w:color w:val="auto"/>
                <w:sz w:val="22"/>
                <w:szCs w:val="22"/>
              </w:rPr>
            </w:pPr>
          </w:p>
        </w:tc>
      </w:tr>
      <w:tr w14:paraId="6DBA8099">
        <w:tblPrEx>
          <w:tblCellMar>
            <w:top w:w="0" w:type="dxa"/>
            <w:left w:w="0" w:type="dxa"/>
            <w:bottom w:w="0" w:type="dxa"/>
            <w:right w:w="0" w:type="dxa"/>
          </w:tblCellMar>
        </w:tblPrEx>
        <w:trPr>
          <w:trHeight w:val="933" w:hRule="atLeast"/>
        </w:trPr>
        <w:tc>
          <w:tcPr>
            <w:tcW w:w="457" w:type="dxa"/>
            <w:tcBorders>
              <w:top w:val="single" w:color="000000" w:sz="4" w:space="0"/>
              <w:left w:val="single" w:color="000000" w:sz="4" w:space="0"/>
              <w:bottom w:val="single" w:color="000000" w:sz="4" w:space="0"/>
              <w:right w:val="single" w:color="000000" w:sz="4" w:space="0"/>
            </w:tcBorders>
          </w:tcPr>
          <w:p w14:paraId="11F6ED57">
            <w:pPr>
              <w:pStyle w:val="70"/>
              <w:kinsoku w:val="0"/>
              <w:overflowPunct w:val="0"/>
              <w:spacing w:before="1"/>
              <w:rPr>
                <w:rFonts w:hAnsi="宋体"/>
                <w:color w:val="auto"/>
                <w:sz w:val="25"/>
                <w:szCs w:val="25"/>
              </w:rPr>
            </w:pPr>
          </w:p>
          <w:p w14:paraId="18152A37">
            <w:pPr>
              <w:pStyle w:val="70"/>
              <w:kinsoku w:val="0"/>
              <w:overflowPunct w:val="0"/>
              <w:ind w:left="8"/>
              <w:jc w:val="center"/>
              <w:rPr>
                <w:rFonts w:hAnsi="宋体" w:cs="Arial"/>
                <w:color w:val="auto"/>
                <w:w w:val="114"/>
              </w:rPr>
            </w:pPr>
            <w:r>
              <w:rPr>
                <w:rFonts w:hAnsi="宋体" w:cs="Arial"/>
                <w:color w:val="auto"/>
                <w:w w:val="114"/>
              </w:rPr>
              <w:t>2</w:t>
            </w:r>
          </w:p>
        </w:tc>
        <w:tc>
          <w:tcPr>
            <w:tcW w:w="1286" w:type="dxa"/>
            <w:tcBorders>
              <w:top w:val="single" w:color="000000" w:sz="4" w:space="0"/>
              <w:left w:val="single" w:color="000000" w:sz="4" w:space="0"/>
              <w:bottom w:val="single" w:color="000000" w:sz="4" w:space="0"/>
              <w:right w:val="single" w:color="000000" w:sz="4" w:space="0"/>
            </w:tcBorders>
          </w:tcPr>
          <w:p w14:paraId="7C4C06AE">
            <w:pPr>
              <w:pStyle w:val="70"/>
              <w:kinsoku w:val="0"/>
              <w:overflowPunct w:val="0"/>
              <w:rPr>
                <w:rFonts w:hAnsi="宋体" w:cs="Times New Roman"/>
                <w:color w:val="auto"/>
                <w:sz w:val="22"/>
                <w:szCs w:val="22"/>
              </w:rPr>
            </w:pPr>
          </w:p>
        </w:tc>
        <w:tc>
          <w:tcPr>
            <w:tcW w:w="1639" w:type="dxa"/>
            <w:tcBorders>
              <w:top w:val="single" w:color="000000" w:sz="4" w:space="0"/>
              <w:left w:val="single" w:color="000000" w:sz="4" w:space="0"/>
              <w:bottom w:val="single" w:color="000000" w:sz="4" w:space="0"/>
              <w:right w:val="single" w:color="000000" w:sz="4" w:space="0"/>
            </w:tcBorders>
          </w:tcPr>
          <w:p w14:paraId="7901B733">
            <w:pPr>
              <w:pStyle w:val="70"/>
              <w:kinsoku w:val="0"/>
              <w:overflowPunct w:val="0"/>
              <w:spacing w:line="307" w:lineRule="exact"/>
              <w:ind w:left="113" w:right="192"/>
              <w:jc w:val="center"/>
              <w:rPr>
                <w:rFonts w:hAnsi="宋体"/>
                <w:color w:val="auto"/>
                <w:spacing w:val="-1"/>
                <w:w w:val="105"/>
              </w:rPr>
            </w:pPr>
            <w:r>
              <w:rPr>
                <w:rFonts w:hAnsi="宋体" w:cs="Arial"/>
                <w:color w:val="auto"/>
                <w:spacing w:val="-1"/>
                <w:w w:val="105"/>
              </w:rPr>
              <w:t>□</w:t>
            </w:r>
            <w:r>
              <w:rPr>
                <w:rFonts w:hint="eastAsia" w:hAnsi="宋体"/>
                <w:color w:val="auto"/>
                <w:spacing w:val="-1"/>
                <w:w w:val="105"/>
              </w:rPr>
              <w:t>中型企业</w:t>
            </w:r>
          </w:p>
          <w:p w14:paraId="384EC64A">
            <w:pPr>
              <w:pStyle w:val="70"/>
              <w:kinsoku w:val="0"/>
              <w:overflowPunct w:val="0"/>
              <w:spacing w:before="4"/>
              <w:ind w:left="113" w:right="192"/>
              <w:jc w:val="center"/>
              <w:rPr>
                <w:rFonts w:hAnsi="宋体"/>
                <w:color w:val="auto"/>
                <w:spacing w:val="-1"/>
                <w:w w:val="105"/>
              </w:rPr>
            </w:pPr>
            <w:r>
              <w:rPr>
                <w:rFonts w:hAnsi="宋体" w:cs="Arial"/>
                <w:color w:val="auto"/>
                <w:spacing w:val="-1"/>
                <w:w w:val="105"/>
              </w:rPr>
              <w:t>□</w:t>
            </w:r>
            <w:r>
              <w:rPr>
                <w:rFonts w:hint="eastAsia" w:hAnsi="宋体"/>
                <w:color w:val="auto"/>
                <w:spacing w:val="-1"/>
                <w:w w:val="105"/>
              </w:rPr>
              <w:t>小微企业</w:t>
            </w:r>
          </w:p>
          <w:p w14:paraId="051B2D14">
            <w:pPr>
              <w:pStyle w:val="70"/>
              <w:kinsoku w:val="0"/>
              <w:overflowPunct w:val="0"/>
              <w:spacing w:before="2" w:line="293" w:lineRule="exact"/>
              <w:ind w:left="113" w:right="192"/>
              <w:jc w:val="both"/>
              <w:rPr>
                <w:rFonts w:hAnsi="宋体"/>
                <w:color w:val="auto"/>
                <w:w w:val="110"/>
              </w:rPr>
            </w:pPr>
            <w:r>
              <w:rPr>
                <w:rFonts w:hAnsi="宋体" w:cs="Arial"/>
                <w:color w:val="auto"/>
                <w:w w:val="140"/>
              </w:rPr>
              <w:t>□</w:t>
            </w:r>
            <w:r>
              <w:rPr>
                <w:rFonts w:hint="eastAsia" w:hAnsi="宋体"/>
                <w:color w:val="auto"/>
                <w:w w:val="110"/>
              </w:rPr>
              <w:t>其他</w:t>
            </w:r>
          </w:p>
        </w:tc>
        <w:tc>
          <w:tcPr>
            <w:tcW w:w="998" w:type="dxa"/>
            <w:tcBorders>
              <w:top w:val="single" w:color="000000" w:sz="4" w:space="0"/>
              <w:left w:val="single" w:color="000000" w:sz="4" w:space="0"/>
              <w:bottom w:val="single" w:color="000000" w:sz="4" w:space="0"/>
              <w:right w:val="single" w:color="000000" w:sz="4" w:space="0"/>
            </w:tcBorders>
          </w:tcPr>
          <w:p w14:paraId="733637A0">
            <w:pPr>
              <w:pStyle w:val="70"/>
              <w:kinsoku w:val="0"/>
              <w:overflowPunct w:val="0"/>
              <w:rPr>
                <w:rFonts w:hAnsi="宋体" w:cs="Times New Roman"/>
                <w:color w:val="auto"/>
                <w:sz w:val="22"/>
                <w:szCs w:val="22"/>
              </w:rPr>
            </w:pPr>
          </w:p>
        </w:tc>
        <w:tc>
          <w:tcPr>
            <w:tcW w:w="1560" w:type="dxa"/>
            <w:tcBorders>
              <w:top w:val="single" w:color="000000" w:sz="4" w:space="0"/>
              <w:left w:val="single" w:color="000000" w:sz="4" w:space="0"/>
              <w:bottom w:val="single" w:color="000000" w:sz="4" w:space="0"/>
              <w:right w:val="single" w:color="000000" w:sz="4" w:space="0"/>
            </w:tcBorders>
          </w:tcPr>
          <w:p w14:paraId="210F6040">
            <w:pPr>
              <w:pStyle w:val="70"/>
              <w:kinsoku w:val="0"/>
              <w:overflowPunct w:val="0"/>
              <w:rPr>
                <w:rFonts w:hAnsi="宋体" w:cs="Times New Roman"/>
                <w:color w:val="auto"/>
                <w:sz w:val="22"/>
                <w:szCs w:val="22"/>
              </w:rPr>
            </w:pPr>
          </w:p>
        </w:tc>
        <w:tc>
          <w:tcPr>
            <w:tcW w:w="1497" w:type="dxa"/>
            <w:tcBorders>
              <w:top w:val="single" w:color="000000" w:sz="4" w:space="0"/>
              <w:left w:val="single" w:color="000000" w:sz="4" w:space="0"/>
              <w:bottom w:val="single" w:color="000000" w:sz="4" w:space="0"/>
              <w:right w:val="single" w:color="000000" w:sz="4" w:space="0"/>
            </w:tcBorders>
          </w:tcPr>
          <w:p w14:paraId="6B67A90A">
            <w:pPr>
              <w:pStyle w:val="70"/>
              <w:kinsoku w:val="0"/>
              <w:overflowPunct w:val="0"/>
              <w:rPr>
                <w:rFonts w:hAnsi="宋体" w:cs="Times New Roman"/>
                <w:color w:val="auto"/>
                <w:sz w:val="22"/>
                <w:szCs w:val="22"/>
              </w:rPr>
            </w:pPr>
          </w:p>
        </w:tc>
        <w:tc>
          <w:tcPr>
            <w:tcW w:w="1563" w:type="dxa"/>
            <w:tcBorders>
              <w:top w:val="single" w:color="000000" w:sz="4" w:space="0"/>
              <w:left w:val="single" w:color="000000" w:sz="4" w:space="0"/>
              <w:bottom w:val="single" w:color="000000" w:sz="4" w:space="0"/>
              <w:right w:val="single" w:color="000000" w:sz="4" w:space="0"/>
            </w:tcBorders>
          </w:tcPr>
          <w:p w14:paraId="6F5EA85C">
            <w:pPr>
              <w:pStyle w:val="70"/>
              <w:kinsoku w:val="0"/>
              <w:overflowPunct w:val="0"/>
              <w:rPr>
                <w:rFonts w:hAnsi="宋体" w:cs="Times New Roman"/>
                <w:color w:val="auto"/>
                <w:sz w:val="22"/>
                <w:szCs w:val="22"/>
              </w:rPr>
            </w:pPr>
          </w:p>
        </w:tc>
      </w:tr>
      <w:tr w14:paraId="7A5E8CD4">
        <w:tblPrEx>
          <w:tblCellMar>
            <w:top w:w="0" w:type="dxa"/>
            <w:left w:w="0" w:type="dxa"/>
            <w:bottom w:w="0" w:type="dxa"/>
            <w:right w:w="0" w:type="dxa"/>
          </w:tblCellMar>
        </w:tblPrEx>
        <w:trPr>
          <w:trHeight w:val="619" w:hRule="atLeast"/>
        </w:trPr>
        <w:tc>
          <w:tcPr>
            <w:tcW w:w="457" w:type="dxa"/>
            <w:tcBorders>
              <w:top w:val="single" w:color="000000" w:sz="4" w:space="0"/>
              <w:left w:val="single" w:color="000000" w:sz="4" w:space="0"/>
              <w:bottom w:val="single" w:color="000000" w:sz="4" w:space="0"/>
              <w:right w:val="single" w:color="000000" w:sz="4" w:space="0"/>
            </w:tcBorders>
          </w:tcPr>
          <w:p w14:paraId="41D652B9">
            <w:pPr>
              <w:pStyle w:val="70"/>
              <w:kinsoku w:val="0"/>
              <w:overflowPunct w:val="0"/>
              <w:spacing w:before="165"/>
              <w:ind w:left="9"/>
              <w:jc w:val="center"/>
              <w:rPr>
                <w:rFonts w:hAnsi="宋体" w:cs="Arial"/>
                <w:color w:val="auto"/>
              </w:rPr>
            </w:pPr>
            <w:r>
              <w:rPr>
                <w:rFonts w:hAnsi="宋体" w:cs="Arial"/>
                <w:color w:val="auto"/>
              </w:rPr>
              <w:t>…</w:t>
            </w:r>
          </w:p>
        </w:tc>
        <w:tc>
          <w:tcPr>
            <w:tcW w:w="1286" w:type="dxa"/>
            <w:tcBorders>
              <w:top w:val="single" w:color="000000" w:sz="4" w:space="0"/>
              <w:left w:val="single" w:color="000000" w:sz="4" w:space="0"/>
              <w:bottom w:val="single" w:color="000000" w:sz="4" w:space="0"/>
              <w:right w:val="single" w:color="000000" w:sz="4" w:space="0"/>
            </w:tcBorders>
          </w:tcPr>
          <w:p w14:paraId="13F4639C">
            <w:pPr>
              <w:pStyle w:val="70"/>
              <w:kinsoku w:val="0"/>
              <w:overflowPunct w:val="0"/>
              <w:rPr>
                <w:rFonts w:hAnsi="宋体" w:cs="Times New Roman"/>
                <w:color w:val="auto"/>
                <w:sz w:val="22"/>
                <w:szCs w:val="22"/>
              </w:rPr>
            </w:pPr>
          </w:p>
        </w:tc>
        <w:tc>
          <w:tcPr>
            <w:tcW w:w="1639" w:type="dxa"/>
            <w:tcBorders>
              <w:top w:val="single" w:color="000000" w:sz="4" w:space="0"/>
              <w:left w:val="single" w:color="000000" w:sz="4" w:space="0"/>
              <w:bottom w:val="single" w:color="000000" w:sz="4" w:space="0"/>
              <w:right w:val="single" w:color="000000" w:sz="4" w:space="0"/>
            </w:tcBorders>
          </w:tcPr>
          <w:p w14:paraId="6B6D979E">
            <w:pPr>
              <w:pStyle w:val="70"/>
              <w:kinsoku w:val="0"/>
              <w:overflowPunct w:val="0"/>
              <w:rPr>
                <w:rFonts w:hAnsi="宋体" w:cs="Times New Roman"/>
                <w:color w:val="auto"/>
                <w:sz w:val="22"/>
                <w:szCs w:val="22"/>
              </w:rPr>
            </w:pPr>
          </w:p>
        </w:tc>
        <w:tc>
          <w:tcPr>
            <w:tcW w:w="998" w:type="dxa"/>
            <w:tcBorders>
              <w:top w:val="single" w:color="000000" w:sz="4" w:space="0"/>
              <w:left w:val="single" w:color="000000" w:sz="4" w:space="0"/>
              <w:bottom w:val="single" w:color="000000" w:sz="4" w:space="0"/>
              <w:right w:val="single" w:color="000000" w:sz="4" w:space="0"/>
            </w:tcBorders>
          </w:tcPr>
          <w:p w14:paraId="6579C3E8">
            <w:pPr>
              <w:pStyle w:val="70"/>
              <w:kinsoku w:val="0"/>
              <w:overflowPunct w:val="0"/>
              <w:rPr>
                <w:rFonts w:hAnsi="宋体" w:cs="Times New Roman"/>
                <w:color w:val="auto"/>
                <w:sz w:val="22"/>
                <w:szCs w:val="22"/>
              </w:rPr>
            </w:pPr>
          </w:p>
        </w:tc>
        <w:tc>
          <w:tcPr>
            <w:tcW w:w="1560" w:type="dxa"/>
            <w:tcBorders>
              <w:top w:val="single" w:color="000000" w:sz="4" w:space="0"/>
              <w:left w:val="single" w:color="000000" w:sz="4" w:space="0"/>
              <w:bottom w:val="single" w:color="000000" w:sz="4" w:space="0"/>
              <w:right w:val="single" w:color="000000" w:sz="4" w:space="0"/>
            </w:tcBorders>
          </w:tcPr>
          <w:p w14:paraId="5E5B5594">
            <w:pPr>
              <w:pStyle w:val="70"/>
              <w:kinsoku w:val="0"/>
              <w:overflowPunct w:val="0"/>
              <w:rPr>
                <w:rFonts w:hAnsi="宋体" w:cs="Times New Roman"/>
                <w:color w:val="auto"/>
                <w:sz w:val="22"/>
                <w:szCs w:val="22"/>
              </w:rPr>
            </w:pPr>
          </w:p>
        </w:tc>
        <w:tc>
          <w:tcPr>
            <w:tcW w:w="1497" w:type="dxa"/>
            <w:tcBorders>
              <w:top w:val="single" w:color="000000" w:sz="4" w:space="0"/>
              <w:left w:val="single" w:color="000000" w:sz="4" w:space="0"/>
              <w:bottom w:val="single" w:color="000000" w:sz="4" w:space="0"/>
              <w:right w:val="single" w:color="000000" w:sz="4" w:space="0"/>
            </w:tcBorders>
          </w:tcPr>
          <w:p w14:paraId="23CF6BC0">
            <w:pPr>
              <w:pStyle w:val="70"/>
              <w:kinsoku w:val="0"/>
              <w:overflowPunct w:val="0"/>
              <w:rPr>
                <w:rFonts w:hAnsi="宋体" w:cs="Times New Roman"/>
                <w:color w:val="auto"/>
                <w:sz w:val="22"/>
                <w:szCs w:val="22"/>
              </w:rPr>
            </w:pPr>
          </w:p>
        </w:tc>
        <w:tc>
          <w:tcPr>
            <w:tcW w:w="1563" w:type="dxa"/>
            <w:tcBorders>
              <w:top w:val="single" w:color="000000" w:sz="4" w:space="0"/>
              <w:left w:val="single" w:color="000000" w:sz="4" w:space="0"/>
              <w:bottom w:val="single" w:color="000000" w:sz="4" w:space="0"/>
              <w:right w:val="single" w:color="000000" w:sz="4" w:space="0"/>
            </w:tcBorders>
          </w:tcPr>
          <w:p w14:paraId="332F3B45">
            <w:pPr>
              <w:pStyle w:val="70"/>
              <w:kinsoku w:val="0"/>
              <w:overflowPunct w:val="0"/>
              <w:rPr>
                <w:rFonts w:hAnsi="宋体" w:cs="Times New Roman"/>
                <w:color w:val="auto"/>
                <w:sz w:val="22"/>
                <w:szCs w:val="22"/>
              </w:rPr>
            </w:pPr>
          </w:p>
        </w:tc>
      </w:tr>
      <w:tr w14:paraId="56404DD6">
        <w:tblPrEx>
          <w:tblCellMar>
            <w:top w:w="0" w:type="dxa"/>
            <w:left w:w="0" w:type="dxa"/>
            <w:bottom w:w="0" w:type="dxa"/>
            <w:right w:w="0" w:type="dxa"/>
          </w:tblCellMar>
        </w:tblPrEx>
        <w:trPr>
          <w:trHeight w:val="619" w:hRule="atLeast"/>
        </w:trPr>
        <w:tc>
          <w:tcPr>
            <w:tcW w:w="5940" w:type="dxa"/>
            <w:gridSpan w:val="5"/>
            <w:tcBorders>
              <w:top w:val="single" w:color="000000" w:sz="4" w:space="0"/>
              <w:left w:val="single" w:color="000000" w:sz="4" w:space="0"/>
              <w:bottom w:val="single" w:color="000000" w:sz="4" w:space="0"/>
              <w:right w:val="single" w:color="000000" w:sz="4" w:space="0"/>
            </w:tcBorders>
          </w:tcPr>
          <w:p w14:paraId="3CF787E8">
            <w:pPr>
              <w:pStyle w:val="70"/>
              <w:kinsoku w:val="0"/>
              <w:overflowPunct w:val="0"/>
              <w:spacing w:before="153"/>
              <w:ind w:right="50"/>
              <w:jc w:val="right"/>
              <w:rPr>
                <w:rFonts w:hAnsi="宋体"/>
                <w:color w:val="auto"/>
              </w:rPr>
            </w:pPr>
            <w:r>
              <w:rPr>
                <w:rFonts w:hint="eastAsia" w:hAnsi="宋体"/>
                <w:color w:val="auto"/>
              </w:rPr>
              <w:t>合计：</w:t>
            </w:r>
          </w:p>
        </w:tc>
        <w:tc>
          <w:tcPr>
            <w:tcW w:w="1497" w:type="dxa"/>
            <w:tcBorders>
              <w:top w:val="single" w:color="000000" w:sz="4" w:space="0"/>
              <w:left w:val="single" w:color="000000" w:sz="4" w:space="0"/>
              <w:bottom w:val="single" w:color="000000" w:sz="4" w:space="0"/>
              <w:right w:val="single" w:color="000000" w:sz="4" w:space="0"/>
            </w:tcBorders>
          </w:tcPr>
          <w:p w14:paraId="0B61EB61">
            <w:pPr>
              <w:pStyle w:val="70"/>
              <w:kinsoku w:val="0"/>
              <w:overflowPunct w:val="0"/>
              <w:rPr>
                <w:rFonts w:hAnsi="宋体" w:cs="Times New Roman"/>
                <w:color w:val="auto"/>
                <w:sz w:val="22"/>
                <w:szCs w:val="22"/>
              </w:rPr>
            </w:pPr>
          </w:p>
        </w:tc>
        <w:tc>
          <w:tcPr>
            <w:tcW w:w="1563" w:type="dxa"/>
            <w:tcBorders>
              <w:top w:val="single" w:color="000000" w:sz="4" w:space="0"/>
              <w:left w:val="single" w:color="000000" w:sz="4" w:space="0"/>
              <w:bottom w:val="single" w:color="000000" w:sz="4" w:space="0"/>
              <w:right w:val="single" w:color="000000" w:sz="4" w:space="0"/>
            </w:tcBorders>
          </w:tcPr>
          <w:p w14:paraId="0AF8CB28">
            <w:pPr>
              <w:pStyle w:val="70"/>
              <w:kinsoku w:val="0"/>
              <w:overflowPunct w:val="0"/>
              <w:rPr>
                <w:rFonts w:hAnsi="宋体" w:cs="Times New Roman"/>
                <w:color w:val="auto"/>
                <w:sz w:val="22"/>
                <w:szCs w:val="22"/>
              </w:rPr>
            </w:pPr>
          </w:p>
        </w:tc>
      </w:tr>
    </w:tbl>
    <w:p w14:paraId="080CD7DD">
      <w:pPr>
        <w:pStyle w:val="17"/>
        <w:kinsoku w:val="0"/>
        <w:overflowPunct w:val="0"/>
        <w:spacing w:before="9"/>
        <w:rPr>
          <w:rFonts w:hAnsi="宋体"/>
          <w:color w:val="auto"/>
          <w:sz w:val="34"/>
          <w:szCs w:val="34"/>
        </w:rPr>
      </w:pPr>
    </w:p>
    <w:p w14:paraId="1ADBDBDC">
      <w:pPr>
        <w:pStyle w:val="17"/>
        <w:tabs>
          <w:tab w:val="left" w:pos="8228"/>
          <w:tab w:val="left" w:pos="8828"/>
          <w:tab w:val="left" w:pos="9428"/>
          <w:tab w:val="left" w:pos="9666"/>
        </w:tabs>
        <w:kinsoku w:val="0"/>
        <w:overflowPunct w:val="0"/>
        <w:spacing w:line="381" w:lineRule="auto"/>
        <w:ind w:left="7148" w:right="516" w:hanging="1016"/>
        <w:jc w:val="right"/>
        <w:rPr>
          <w:rFonts w:hAnsi="宋体"/>
          <w:color w:val="auto"/>
          <w:spacing w:val="-17"/>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ab/>
      </w:r>
      <w:r>
        <w:rPr>
          <w:rFonts w:hAnsi="宋体" w:cs="Times New Roman"/>
          <w:color w:val="auto"/>
          <w:u w:val="single" w:color="000000"/>
        </w:rPr>
        <w:t xml:space="preserve"> </w:t>
      </w: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spacing w:val="-17"/>
        </w:rPr>
        <w:t>日</w:t>
      </w:r>
    </w:p>
    <w:p w14:paraId="7FC2A0F6">
      <w:pPr>
        <w:pStyle w:val="17"/>
        <w:kinsoku w:val="0"/>
        <w:overflowPunct w:val="0"/>
        <w:spacing w:before="1"/>
        <w:ind w:left="541"/>
        <w:rPr>
          <w:rFonts w:hAnsi="宋体"/>
          <w:color w:val="auto"/>
        </w:rPr>
      </w:pPr>
      <w:r>
        <w:rPr>
          <w:rFonts w:hint="eastAsia" w:hAnsi="宋体"/>
          <w:color w:val="auto"/>
        </w:rPr>
        <w:t>注：</w:t>
      </w:r>
    </w:p>
    <w:p w14:paraId="02077387">
      <w:pPr>
        <w:pStyle w:val="69"/>
        <w:tabs>
          <w:tab w:val="left" w:pos="1174"/>
        </w:tabs>
        <w:kinsoku w:val="0"/>
        <w:overflowPunct w:val="0"/>
        <w:spacing w:before="160" w:line="364" w:lineRule="auto"/>
        <w:ind w:left="541" w:right="570" w:firstLine="0"/>
        <w:jc w:val="both"/>
        <w:rPr>
          <w:rFonts w:hAnsi="宋体"/>
          <w:color w:val="auto"/>
        </w:rPr>
      </w:pPr>
      <w:r>
        <w:rPr>
          <w:rFonts w:hint="eastAsia" w:hAnsi="宋体"/>
          <w:color w:val="auto"/>
          <w:spacing w:val="-1"/>
        </w:rPr>
        <w:t>（1）当供应商属于本部分说明中第</w:t>
      </w:r>
      <w:r>
        <w:rPr>
          <w:rFonts w:hint="eastAsia" w:hAnsi="宋体"/>
          <w:color w:val="auto"/>
        </w:rPr>
        <w:t>（</w:t>
      </w:r>
      <w:r>
        <w:rPr>
          <w:rFonts w:hAnsi="宋体" w:cs="Arial"/>
          <w:color w:val="auto"/>
        </w:rPr>
        <w:t>1</w:t>
      </w:r>
      <w:r>
        <w:rPr>
          <w:rFonts w:hint="eastAsia" w:hAnsi="宋体"/>
          <w:color w:val="auto"/>
        </w:rPr>
        <w:t>）</w:t>
      </w:r>
      <w:r>
        <w:rPr>
          <w:rFonts w:hint="eastAsia" w:hAnsi="宋体"/>
          <w:color w:val="auto"/>
          <w:spacing w:val="-8"/>
        </w:rPr>
        <w:t>类情形，如未提供《拟分包情况说明》，或提</w:t>
      </w:r>
      <w:r>
        <w:rPr>
          <w:rFonts w:hint="eastAsia" w:hAnsi="宋体"/>
          <w:color w:val="auto"/>
          <w:spacing w:val="-9"/>
        </w:rPr>
        <w:t>供了《拟分包情况说明》但未填写分包承担主体名称、拟分包合同内容、拟分包合同金</w:t>
      </w:r>
      <w:r>
        <w:rPr>
          <w:rFonts w:hint="eastAsia" w:hAnsi="宋体"/>
          <w:color w:val="auto"/>
        </w:rPr>
        <w:t>额，其响应无效；</w:t>
      </w:r>
    </w:p>
    <w:p w14:paraId="2DD26AA3">
      <w:pPr>
        <w:pStyle w:val="69"/>
        <w:tabs>
          <w:tab w:val="left" w:pos="1174"/>
        </w:tabs>
        <w:kinsoku w:val="0"/>
        <w:overflowPunct w:val="0"/>
        <w:spacing w:line="364" w:lineRule="auto"/>
        <w:ind w:left="541" w:right="570" w:firstLine="0"/>
        <w:jc w:val="both"/>
        <w:rPr>
          <w:rFonts w:hAnsi="宋体"/>
          <w:color w:val="auto"/>
        </w:rPr>
      </w:pPr>
      <w:r>
        <w:rPr>
          <w:rFonts w:hint="eastAsia" w:hAnsi="宋体"/>
          <w:color w:val="auto"/>
          <w:spacing w:val="-1"/>
        </w:rPr>
        <w:t>（2）当供应商属于本部分说明中第</w:t>
      </w:r>
      <w:r>
        <w:rPr>
          <w:rFonts w:hint="eastAsia" w:hAnsi="宋体"/>
          <w:color w:val="auto"/>
        </w:rPr>
        <w:t>（</w:t>
      </w:r>
      <w:r>
        <w:rPr>
          <w:rFonts w:hAnsi="宋体" w:cs="Arial"/>
          <w:color w:val="auto"/>
        </w:rPr>
        <w:t>2</w:t>
      </w:r>
      <w:r>
        <w:rPr>
          <w:rFonts w:hint="eastAsia" w:hAnsi="宋体"/>
          <w:color w:val="auto"/>
        </w:rPr>
        <w:t>）</w:t>
      </w:r>
      <w:r>
        <w:rPr>
          <w:rFonts w:hint="eastAsia" w:hAnsi="宋体"/>
          <w:color w:val="auto"/>
          <w:spacing w:val="-8"/>
        </w:rPr>
        <w:t>类情形，如未提供《拟分包情况说明》，或提</w:t>
      </w:r>
      <w:r>
        <w:rPr>
          <w:rFonts w:hint="eastAsia" w:hAnsi="宋体"/>
          <w:color w:val="auto"/>
          <w:spacing w:val="-9"/>
        </w:rPr>
        <w:t>供了《拟分包情况说明》但未填写分包承担主体名称、分包承担主体类型、拟分包合同</w:t>
      </w:r>
      <w:r>
        <w:rPr>
          <w:rFonts w:hint="eastAsia" w:hAnsi="宋体"/>
          <w:color w:val="auto"/>
        </w:rPr>
        <w:t>内容、拟分包合同金额，其响应无效；</w:t>
      </w:r>
    </w:p>
    <w:p w14:paraId="3A140A0B">
      <w:pPr>
        <w:pStyle w:val="69"/>
        <w:tabs>
          <w:tab w:val="left" w:pos="1174"/>
        </w:tabs>
        <w:kinsoku w:val="0"/>
        <w:overflowPunct w:val="0"/>
        <w:spacing w:line="364" w:lineRule="auto"/>
        <w:ind w:left="541" w:right="570" w:firstLine="0"/>
        <w:jc w:val="both"/>
        <w:rPr>
          <w:rFonts w:hAnsi="宋体"/>
          <w:color w:val="auto"/>
        </w:rPr>
      </w:pPr>
      <w:r>
        <w:rPr>
          <w:rFonts w:hint="eastAsia" w:hAnsi="宋体"/>
          <w:color w:val="auto"/>
        </w:rPr>
        <w:t>（3）如本采购文件《供应商须知资料表》载明本项目分包承担主体应具备的相应资质</w:t>
      </w:r>
      <w:r>
        <w:rPr>
          <w:rFonts w:hint="eastAsia" w:hAnsi="宋体"/>
          <w:color w:val="auto"/>
          <w:spacing w:val="-7"/>
        </w:rPr>
        <w:t>条件，则供应商须在本表中列明分包承担主体的资质等级，并后附资质证书复印件，否</w:t>
      </w:r>
      <w:r>
        <w:rPr>
          <w:rFonts w:hint="eastAsia" w:hAnsi="宋体"/>
          <w:color w:val="auto"/>
        </w:rPr>
        <w:t>则响应无效。</w:t>
      </w:r>
    </w:p>
    <w:p w14:paraId="4088857D">
      <w:pPr>
        <w:pStyle w:val="69"/>
        <w:numPr>
          <w:ilvl w:val="0"/>
          <w:numId w:val="20"/>
        </w:numPr>
        <w:tabs>
          <w:tab w:val="left" w:pos="1174"/>
        </w:tabs>
        <w:kinsoku w:val="0"/>
        <w:overflowPunct w:val="0"/>
        <w:spacing w:line="364" w:lineRule="auto"/>
        <w:ind w:right="570" w:firstLine="0"/>
        <w:jc w:val="both"/>
        <w:rPr>
          <w:rFonts w:hAnsi="宋体"/>
          <w:color w:val="auto"/>
        </w:rPr>
        <w:sectPr>
          <w:pgSz w:w="11910" w:h="16840"/>
          <w:pgMar w:top="1340" w:right="560" w:bottom="1080" w:left="1160" w:header="879" w:footer="879" w:gutter="0"/>
          <w:pgNumType w:fmt="decimal"/>
          <w:cols w:space="720" w:num="1"/>
        </w:sectPr>
      </w:pPr>
    </w:p>
    <w:p w14:paraId="177451D9">
      <w:pPr>
        <w:pStyle w:val="2"/>
        <w:kinsoku w:val="0"/>
        <w:overflowPunct w:val="0"/>
        <w:ind w:right="26"/>
        <w:rPr>
          <w:rFonts w:hAnsi="宋体"/>
          <w:color w:val="auto"/>
        </w:rPr>
      </w:pPr>
      <w:bookmarkStart w:id="68" w:name="_Toc149147726"/>
      <w:bookmarkStart w:id="69" w:name="_Toc149147571"/>
      <w:r>
        <w:rPr>
          <w:rFonts w:hint="eastAsia" w:hAnsi="宋体"/>
          <w:color w:val="auto"/>
        </w:rPr>
        <w:t>分包意向协议（实质性格式）</w:t>
      </w:r>
      <w:bookmarkEnd w:id="68"/>
      <w:bookmarkEnd w:id="69"/>
    </w:p>
    <w:p w14:paraId="752ED4EE">
      <w:pPr>
        <w:pStyle w:val="17"/>
        <w:tabs>
          <w:tab w:val="left" w:pos="3594"/>
        </w:tabs>
        <w:kinsoku w:val="0"/>
        <w:overflowPunct w:val="0"/>
        <w:spacing w:before="239"/>
        <w:ind w:left="1021"/>
        <w:rPr>
          <w:rFonts w:hAnsi="宋体" w:cs="Times New Roman"/>
          <w:color w:val="auto"/>
        </w:rPr>
      </w:pPr>
      <w:r>
        <w:rPr>
          <w:rFonts w:hint="eastAsia" w:hAnsi="宋体"/>
          <w:color w:val="auto"/>
        </w:rPr>
        <w:t>甲方（供应商</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5268696B">
      <w:pPr>
        <w:pStyle w:val="17"/>
        <w:tabs>
          <w:tab w:val="left" w:pos="4074"/>
        </w:tabs>
        <w:kinsoku w:val="0"/>
        <w:overflowPunct w:val="0"/>
        <w:spacing w:before="158"/>
        <w:ind w:left="1021"/>
        <w:rPr>
          <w:rFonts w:hAnsi="宋体" w:cs="Times New Roman"/>
          <w:color w:val="auto"/>
        </w:rPr>
      </w:pPr>
      <w:r>
        <w:rPr>
          <w:rFonts w:hint="eastAsia" w:hAnsi="宋体"/>
          <w:color w:val="auto"/>
        </w:rPr>
        <w:t>乙方（拟分包单位</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1DF3950A">
      <w:pPr>
        <w:pStyle w:val="17"/>
        <w:tabs>
          <w:tab w:val="left" w:pos="3656"/>
          <w:tab w:val="left" w:pos="8413"/>
        </w:tabs>
        <w:kinsoku w:val="0"/>
        <w:overflowPunct w:val="0"/>
        <w:spacing w:before="161" w:line="362" w:lineRule="auto"/>
        <w:ind w:left="541" w:right="571" w:firstLine="480"/>
        <w:rPr>
          <w:rFonts w:hAnsi="宋体"/>
          <w:color w:val="auto"/>
        </w:rPr>
      </w:pPr>
      <w:r>
        <w:rPr>
          <w:rFonts w:hint="eastAsia" w:hAnsi="宋体"/>
          <w:color w:val="auto"/>
        </w:rPr>
        <w:t>甲方承诺</w:t>
      </w:r>
      <w:r>
        <w:rPr>
          <w:rFonts w:hint="eastAsia" w:hAnsi="宋体"/>
          <w:color w:val="auto"/>
          <w:spacing w:val="-3"/>
        </w:rPr>
        <w:t>，</w:t>
      </w:r>
      <w:r>
        <w:rPr>
          <w:rFonts w:hint="eastAsia" w:hAnsi="宋体"/>
          <w:color w:val="auto"/>
        </w:rPr>
        <w:t>一旦</w:t>
      </w:r>
      <w:r>
        <w:rPr>
          <w:rFonts w:hint="eastAsia" w:hAnsi="宋体"/>
          <w:color w:val="auto"/>
          <w:spacing w:val="-1"/>
        </w:rPr>
        <w:t>在</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（采购项目名称</w:t>
      </w:r>
      <w:r>
        <w:rPr>
          <w:rFonts w:hint="eastAsia" w:hAnsi="宋体"/>
          <w:color w:val="auto"/>
          <w:spacing w:val="-120"/>
        </w:rPr>
        <w:t>）</w:t>
      </w:r>
      <w:r>
        <w:rPr>
          <w:rFonts w:hint="eastAsia" w:hAnsi="宋体"/>
          <w:color w:val="auto"/>
          <w:spacing w:val="-3"/>
        </w:rPr>
        <w:t>（</w:t>
      </w:r>
      <w:r>
        <w:rPr>
          <w:rFonts w:hint="eastAsia" w:hAnsi="宋体"/>
          <w:color w:val="auto"/>
        </w:rPr>
        <w:t>项目编</w:t>
      </w:r>
      <w:r>
        <w:rPr>
          <w:rFonts w:hint="eastAsia" w:hAnsi="宋体"/>
          <w:color w:val="auto"/>
          <w:spacing w:val="-1"/>
        </w:rPr>
        <w:t>号</w:t>
      </w:r>
      <w:r>
        <w:rPr>
          <w:rFonts w:hAnsi="宋体" w:cs="Arial"/>
          <w:color w:val="auto"/>
          <w:w w:val="121"/>
        </w:rPr>
        <w:t>/</w:t>
      </w:r>
      <w:r>
        <w:rPr>
          <w:rFonts w:hint="eastAsia" w:hAnsi="宋体"/>
          <w:color w:val="auto"/>
        </w:rPr>
        <w:t>包号为</w:t>
      </w:r>
      <w:r>
        <w:rPr>
          <w:rFonts w:hint="eastAsia" w:hAnsi="宋体"/>
          <w:color w:val="auto"/>
          <w:spacing w:val="-3"/>
        </w:rPr>
        <w:t>：</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）采购项</w:t>
      </w:r>
      <w:r>
        <w:rPr>
          <w:rFonts w:hint="eastAsia" w:hAnsi="宋体"/>
          <w:color w:val="auto"/>
          <w:spacing w:val="-17"/>
        </w:rPr>
        <w:t>目</w:t>
      </w:r>
      <w:r>
        <w:rPr>
          <w:rFonts w:hint="eastAsia" w:hAnsi="宋体"/>
          <w:color w:val="auto"/>
        </w:rPr>
        <w:t>中获得采购合同，将按照下述约定将合同项下部分内容分包给乙方：</w:t>
      </w:r>
    </w:p>
    <w:p w14:paraId="2D549AD3">
      <w:pPr>
        <w:pStyle w:val="69"/>
        <w:numPr>
          <w:ilvl w:val="1"/>
          <w:numId w:val="20"/>
        </w:numPr>
        <w:tabs>
          <w:tab w:val="left" w:pos="1251"/>
          <w:tab w:val="left" w:pos="3169"/>
        </w:tabs>
        <w:kinsoku w:val="0"/>
        <w:overflowPunct w:val="0"/>
        <w:spacing w:before="5"/>
        <w:ind w:hanging="230"/>
        <w:rPr>
          <w:rFonts w:hAnsi="宋体"/>
          <w:color w:val="auto"/>
        </w:rPr>
      </w:pPr>
      <w:r>
        <w:rPr>
          <w:rFonts w:hint="eastAsia" w:hAnsi="宋体"/>
          <w:color w:val="auto"/>
        </w:rPr>
        <w:t>分包内容：</w:t>
      </w:r>
      <w:r>
        <w:rPr>
          <w:rFonts w:hAnsi="宋体"/>
          <w:color w:val="auto"/>
          <w:u w:val="single" w:color="000000"/>
        </w:rPr>
        <w:t xml:space="preserve"> </w:t>
      </w:r>
      <w:r>
        <w:rPr>
          <w:rFonts w:hAnsi="宋体"/>
          <w:color w:val="auto"/>
          <w:u w:val="single" w:color="000000"/>
        </w:rPr>
        <w:tab/>
      </w:r>
      <w:r>
        <w:rPr>
          <w:rFonts w:hint="eastAsia" w:hAnsi="宋体"/>
          <w:color w:val="auto"/>
        </w:rPr>
        <w:t>。</w:t>
      </w:r>
    </w:p>
    <w:p w14:paraId="5C3D5E40">
      <w:pPr>
        <w:pStyle w:val="69"/>
        <w:numPr>
          <w:ilvl w:val="1"/>
          <w:numId w:val="20"/>
        </w:numPr>
        <w:tabs>
          <w:tab w:val="left" w:pos="1251"/>
          <w:tab w:val="left" w:pos="3169"/>
          <w:tab w:val="left" w:pos="7967"/>
        </w:tabs>
        <w:kinsoku w:val="0"/>
        <w:overflowPunct w:val="0"/>
        <w:spacing w:before="158" w:line="364" w:lineRule="auto"/>
        <w:ind w:left="1021" w:right="1747" w:firstLine="0"/>
        <w:rPr>
          <w:rFonts w:hAnsi="宋体"/>
          <w:color w:val="auto"/>
        </w:rPr>
      </w:pPr>
      <w:r>
        <w:rPr>
          <w:rFonts w:hint="eastAsia" w:hAnsi="宋体"/>
          <w:color w:val="auto"/>
        </w:rPr>
        <w:t>分包金额：</w:t>
      </w:r>
      <w:r>
        <w:rPr>
          <w:rFonts w:hAnsi="宋体"/>
          <w:color w:val="auto"/>
          <w:u w:val="single" w:color="000000"/>
        </w:rPr>
        <w:t xml:space="preserve"> </w:t>
      </w:r>
      <w:r>
        <w:rPr>
          <w:rFonts w:hAnsi="宋体"/>
          <w:color w:val="auto"/>
          <w:u w:val="single" w:color="000000"/>
        </w:rPr>
        <w:tab/>
      </w:r>
      <w:r>
        <w:rPr>
          <w:rFonts w:hint="eastAsia" w:hAnsi="宋体"/>
          <w:color w:val="auto"/>
        </w:rPr>
        <w:t>，该金额占该采购包合同金额的比例为</w:t>
      </w:r>
      <w:r>
        <w:rPr>
          <w:rFonts w:hAnsi="宋体"/>
          <w:color w:val="auto"/>
          <w:u w:val="single" w:color="000000"/>
        </w:rPr>
        <w:t xml:space="preserve"> </w:t>
      </w:r>
      <w:r>
        <w:rPr>
          <w:rFonts w:hAnsi="宋体"/>
          <w:color w:val="auto"/>
          <w:u w:val="single" w:color="000000"/>
        </w:rPr>
        <w:tab/>
      </w:r>
      <w:r>
        <w:rPr>
          <w:rFonts w:hAnsi="宋体" w:cs="Arial"/>
          <w:color w:val="auto"/>
        </w:rPr>
        <w:t>%</w:t>
      </w:r>
      <w:r>
        <w:rPr>
          <w:rFonts w:hint="eastAsia" w:hAnsi="宋体"/>
          <w:color w:val="auto"/>
          <w:spacing w:val="-18"/>
        </w:rPr>
        <w:t>。</w:t>
      </w:r>
      <w:r>
        <w:rPr>
          <w:rFonts w:hint="eastAsia" w:hAnsi="宋体"/>
          <w:color w:val="auto"/>
        </w:rPr>
        <w:t>乙方承诺将在上述情况下与甲方签订分包合同。</w:t>
      </w:r>
    </w:p>
    <w:p w14:paraId="7145B7EF">
      <w:pPr>
        <w:pStyle w:val="17"/>
        <w:kinsoku w:val="0"/>
        <w:overflowPunct w:val="0"/>
        <w:spacing w:before="1" w:line="362" w:lineRule="auto"/>
        <w:ind w:left="541" w:right="510" w:firstLine="480"/>
        <w:rPr>
          <w:rFonts w:hAnsi="宋体"/>
          <w:color w:val="auto"/>
        </w:rPr>
      </w:pPr>
      <w:r>
        <w:rPr>
          <w:rFonts w:hint="eastAsia" w:hAnsi="宋体"/>
          <w:color w:val="auto"/>
        </w:rPr>
        <w:t>本协议自各方盖章之日起生效，如甲方未在该项目（采购包）成交，本协议自动终止。</w:t>
      </w:r>
    </w:p>
    <w:p w14:paraId="0A86AA80">
      <w:pPr>
        <w:pStyle w:val="17"/>
        <w:kinsoku w:val="0"/>
        <w:overflowPunct w:val="0"/>
        <w:spacing w:before="2"/>
        <w:rPr>
          <w:rFonts w:hAnsi="宋体"/>
          <w:color w:val="auto"/>
          <w:sz w:val="27"/>
          <w:szCs w:val="27"/>
        </w:rPr>
      </w:pPr>
    </w:p>
    <w:p w14:paraId="6A2B34E9">
      <w:pPr>
        <w:pStyle w:val="17"/>
        <w:tabs>
          <w:tab w:val="left" w:pos="3344"/>
          <w:tab w:val="left" w:pos="5811"/>
          <w:tab w:val="left" w:pos="8144"/>
        </w:tabs>
        <w:kinsoku w:val="0"/>
        <w:overflowPunct w:val="0"/>
        <w:spacing w:before="74"/>
        <w:ind w:left="1011"/>
        <w:rPr>
          <w:rFonts w:hAnsi="宋体" w:cs="Times New Roman"/>
          <w:color w:val="auto"/>
        </w:rPr>
      </w:pPr>
      <w:r>
        <w:rPr>
          <w:rFonts w:hint="eastAsia" w:hAnsi="宋体"/>
          <w:color w:val="auto"/>
        </w:rPr>
        <w:t>甲方（盖章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rPr>
        <w:tab/>
      </w:r>
      <w:r>
        <w:rPr>
          <w:rFonts w:hint="eastAsia" w:hAnsi="宋体"/>
          <w:color w:val="auto"/>
        </w:rPr>
        <w:t>乙方（盖章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6CFF00A5">
      <w:pPr>
        <w:pStyle w:val="17"/>
        <w:kinsoku w:val="0"/>
        <w:overflowPunct w:val="0"/>
        <w:rPr>
          <w:rFonts w:hAnsi="宋体" w:cs="Times New Roman"/>
          <w:color w:val="auto"/>
          <w:sz w:val="20"/>
          <w:szCs w:val="20"/>
        </w:rPr>
      </w:pPr>
    </w:p>
    <w:p w14:paraId="5AA57061">
      <w:pPr>
        <w:pStyle w:val="17"/>
        <w:kinsoku w:val="0"/>
        <w:overflowPunct w:val="0"/>
        <w:spacing w:before="10"/>
        <w:rPr>
          <w:rFonts w:hAnsi="宋体" w:cs="Times New Roman"/>
          <w:color w:val="auto"/>
          <w:sz w:val="23"/>
          <w:szCs w:val="23"/>
        </w:rPr>
      </w:pPr>
    </w:p>
    <w:p w14:paraId="4961E8FD">
      <w:pPr>
        <w:pStyle w:val="17"/>
        <w:tabs>
          <w:tab w:val="left" w:pos="7093"/>
          <w:tab w:val="left" w:pos="8053"/>
          <w:tab w:val="left" w:pos="9013"/>
        </w:tabs>
        <w:kinsoku w:val="0"/>
        <w:overflowPunct w:val="0"/>
        <w:spacing w:before="74"/>
        <w:ind w:left="5653"/>
        <w:rPr>
          <w:rFonts w:hAnsi="宋体"/>
          <w:color w:val="auto"/>
        </w:rPr>
      </w:pP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71475F7A">
      <w:pPr>
        <w:pStyle w:val="17"/>
        <w:kinsoku w:val="0"/>
        <w:overflowPunct w:val="0"/>
        <w:rPr>
          <w:rFonts w:hAnsi="宋体"/>
          <w:color w:val="auto"/>
          <w:sz w:val="26"/>
          <w:szCs w:val="26"/>
        </w:rPr>
      </w:pPr>
    </w:p>
    <w:p w14:paraId="180CEDEC">
      <w:pPr>
        <w:pStyle w:val="17"/>
        <w:kinsoku w:val="0"/>
        <w:overflowPunct w:val="0"/>
        <w:spacing w:before="4"/>
        <w:rPr>
          <w:rFonts w:hAnsi="宋体"/>
          <w:color w:val="auto"/>
          <w:sz w:val="19"/>
          <w:szCs w:val="19"/>
        </w:rPr>
      </w:pPr>
    </w:p>
    <w:p w14:paraId="21999FC0">
      <w:pPr>
        <w:pStyle w:val="17"/>
        <w:kinsoku w:val="0"/>
        <w:overflowPunct w:val="0"/>
        <w:ind w:left="541"/>
        <w:rPr>
          <w:rFonts w:hAnsi="宋体"/>
          <w:color w:val="auto"/>
        </w:rPr>
      </w:pPr>
      <w:r>
        <w:rPr>
          <w:rFonts w:hint="eastAsia" w:hAnsi="宋体"/>
          <w:color w:val="auto"/>
        </w:rPr>
        <w:t>注：</w:t>
      </w:r>
    </w:p>
    <w:p w14:paraId="3E103B1E">
      <w:pPr>
        <w:pStyle w:val="69"/>
        <w:numPr>
          <w:ilvl w:val="0"/>
          <w:numId w:val="21"/>
        </w:numPr>
        <w:tabs>
          <w:tab w:val="left" w:pos="1174"/>
        </w:tabs>
        <w:kinsoku w:val="0"/>
        <w:overflowPunct w:val="0"/>
        <w:spacing w:before="158" w:line="362" w:lineRule="auto"/>
        <w:ind w:right="566" w:hanging="1"/>
        <w:rPr>
          <w:rFonts w:hAnsi="宋体"/>
          <w:color w:val="auto"/>
          <w:spacing w:val="-7"/>
        </w:rPr>
      </w:pPr>
      <w:r>
        <w:rPr>
          <w:rFonts w:hint="eastAsia" w:hAnsi="宋体"/>
          <w:color w:val="auto"/>
          <w:spacing w:val="-2"/>
        </w:rPr>
        <w:t>当供应商属于本部分说明中第</w:t>
      </w:r>
      <w:r>
        <w:rPr>
          <w:rFonts w:hint="eastAsia" w:hAnsi="宋体"/>
          <w:color w:val="auto"/>
          <w:spacing w:val="-8"/>
        </w:rPr>
        <w:t>（</w:t>
      </w:r>
      <w:r>
        <w:rPr>
          <w:rFonts w:hAnsi="宋体" w:cs="Arial"/>
          <w:color w:val="auto"/>
          <w:spacing w:val="-8"/>
        </w:rPr>
        <w:t>2</w:t>
      </w:r>
      <w:r>
        <w:rPr>
          <w:rFonts w:hint="eastAsia" w:hAnsi="宋体"/>
          <w:color w:val="auto"/>
          <w:spacing w:val="-8"/>
        </w:rPr>
        <w:t>）</w:t>
      </w:r>
      <w:r>
        <w:rPr>
          <w:rFonts w:hint="eastAsia" w:hAnsi="宋体"/>
          <w:color w:val="auto"/>
          <w:spacing w:val="-7"/>
        </w:rPr>
        <w:t>类情形，必须提供，否则响应无效；其他情</w:t>
      </w:r>
      <w:r>
        <w:rPr>
          <w:rFonts w:hAnsi="宋体"/>
          <w:color w:val="auto"/>
          <w:spacing w:val="-7"/>
        </w:rPr>
        <w:t xml:space="preserve"> </w:t>
      </w:r>
      <w:r>
        <w:rPr>
          <w:rFonts w:hint="eastAsia" w:hAnsi="宋体"/>
          <w:color w:val="auto"/>
          <w:spacing w:val="-7"/>
        </w:rPr>
        <w:t>形无须提供；</w:t>
      </w:r>
    </w:p>
    <w:p w14:paraId="728FD8DA">
      <w:pPr>
        <w:pStyle w:val="69"/>
        <w:numPr>
          <w:ilvl w:val="0"/>
          <w:numId w:val="21"/>
        </w:numPr>
        <w:tabs>
          <w:tab w:val="left" w:pos="1174"/>
        </w:tabs>
        <w:kinsoku w:val="0"/>
        <w:overflowPunct w:val="0"/>
        <w:spacing w:before="5" w:line="364" w:lineRule="auto"/>
        <w:ind w:right="568" w:firstLine="0"/>
        <w:rPr>
          <w:rFonts w:hAnsi="宋体"/>
          <w:color w:val="auto"/>
        </w:rPr>
      </w:pPr>
      <w:r>
        <w:rPr>
          <w:rFonts w:hint="eastAsia" w:hAnsi="宋体"/>
          <w:color w:val="auto"/>
          <w:spacing w:val="-10"/>
        </w:rPr>
        <w:t>供应商须与所有拟分包单位分别签订《分包意向协议》，每单位签订一份，并在响</w:t>
      </w:r>
      <w:r>
        <w:rPr>
          <w:rFonts w:hint="eastAsia" w:hAnsi="宋体"/>
          <w:color w:val="auto"/>
        </w:rPr>
        <w:t>应文件中提交全部协议原件的复印件，否则响应无效。</w:t>
      </w:r>
    </w:p>
    <w:p w14:paraId="49DE4E3C">
      <w:pPr>
        <w:pStyle w:val="69"/>
        <w:numPr>
          <w:ilvl w:val="0"/>
          <w:numId w:val="21"/>
        </w:numPr>
        <w:tabs>
          <w:tab w:val="left" w:pos="1174"/>
        </w:tabs>
        <w:kinsoku w:val="0"/>
        <w:overflowPunct w:val="0"/>
        <w:spacing w:before="5" w:line="364" w:lineRule="auto"/>
        <w:ind w:right="568" w:firstLine="0"/>
        <w:rPr>
          <w:rFonts w:hAnsi="宋体"/>
          <w:color w:val="auto"/>
        </w:rPr>
        <w:sectPr>
          <w:pgSz w:w="11910" w:h="16840"/>
          <w:pgMar w:top="1340" w:right="560" w:bottom="1080" w:left="1160" w:header="879" w:footer="879" w:gutter="0"/>
          <w:pgNumType w:fmt="decimal"/>
          <w:cols w:space="720" w:num="1"/>
        </w:sectPr>
      </w:pPr>
    </w:p>
    <w:p w14:paraId="54B05144">
      <w:pPr>
        <w:pStyle w:val="69"/>
        <w:numPr>
          <w:ilvl w:val="1"/>
          <w:numId w:val="18"/>
        </w:numPr>
        <w:spacing w:line="360" w:lineRule="auto"/>
        <w:outlineLvl w:val="0"/>
        <w:rPr>
          <w:rFonts w:hAnsi="宋体"/>
          <w:color w:val="auto"/>
        </w:rPr>
      </w:pPr>
      <w:bookmarkStart w:id="70" w:name="_Toc149147727"/>
      <w:bookmarkStart w:id="71" w:name="_Toc149147572"/>
      <w:r>
        <w:rPr>
          <w:rFonts w:hint="eastAsia" w:hAnsi="宋体"/>
          <w:color w:val="auto"/>
        </w:rPr>
        <w:t>其它落实政府采购政策的资格要求（如有）</w:t>
      </w:r>
      <w:bookmarkEnd w:id="70"/>
      <w:bookmarkEnd w:id="71"/>
    </w:p>
    <w:p w14:paraId="26309B2A">
      <w:pPr>
        <w:pStyle w:val="69"/>
        <w:numPr>
          <w:ilvl w:val="1"/>
          <w:numId w:val="18"/>
        </w:numPr>
        <w:tabs>
          <w:tab w:val="left" w:pos="1053"/>
        </w:tabs>
        <w:kinsoku w:val="0"/>
        <w:overflowPunct w:val="0"/>
        <w:spacing w:before="73"/>
        <w:ind w:left="1052"/>
        <w:rPr>
          <w:rFonts w:hAnsi="宋体"/>
          <w:color w:val="auto"/>
        </w:rPr>
        <w:sectPr>
          <w:pgSz w:w="11910" w:h="16840"/>
          <w:pgMar w:top="1340" w:right="560" w:bottom="1080" w:left="1160" w:header="879" w:footer="879" w:gutter="0"/>
          <w:pgNumType w:fmt="decimal"/>
          <w:cols w:space="720" w:num="1"/>
        </w:sectPr>
      </w:pPr>
    </w:p>
    <w:p w14:paraId="7FBED64A">
      <w:pPr>
        <w:pStyle w:val="69"/>
        <w:spacing w:line="360" w:lineRule="auto"/>
        <w:ind w:left="540" w:firstLine="0"/>
        <w:outlineLvl w:val="0"/>
        <w:rPr>
          <w:rFonts w:hAnsi="宋体"/>
          <w:color w:val="auto"/>
        </w:rPr>
      </w:pPr>
      <w:bookmarkStart w:id="72" w:name="_Toc149147728"/>
      <w:bookmarkStart w:id="73" w:name="_Toc149147573"/>
      <w:r>
        <w:rPr>
          <w:rFonts w:hAnsi="宋体"/>
          <w:color w:val="auto"/>
        </w:rPr>
        <w:t xml:space="preserve">3 </w:t>
      </w:r>
      <w:r>
        <w:rPr>
          <w:rFonts w:hint="eastAsia" w:hAnsi="宋体"/>
          <w:color w:val="auto"/>
        </w:rPr>
        <w:t>本项目的特定资格要求（如有）</w:t>
      </w:r>
      <w:bookmarkEnd w:id="72"/>
      <w:bookmarkEnd w:id="73"/>
    </w:p>
    <w:p w14:paraId="5D8B5FE5">
      <w:pPr>
        <w:pStyle w:val="69"/>
        <w:spacing w:line="360" w:lineRule="auto"/>
        <w:ind w:left="540" w:firstLine="0"/>
        <w:outlineLvl w:val="0"/>
        <w:rPr>
          <w:rFonts w:hAnsi="宋体"/>
          <w:color w:val="auto"/>
        </w:rPr>
      </w:pPr>
      <w:bookmarkStart w:id="74" w:name="_Toc149147729"/>
      <w:bookmarkStart w:id="75" w:name="_Toc149147574"/>
      <w:r>
        <w:rPr>
          <w:rFonts w:hint="eastAsia" w:hAnsi="宋体"/>
          <w:color w:val="auto"/>
        </w:rPr>
        <w:t>3</w:t>
      </w:r>
      <w:r>
        <w:rPr>
          <w:rFonts w:hAnsi="宋体"/>
          <w:color w:val="auto"/>
        </w:rPr>
        <w:t xml:space="preserve">-1 </w:t>
      </w:r>
      <w:r>
        <w:rPr>
          <w:rFonts w:hint="eastAsia" w:hAnsi="宋体"/>
          <w:color w:val="auto"/>
        </w:rPr>
        <w:t>联合协议（如有）（本项目不适用）</w:t>
      </w:r>
      <w:bookmarkEnd w:id="74"/>
      <w:bookmarkEnd w:id="75"/>
    </w:p>
    <w:p w14:paraId="0B5408A2">
      <w:pPr>
        <w:pStyle w:val="17"/>
        <w:jc w:val="center"/>
        <w:rPr>
          <w:rFonts w:hAnsi="宋体"/>
          <w:b/>
          <w:bCs/>
          <w:color w:val="auto"/>
          <w:sz w:val="32"/>
          <w:szCs w:val="32"/>
        </w:rPr>
      </w:pPr>
      <w:r>
        <w:rPr>
          <w:rFonts w:hint="eastAsia" w:hAnsi="宋体"/>
          <w:b/>
          <w:bCs/>
          <w:color w:val="auto"/>
          <w:sz w:val="32"/>
          <w:szCs w:val="32"/>
        </w:rPr>
        <w:t>联合协议</w:t>
      </w:r>
    </w:p>
    <w:p w14:paraId="2FC5E1C1">
      <w:pPr>
        <w:pStyle w:val="17"/>
        <w:kinsoku w:val="0"/>
        <w:overflowPunct w:val="0"/>
        <w:spacing w:before="3"/>
        <w:rPr>
          <w:rFonts w:hAnsi="宋体"/>
          <w:color w:val="auto"/>
          <w:sz w:val="12"/>
          <w:szCs w:val="12"/>
        </w:rPr>
      </w:pPr>
    </w:p>
    <w:p w14:paraId="49072DB8">
      <w:pPr>
        <w:pStyle w:val="17"/>
        <w:tabs>
          <w:tab w:val="left" w:pos="2142"/>
          <w:tab w:val="left" w:pos="3183"/>
          <w:tab w:val="left" w:pos="4155"/>
          <w:tab w:val="left" w:pos="5250"/>
          <w:tab w:val="left" w:pos="7654"/>
        </w:tabs>
        <w:kinsoku w:val="0"/>
        <w:overflowPunct w:val="0"/>
        <w:spacing w:before="83" w:line="362" w:lineRule="auto"/>
        <w:ind w:left="541" w:right="571" w:firstLine="828"/>
        <w:rPr>
          <w:rFonts w:hAnsi="宋体"/>
          <w:color w:val="auto"/>
        </w:rPr>
      </w:pP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spacing w:val="12"/>
        </w:rPr>
        <w:t xml:space="preserve"> </w:t>
      </w:r>
      <w:r>
        <w:rPr>
          <w:rFonts w:hint="eastAsia" w:hAnsi="宋体"/>
          <w:color w:val="auto"/>
          <w:spacing w:val="4"/>
        </w:rPr>
        <w:t>、</w:t>
      </w:r>
      <w:r>
        <w:rPr>
          <w:rFonts w:hAnsi="宋体"/>
          <w:color w:val="auto"/>
          <w:spacing w:val="4"/>
          <w:u w:val="single" w:color="000000"/>
        </w:rPr>
        <w:t xml:space="preserve"> </w:t>
      </w:r>
      <w:r>
        <w:rPr>
          <w:rFonts w:hAnsi="宋体"/>
          <w:color w:val="auto"/>
          <w:spacing w:val="4"/>
          <w:u w:val="single" w:color="000000"/>
        </w:rPr>
        <w:tab/>
      </w:r>
      <w:r>
        <w:rPr>
          <w:rFonts w:hint="eastAsia" w:hAnsi="宋体"/>
          <w:color w:val="auto"/>
          <w:spacing w:val="4"/>
        </w:rPr>
        <w:t>及</w:t>
      </w:r>
      <w:r>
        <w:rPr>
          <w:rFonts w:hAnsi="宋体"/>
          <w:color w:val="auto"/>
          <w:spacing w:val="4"/>
          <w:u w:val="single" w:color="000000"/>
        </w:rPr>
        <w:t xml:space="preserve"> </w:t>
      </w:r>
      <w:r>
        <w:rPr>
          <w:rFonts w:hAnsi="宋体"/>
          <w:color w:val="auto"/>
          <w:spacing w:val="4"/>
          <w:u w:val="single" w:color="000000"/>
        </w:rPr>
        <w:tab/>
      </w:r>
      <w:r>
        <w:rPr>
          <w:rFonts w:hint="eastAsia" w:hAnsi="宋体"/>
          <w:color w:val="auto"/>
          <w:spacing w:val="4"/>
        </w:rPr>
        <w:t>就</w:t>
      </w:r>
      <w:r>
        <w:rPr>
          <w:rFonts w:hAnsi="宋体" w:cs="Arial"/>
          <w:color w:val="auto"/>
          <w:w w:val="135"/>
        </w:rPr>
        <w:t>“</w:t>
      </w:r>
      <w:r>
        <w:rPr>
          <w:rFonts w:hAnsi="宋体" w:cs="Arial"/>
          <w:color w:val="auto"/>
          <w:w w:val="135"/>
          <w:u w:val="single" w:color="000000"/>
        </w:rPr>
        <w:t xml:space="preserve"> </w:t>
      </w:r>
      <w:r>
        <w:rPr>
          <w:rFonts w:hAnsi="宋体" w:cs="Arial"/>
          <w:color w:val="auto"/>
          <w:w w:val="135"/>
          <w:u w:val="single" w:color="000000"/>
        </w:rPr>
        <w:tab/>
      </w:r>
      <w:r>
        <w:rPr>
          <w:rFonts w:hint="eastAsia" w:hAnsi="宋体"/>
          <w:color w:val="auto"/>
          <w:spacing w:val="4"/>
        </w:rPr>
        <w:t>（</w:t>
      </w:r>
      <w:r>
        <w:rPr>
          <w:rFonts w:hint="eastAsia" w:hAnsi="宋体"/>
          <w:color w:val="auto"/>
          <w:spacing w:val="7"/>
        </w:rPr>
        <w:t>项</w:t>
      </w:r>
      <w:r>
        <w:rPr>
          <w:rFonts w:hint="eastAsia" w:hAnsi="宋体"/>
          <w:color w:val="auto"/>
          <w:spacing w:val="4"/>
        </w:rPr>
        <w:t>目名称</w:t>
      </w:r>
      <w:r>
        <w:rPr>
          <w:rFonts w:hint="eastAsia" w:hAnsi="宋体"/>
          <w:color w:val="auto"/>
          <w:spacing w:val="3"/>
          <w:w w:val="135"/>
        </w:rPr>
        <w:t>）</w:t>
      </w:r>
      <w:r>
        <w:rPr>
          <w:rFonts w:hAnsi="宋体" w:cs="Arial"/>
          <w:color w:val="auto"/>
          <w:spacing w:val="3"/>
          <w:w w:val="135"/>
        </w:rPr>
        <w:t>”</w:t>
      </w:r>
      <w:r>
        <w:rPr>
          <w:rFonts w:hAnsi="宋体" w:cs="Arial"/>
          <w:color w:val="auto"/>
          <w:spacing w:val="3"/>
          <w:w w:val="135"/>
          <w:u w:val="single" w:color="000000"/>
        </w:rPr>
        <w:t xml:space="preserve"> </w:t>
      </w:r>
      <w:r>
        <w:rPr>
          <w:rFonts w:hAnsi="宋体" w:cs="Arial"/>
          <w:color w:val="auto"/>
          <w:spacing w:val="3"/>
          <w:w w:val="135"/>
          <w:u w:val="single" w:color="000000"/>
        </w:rPr>
        <w:tab/>
      </w:r>
      <w:r>
        <w:rPr>
          <w:rFonts w:hint="eastAsia" w:hAnsi="宋体"/>
          <w:color w:val="auto"/>
          <w:spacing w:val="5"/>
        </w:rPr>
        <w:t>包</w:t>
      </w:r>
      <w:r>
        <w:rPr>
          <w:rFonts w:hint="eastAsia" w:hAnsi="宋体"/>
          <w:color w:val="auto"/>
          <w:spacing w:val="4"/>
        </w:rPr>
        <w:t>采</w:t>
      </w:r>
      <w:r>
        <w:rPr>
          <w:rFonts w:hint="eastAsia" w:hAnsi="宋体"/>
          <w:color w:val="auto"/>
          <w:spacing w:val="7"/>
        </w:rPr>
        <w:t>购</w:t>
      </w:r>
      <w:r>
        <w:rPr>
          <w:rFonts w:hint="eastAsia" w:hAnsi="宋体"/>
          <w:color w:val="auto"/>
          <w:spacing w:val="4"/>
        </w:rPr>
        <w:t>项目的</w:t>
      </w:r>
      <w:r>
        <w:rPr>
          <w:rFonts w:hint="eastAsia" w:hAnsi="宋体"/>
          <w:color w:val="auto"/>
          <w:spacing w:val="7"/>
        </w:rPr>
        <w:t>磋</w:t>
      </w:r>
      <w:r>
        <w:rPr>
          <w:rFonts w:hint="eastAsia" w:hAnsi="宋体"/>
          <w:color w:val="auto"/>
          <w:spacing w:val="-13"/>
        </w:rPr>
        <w:t>商</w:t>
      </w:r>
      <w:r>
        <w:rPr>
          <w:rFonts w:hint="eastAsia" w:hAnsi="宋体"/>
          <w:color w:val="auto"/>
        </w:rPr>
        <w:t>事宜，经各方充分协商一致，达成如下协议：</w:t>
      </w:r>
    </w:p>
    <w:p w14:paraId="50F0D7A4">
      <w:pPr>
        <w:pStyle w:val="17"/>
        <w:tabs>
          <w:tab w:val="left" w:pos="2521"/>
          <w:tab w:val="left" w:pos="4165"/>
          <w:tab w:val="left" w:pos="5329"/>
        </w:tabs>
        <w:kinsoku w:val="0"/>
        <w:overflowPunct w:val="0"/>
        <w:spacing w:before="5" w:line="362" w:lineRule="auto"/>
        <w:ind w:left="1321" w:right="571" w:hanging="600"/>
        <w:rPr>
          <w:rFonts w:hAnsi="宋体"/>
          <w:color w:val="auto"/>
        </w:rPr>
      </w:pPr>
      <w:r>
        <w:rPr>
          <w:rFonts w:hint="eastAsia" w:hAnsi="宋体"/>
          <w:color w:val="auto"/>
        </w:rPr>
        <w:t>一、</w:t>
      </w:r>
      <w:r>
        <w:rPr>
          <w:rFonts w:hAnsi="宋体"/>
          <w:color w:val="auto"/>
          <w:spacing w:val="-1"/>
        </w:rPr>
        <w:t xml:space="preserve"> </w:t>
      </w:r>
      <w:r>
        <w:rPr>
          <w:rFonts w:hint="eastAsia" w:hAnsi="宋体"/>
          <w:color w:val="auto"/>
        </w:rPr>
        <w:t>由</w:t>
      </w:r>
      <w:r>
        <w:rPr>
          <w:rFonts w:hAnsi="宋体"/>
          <w:color w:val="auto"/>
          <w:u w:val="single" w:color="000000"/>
        </w:rPr>
        <w:t xml:space="preserve"> </w:t>
      </w:r>
      <w:r>
        <w:rPr>
          <w:rFonts w:hAnsi="宋体"/>
          <w:color w:val="auto"/>
          <w:u w:val="single" w:color="000000"/>
        </w:rPr>
        <w:tab/>
      </w:r>
      <w:r>
        <w:rPr>
          <w:rFonts w:hint="eastAsia" w:hAnsi="宋体"/>
          <w:color w:val="auto"/>
        </w:rPr>
        <w:t>牵头</w:t>
      </w:r>
      <w:r>
        <w:rPr>
          <w:rFonts w:hint="eastAsia" w:hAnsi="宋体"/>
          <w:color w:val="auto"/>
          <w:spacing w:val="-37"/>
        </w:rPr>
        <w:t>，</w:t>
      </w:r>
      <w:r>
        <w:rPr>
          <w:rFonts w:hAnsi="宋体"/>
          <w:color w:val="auto"/>
          <w:spacing w:val="-37"/>
          <w:u w:val="single" w:color="000000"/>
        </w:rPr>
        <w:t xml:space="preserve"> </w:t>
      </w:r>
      <w:r>
        <w:rPr>
          <w:rFonts w:hAnsi="宋体"/>
          <w:color w:val="auto"/>
          <w:spacing w:val="-37"/>
          <w:u w:val="single" w:color="000000"/>
        </w:rPr>
        <w:tab/>
      </w:r>
      <w:r>
        <w:rPr>
          <w:rFonts w:hint="eastAsia" w:hAnsi="宋体"/>
          <w:color w:val="auto"/>
          <w:spacing w:val="-37"/>
        </w:rPr>
        <w:t>、</w:t>
      </w:r>
      <w:r>
        <w:rPr>
          <w:rFonts w:hAnsi="宋体"/>
          <w:color w:val="auto"/>
          <w:spacing w:val="-37"/>
          <w:u w:val="single" w:color="000000"/>
        </w:rPr>
        <w:t xml:space="preserve"> </w:t>
      </w:r>
      <w:r>
        <w:rPr>
          <w:rFonts w:hAnsi="宋体"/>
          <w:color w:val="auto"/>
          <w:spacing w:val="-37"/>
          <w:u w:val="single" w:color="000000"/>
        </w:rPr>
        <w:tab/>
      </w:r>
      <w:r>
        <w:rPr>
          <w:rFonts w:hint="eastAsia" w:hAnsi="宋体"/>
          <w:color w:val="auto"/>
        </w:rPr>
        <w:t>参加</w:t>
      </w:r>
      <w:r>
        <w:rPr>
          <w:rFonts w:hint="eastAsia" w:hAnsi="宋体"/>
          <w:color w:val="auto"/>
          <w:spacing w:val="-36"/>
        </w:rPr>
        <w:t>，</w:t>
      </w:r>
      <w:r>
        <w:rPr>
          <w:rFonts w:hint="eastAsia" w:hAnsi="宋体"/>
          <w:color w:val="auto"/>
        </w:rPr>
        <w:t>组成联合体共同进行采购项目的</w:t>
      </w:r>
      <w:r>
        <w:rPr>
          <w:rFonts w:hint="eastAsia" w:hAnsi="宋体"/>
          <w:color w:val="auto"/>
          <w:spacing w:val="-17"/>
        </w:rPr>
        <w:t>磋</w:t>
      </w:r>
      <w:r>
        <w:rPr>
          <w:rFonts w:hint="eastAsia" w:hAnsi="宋体"/>
          <w:color w:val="auto"/>
        </w:rPr>
        <w:t>商工作。</w:t>
      </w:r>
    </w:p>
    <w:p w14:paraId="4B14E12C">
      <w:pPr>
        <w:pStyle w:val="17"/>
        <w:kinsoku w:val="0"/>
        <w:overflowPunct w:val="0"/>
        <w:spacing w:before="5" w:line="364" w:lineRule="auto"/>
        <w:ind w:left="1321" w:right="570" w:hanging="600"/>
        <w:rPr>
          <w:rFonts w:hAnsi="宋体"/>
          <w:color w:val="auto"/>
        </w:rPr>
      </w:pPr>
      <w:r>
        <w:rPr>
          <w:rFonts w:hint="eastAsia" w:hAnsi="宋体"/>
          <w:color w:val="auto"/>
          <w:spacing w:val="-9"/>
        </w:rPr>
        <w:t>二、</w:t>
      </w:r>
      <w:r>
        <w:rPr>
          <w:rFonts w:hAnsi="宋体"/>
          <w:color w:val="auto"/>
          <w:spacing w:val="-9"/>
        </w:rPr>
        <w:t xml:space="preserve"> </w:t>
      </w:r>
      <w:r>
        <w:rPr>
          <w:rFonts w:hint="eastAsia" w:hAnsi="宋体"/>
          <w:color w:val="auto"/>
          <w:spacing w:val="-9"/>
        </w:rPr>
        <w:t>联合体成交后，联合体各方共同与采购人签订合同，就采购合同约定的事项对采</w:t>
      </w:r>
      <w:r>
        <w:rPr>
          <w:rFonts w:hint="eastAsia" w:hAnsi="宋体"/>
          <w:color w:val="auto"/>
        </w:rPr>
        <w:t>购人承担连带责任。</w:t>
      </w:r>
    </w:p>
    <w:p w14:paraId="0430A260">
      <w:pPr>
        <w:pStyle w:val="17"/>
        <w:kinsoku w:val="0"/>
        <w:overflowPunct w:val="0"/>
        <w:spacing w:line="364" w:lineRule="auto"/>
        <w:ind w:left="1321" w:right="570" w:hanging="600"/>
        <w:rPr>
          <w:rFonts w:hAnsi="宋体"/>
          <w:color w:val="auto"/>
          <w:spacing w:val="-14"/>
        </w:rPr>
      </w:pPr>
      <w:r>
        <w:rPr>
          <w:rFonts w:hint="eastAsia" w:hAnsi="宋体"/>
          <w:color w:val="auto"/>
        </w:rPr>
        <w:t>三、</w:t>
      </w:r>
      <w:r>
        <w:rPr>
          <w:rFonts w:hAnsi="宋体"/>
          <w:color w:val="auto"/>
        </w:rPr>
        <w:t xml:space="preserve"> </w:t>
      </w:r>
      <w:r>
        <w:rPr>
          <w:rFonts w:hint="eastAsia" w:hAnsi="宋体"/>
          <w:color w:val="auto"/>
        </w:rPr>
        <w:t>联合体各方均同意由牵头人代表其他联合体成员单位按竞争性磋商文件要求出</w:t>
      </w:r>
      <w:r>
        <w:rPr>
          <w:rFonts w:hint="eastAsia" w:hAnsi="宋体"/>
          <w:color w:val="auto"/>
          <w:spacing w:val="-14"/>
        </w:rPr>
        <w:t>具《授权委托书》。</w:t>
      </w:r>
    </w:p>
    <w:p w14:paraId="6C1D2070">
      <w:pPr>
        <w:pStyle w:val="17"/>
        <w:tabs>
          <w:tab w:val="left" w:pos="2041"/>
          <w:tab w:val="left" w:pos="3241"/>
        </w:tabs>
        <w:kinsoku w:val="0"/>
        <w:overflowPunct w:val="0"/>
        <w:spacing w:line="364" w:lineRule="auto"/>
        <w:ind w:left="721" w:right="1903"/>
        <w:rPr>
          <w:rFonts w:hAnsi="宋体"/>
          <w:color w:val="auto"/>
          <w:spacing w:val="-17"/>
        </w:rPr>
      </w:pPr>
      <w:r>
        <w:rPr>
          <w:rFonts w:hint="eastAsia" w:hAnsi="宋体"/>
          <w:color w:val="auto"/>
        </w:rPr>
        <w:t>四、</w:t>
      </w:r>
      <w:r>
        <w:rPr>
          <w:rFonts w:hAnsi="宋体"/>
          <w:color w:val="auto"/>
          <w:spacing w:val="6"/>
        </w:rPr>
        <w:t xml:space="preserve"> </w:t>
      </w:r>
      <w:r>
        <w:rPr>
          <w:rFonts w:hint="eastAsia" w:hAnsi="宋体"/>
          <w:color w:val="auto"/>
        </w:rPr>
        <w:t>牵头人为项目的总负责单位；组织各参加方进行项目实施工作。五、</w:t>
      </w:r>
      <w:r>
        <w:rPr>
          <w:rFonts w:hAnsi="宋体"/>
          <w:color w:val="auto"/>
          <w:u w:val="single" w:color="000000"/>
        </w:rPr>
        <w:t xml:space="preserve"> </w:t>
      </w:r>
      <w:r>
        <w:rPr>
          <w:rFonts w:hAnsi="宋体"/>
          <w:color w:val="auto"/>
          <w:u w:val="single" w:color="000000"/>
        </w:rPr>
        <w:tab/>
      </w:r>
      <w:r>
        <w:rPr>
          <w:rFonts w:hint="eastAsia" w:hAnsi="宋体"/>
          <w:color w:val="auto"/>
        </w:rPr>
        <w:t>负责</w:t>
      </w:r>
      <w:r>
        <w:rPr>
          <w:rFonts w:hAnsi="宋体"/>
          <w:color w:val="auto"/>
          <w:u w:val="single" w:color="000000"/>
        </w:rPr>
        <w:t xml:space="preserve"> </w:t>
      </w:r>
      <w:r>
        <w:rPr>
          <w:rFonts w:hAnsi="宋体"/>
          <w:color w:val="auto"/>
          <w:u w:val="single" w:color="000000"/>
        </w:rPr>
        <w:tab/>
      </w:r>
      <w:r>
        <w:rPr>
          <w:rFonts w:hint="eastAsia" w:hAnsi="宋体"/>
          <w:color w:val="auto"/>
        </w:rPr>
        <w:t>，具体工作范围、内容以响应文件及合同为准</w:t>
      </w:r>
      <w:r>
        <w:rPr>
          <w:rFonts w:hint="eastAsia" w:hAnsi="宋体"/>
          <w:color w:val="auto"/>
          <w:spacing w:val="-17"/>
        </w:rPr>
        <w:t>。</w:t>
      </w:r>
      <w:r>
        <w:rPr>
          <w:rFonts w:hint="eastAsia" w:hAnsi="宋体"/>
          <w:color w:val="auto"/>
        </w:rPr>
        <w:t>六、</w:t>
      </w:r>
      <w:r>
        <w:rPr>
          <w:rFonts w:hAnsi="宋体"/>
          <w:color w:val="auto"/>
          <w:u w:val="single" w:color="000000"/>
        </w:rPr>
        <w:t xml:space="preserve"> </w:t>
      </w:r>
      <w:r>
        <w:rPr>
          <w:rFonts w:hAnsi="宋体"/>
          <w:color w:val="auto"/>
          <w:u w:val="single" w:color="000000"/>
        </w:rPr>
        <w:tab/>
      </w:r>
      <w:r>
        <w:rPr>
          <w:rFonts w:hint="eastAsia" w:hAnsi="宋体"/>
          <w:color w:val="auto"/>
        </w:rPr>
        <w:t>负责</w:t>
      </w:r>
      <w:r>
        <w:rPr>
          <w:rFonts w:hAnsi="宋体"/>
          <w:color w:val="auto"/>
          <w:u w:val="single" w:color="000000"/>
        </w:rPr>
        <w:t xml:space="preserve"> </w:t>
      </w:r>
      <w:r>
        <w:rPr>
          <w:rFonts w:hAnsi="宋体"/>
          <w:color w:val="auto"/>
          <w:u w:val="single" w:color="000000"/>
        </w:rPr>
        <w:tab/>
      </w:r>
      <w:r>
        <w:rPr>
          <w:rFonts w:hint="eastAsia" w:hAnsi="宋体"/>
          <w:color w:val="auto"/>
        </w:rPr>
        <w:t>，具体工作范围、内容以响应文件及合同为准</w:t>
      </w:r>
      <w:r>
        <w:rPr>
          <w:rFonts w:hint="eastAsia" w:hAnsi="宋体"/>
          <w:color w:val="auto"/>
          <w:spacing w:val="-17"/>
        </w:rPr>
        <w:t>。</w:t>
      </w:r>
    </w:p>
    <w:p w14:paraId="1F880948">
      <w:pPr>
        <w:pStyle w:val="17"/>
        <w:tabs>
          <w:tab w:val="left" w:pos="2041"/>
          <w:tab w:val="left" w:pos="3241"/>
        </w:tabs>
        <w:kinsoku w:val="0"/>
        <w:overflowPunct w:val="0"/>
        <w:spacing w:line="307" w:lineRule="exact"/>
        <w:ind w:left="721"/>
        <w:rPr>
          <w:rFonts w:hAnsi="宋体"/>
          <w:color w:val="auto"/>
        </w:rPr>
      </w:pPr>
      <w:r>
        <w:rPr>
          <w:rFonts w:hint="eastAsia" w:hAnsi="宋体"/>
          <w:color w:val="auto"/>
        </w:rPr>
        <w:t>七、</w:t>
      </w:r>
      <w:r>
        <w:rPr>
          <w:rFonts w:hAnsi="宋体"/>
          <w:color w:val="auto"/>
          <w:spacing w:val="-1"/>
        </w:rPr>
        <w:t xml:space="preserve"> </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负</w:t>
      </w:r>
      <w:r>
        <w:rPr>
          <w:rFonts w:hint="eastAsia" w:hAnsi="宋体"/>
          <w:color w:val="auto"/>
          <w:spacing w:val="-1"/>
        </w:rPr>
        <w:t>责</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（如有</w:t>
      </w:r>
      <w:r>
        <w:rPr>
          <w:rFonts w:hint="eastAsia" w:hAnsi="宋体"/>
          <w:color w:val="auto"/>
          <w:spacing w:val="-120"/>
        </w:rPr>
        <w:t>）</w:t>
      </w:r>
      <w:r>
        <w:rPr>
          <w:rFonts w:hint="eastAsia" w:hAnsi="宋体"/>
          <w:color w:val="auto"/>
        </w:rPr>
        <w:t>，具体工作范围、内容以响应文件及合同为准。</w:t>
      </w:r>
    </w:p>
    <w:p w14:paraId="378BBB9E">
      <w:pPr>
        <w:pStyle w:val="17"/>
        <w:tabs>
          <w:tab w:val="left" w:pos="4921"/>
        </w:tabs>
        <w:kinsoku w:val="0"/>
        <w:overflowPunct w:val="0"/>
        <w:spacing w:before="155" w:line="364" w:lineRule="auto"/>
        <w:ind w:left="1321" w:right="571" w:hanging="600"/>
        <w:rPr>
          <w:rFonts w:hAnsi="宋体"/>
          <w:color w:val="auto"/>
        </w:rPr>
      </w:pPr>
      <w:r>
        <w:rPr>
          <w:rFonts w:hint="eastAsia" w:hAnsi="宋体"/>
          <w:color w:val="auto"/>
        </w:rPr>
        <w:t>八、</w:t>
      </w:r>
      <w:r>
        <w:rPr>
          <w:rFonts w:hAnsi="宋体"/>
          <w:color w:val="auto"/>
          <w:spacing w:val="-1"/>
        </w:rPr>
        <w:t xml:space="preserve"> </w:t>
      </w:r>
      <w:r>
        <w:rPr>
          <w:rFonts w:hint="eastAsia" w:hAnsi="宋体"/>
          <w:color w:val="auto"/>
        </w:rPr>
        <w:t>本项目联合协议合同总额为</w:t>
      </w:r>
      <w:r>
        <w:rPr>
          <w:rFonts w:hAnsi="宋体"/>
          <w:color w:val="auto"/>
          <w:u w:val="single" w:color="000000"/>
        </w:rPr>
        <w:t xml:space="preserve"> </w:t>
      </w:r>
      <w:r>
        <w:rPr>
          <w:rFonts w:hAnsi="宋体"/>
          <w:color w:val="auto"/>
          <w:u w:val="single" w:color="000000"/>
        </w:rPr>
        <w:tab/>
      </w:r>
      <w:r>
        <w:rPr>
          <w:rFonts w:hint="eastAsia" w:hAnsi="宋体"/>
          <w:color w:val="auto"/>
        </w:rPr>
        <w:t>元</w:t>
      </w:r>
      <w:r>
        <w:rPr>
          <w:rFonts w:hint="eastAsia" w:hAnsi="宋体"/>
          <w:color w:val="auto"/>
          <w:spacing w:val="-56"/>
        </w:rPr>
        <w:t>，</w:t>
      </w:r>
      <w:r>
        <w:rPr>
          <w:rFonts w:hint="eastAsia" w:hAnsi="宋体"/>
          <w:color w:val="auto"/>
        </w:rPr>
        <w:t>联合体各成员按照如下比例分</w:t>
      </w:r>
      <w:r>
        <w:rPr>
          <w:rFonts w:hint="eastAsia" w:hAnsi="宋体"/>
          <w:color w:val="auto"/>
          <w:spacing w:val="-53"/>
        </w:rPr>
        <w:t>摊</w:t>
      </w:r>
      <w:r>
        <w:rPr>
          <w:rFonts w:hint="eastAsia" w:hAnsi="宋体"/>
          <w:color w:val="auto"/>
        </w:rPr>
        <w:t>（按联</w:t>
      </w:r>
      <w:r>
        <w:rPr>
          <w:rFonts w:hint="eastAsia" w:hAnsi="宋体"/>
          <w:color w:val="auto"/>
          <w:spacing w:val="-16"/>
        </w:rPr>
        <w:t>合</w:t>
      </w:r>
      <w:r>
        <w:rPr>
          <w:rFonts w:hint="eastAsia" w:hAnsi="宋体"/>
          <w:color w:val="auto"/>
        </w:rPr>
        <w:t>体成员分别列明</w:t>
      </w:r>
      <w:r>
        <w:rPr>
          <w:rFonts w:hint="eastAsia" w:hAnsi="宋体"/>
          <w:color w:val="auto"/>
          <w:spacing w:val="-120"/>
        </w:rPr>
        <w:t>）</w:t>
      </w:r>
      <w:r>
        <w:rPr>
          <w:rFonts w:hint="eastAsia" w:hAnsi="宋体"/>
          <w:color w:val="auto"/>
        </w:rPr>
        <w:t>：</w:t>
      </w:r>
    </w:p>
    <w:p w14:paraId="06858DF2">
      <w:pPr>
        <w:pStyle w:val="69"/>
        <w:numPr>
          <w:ilvl w:val="2"/>
          <w:numId w:val="22"/>
        </w:numPr>
        <w:tabs>
          <w:tab w:val="left" w:pos="2026"/>
          <w:tab w:val="left" w:pos="2732"/>
          <w:tab w:val="left" w:pos="5576"/>
        </w:tabs>
        <w:kinsoku w:val="0"/>
        <w:overflowPunct w:val="0"/>
        <w:spacing w:line="364" w:lineRule="auto"/>
        <w:ind w:right="568" w:firstLine="0"/>
        <w:rPr>
          <w:rFonts w:hAnsi="宋体"/>
          <w:color w:val="auto"/>
          <w:w w:val="105"/>
        </w:rPr>
      </w:pP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为</w:t>
      </w:r>
      <w:r>
        <w:rPr>
          <w:rFonts w:hAnsi="宋体" w:cs="Arial"/>
          <w:color w:val="auto"/>
        </w:rPr>
        <w:t>□</w:t>
      </w:r>
      <w:r>
        <w:rPr>
          <w:rFonts w:hint="eastAsia" w:hAnsi="宋体"/>
          <w:color w:val="auto"/>
        </w:rPr>
        <w:t>大型企业</w:t>
      </w:r>
      <w:r>
        <w:rPr>
          <w:rFonts w:hAnsi="宋体" w:cs="Arial"/>
          <w:color w:val="auto"/>
        </w:rPr>
        <w:t>□</w:t>
      </w:r>
      <w:r>
        <w:rPr>
          <w:rFonts w:hint="eastAsia" w:hAnsi="宋体"/>
          <w:color w:val="auto"/>
        </w:rPr>
        <w:t>中型企业</w:t>
      </w:r>
      <w:r>
        <w:rPr>
          <w:rFonts w:hint="eastAsia" w:hAnsi="宋体"/>
          <w:color w:val="auto"/>
          <w:spacing w:val="-15"/>
        </w:rPr>
        <w:t>、</w:t>
      </w:r>
      <w:r>
        <w:rPr>
          <w:rFonts w:hAnsi="宋体" w:cs="Arial"/>
          <w:color w:val="auto"/>
        </w:rPr>
        <w:t>□</w:t>
      </w:r>
      <w:r>
        <w:rPr>
          <w:rFonts w:hint="eastAsia" w:hAnsi="宋体"/>
          <w:color w:val="auto"/>
        </w:rPr>
        <w:t>小微企</w:t>
      </w:r>
      <w:r>
        <w:rPr>
          <w:rFonts w:hint="eastAsia" w:hAnsi="宋体"/>
          <w:color w:val="auto"/>
          <w:spacing w:val="-12"/>
        </w:rPr>
        <w:t>业</w:t>
      </w:r>
      <w:r>
        <w:rPr>
          <w:rFonts w:hint="eastAsia" w:hAnsi="宋体"/>
          <w:color w:val="auto"/>
        </w:rPr>
        <w:t>（包含监狱企业</w:t>
      </w:r>
      <w:r>
        <w:rPr>
          <w:rFonts w:hint="eastAsia" w:hAnsi="宋体"/>
          <w:color w:val="auto"/>
          <w:spacing w:val="-12"/>
        </w:rPr>
        <w:t>、</w:t>
      </w:r>
      <w:r>
        <w:rPr>
          <w:rFonts w:hint="eastAsia" w:hAnsi="宋体"/>
          <w:color w:val="auto"/>
        </w:rPr>
        <w:t>残疾人</w:t>
      </w:r>
      <w:r>
        <w:rPr>
          <w:rFonts w:hint="eastAsia" w:hAnsi="宋体"/>
          <w:color w:val="auto"/>
          <w:spacing w:val="-13"/>
        </w:rPr>
        <w:t>福</w:t>
      </w:r>
      <w:r>
        <w:rPr>
          <w:rFonts w:hAnsi="宋体"/>
          <w:color w:val="auto"/>
          <w:spacing w:val="-13"/>
        </w:rPr>
        <w:t xml:space="preserve"> </w:t>
      </w:r>
      <w:r>
        <w:rPr>
          <w:rFonts w:hint="eastAsia" w:hAnsi="宋体"/>
          <w:color w:val="auto"/>
          <w:w w:val="105"/>
        </w:rPr>
        <w:t>利性单位</w:t>
      </w:r>
      <w:r>
        <w:rPr>
          <w:rFonts w:hint="eastAsia" w:hAnsi="宋体"/>
          <w:color w:val="auto"/>
          <w:spacing w:val="-120"/>
          <w:w w:val="105"/>
        </w:rPr>
        <w:t>）</w:t>
      </w:r>
      <w:r>
        <w:rPr>
          <w:rFonts w:hint="eastAsia" w:hAnsi="宋体"/>
          <w:color w:val="auto"/>
          <w:w w:val="105"/>
        </w:rPr>
        <w:t>、</w:t>
      </w:r>
      <w:r>
        <w:rPr>
          <w:rFonts w:hAnsi="宋体" w:cs="Arial"/>
          <w:color w:val="auto"/>
          <w:w w:val="110"/>
        </w:rPr>
        <w:t>□</w:t>
      </w:r>
      <w:r>
        <w:rPr>
          <w:rFonts w:hint="eastAsia" w:hAnsi="宋体"/>
          <w:color w:val="auto"/>
          <w:w w:val="105"/>
        </w:rPr>
        <w:t>其他，合同金额为</w:t>
      </w:r>
      <w:r>
        <w:rPr>
          <w:rFonts w:hAnsi="宋体"/>
          <w:color w:val="auto"/>
          <w:w w:val="105"/>
          <w:u w:val="single" w:color="000000"/>
        </w:rPr>
        <w:t xml:space="preserve"> </w:t>
      </w:r>
      <w:r>
        <w:rPr>
          <w:rFonts w:hAnsi="宋体"/>
          <w:color w:val="auto"/>
          <w:w w:val="105"/>
          <w:u w:val="single" w:color="000000"/>
        </w:rPr>
        <w:tab/>
      </w:r>
      <w:r>
        <w:rPr>
          <w:rFonts w:hint="eastAsia" w:hAnsi="宋体"/>
          <w:color w:val="auto"/>
          <w:w w:val="105"/>
        </w:rPr>
        <w:t>元；</w:t>
      </w:r>
    </w:p>
    <w:p w14:paraId="7386F4B2">
      <w:pPr>
        <w:pStyle w:val="69"/>
        <w:numPr>
          <w:ilvl w:val="2"/>
          <w:numId w:val="22"/>
        </w:numPr>
        <w:tabs>
          <w:tab w:val="left" w:pos="2026"/>
          <w:tab w:val="left" w:pos="2732"/>
          <w:tab w:val="left" w:pos="5576"/>
        </w:tabs>
        <w:kinsoku w:val="0"/>
        <w:overflowPunct w:val="0"/>
        <w:spacing w:line="362" w:lineRule="auto"/>
        <w:ind w:right="568" w:firstLine="0"/>
        <w:rPr>
          <w:rFonts w:hAnsi="宋体"/>
          <w:color w:val="auto"/>
          <w:w w:val="105"/>
        </w:rPr>
      </w:pP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为</w:t>
      </w:r>
      <w:r>
        <w:rPr>
          <w:rFonts w:hAnsi="宋体" w:cs="Arial"/>
          <w:color w:val="auto"/>
        </w:rPr>
        <w:t>□</w:t>
      </w:r>
      <w:r>
        <w:rPr>
          <w:rFonts w:hint="eastAsia" w:hAnsi="宋体"/>
          <w:color w:val="auto"/>
        </w:rPr>
        <w:t>大型企业</w:t>
      </w:r>
      <w:r>
        <w:rPr>
          <w:rFonts w:hAnsi="宋体" w:cs="Arial"/>
          <w:color w:val="auto"/>
        </w:rPr>
        <w:t>□</w:t>
      </w:r>
      <w:r>
        <w:rPr>
          <w:rFonts w:hint="eastAsia" w:hAnsi="宋体"/>
          <w:color w:val="auto"/>
        </w:rPr>
        <w:t>中型企业</w:t>
      </w:r>
      <w:r>
        <w:rPr>
          <w:rFonts w:hint="eastAsia" w:hAnsi="宋体"/>
          <w:color w:val="auto"/>
          <w:spacing w:val="-15"/>
        </w:rPr>
        <w:t>、</w:t>
      </w:r>
      <w:r>
        <w:rPr>
          <w:rFonts w:hAnsi="宋体" w:cs="Arial"/>
          <w:color w:val="auto"/>
        </w:rPr>
        <w:t>□</w:t>
      </w:r>
      <w:r>
        <w:rPr>
          <w:rFonts w:hint="eastAsia" w:hAnsi="宋体"/>
          <w:color w:val="auto"/>
        </w:rPr>
        <w:t>小微企</w:t>
      </w:r>
      <w:r>
        <w:rPr>
          <w:rFonts w:hint="eastAsia" w:hAnsi="宋体"/>
          <w:color w:val="auto"/>
          <w:spacing w:val="-12"/>
        </w:rPr>
        <w:t>业</w:t>
      </w:r>
      <w:r>
        <w:rPr>
          <w:rFonts w:hint="eastAsia" w:hAnsi="宋体"/>
          <w:color w:val="auto"/>
        </w:rPr>
        <w:t>（包含监狱企业</w:t>
      </w:r>
      <w:r>
        <w:rPr>
          <w:rFonts w:hint="eastAsia" w:hAnsi="宋体"/>
          <w:color w:val="auto"/>
          <w:spacing w:val="-12"/>
        </w:rPr>
        <w:t>、</w:t>
      </w:r>
      <w:r>
        <w:rPr>
          <w:rFonts w:hint="eastAsia" w:hAnsi="宋体"/>
          <w:color w:val="auto"/>
        </w:rPr>
        <w:t>残疾人</w:t>
      </w:r>
      <w:r>
        <w:rPr>
          <w:rFonts w:hint="eastAsia" w:hAnsi="宋体"/>
          <w:color w:val="auto"/>
          <w:spacing w:val="-13"/>
        </w:rPr>
        <w:t>福</w:t>
      </w:r>
      <w:r>
        <w:rPr>
          <w:rFonts w:hAnsi="宋体"/>
          <w:color w:val="auto"/>
          <w:spacing w:val="-13"/>
        </w:rPr>
        <w:t xml:space="preserve"> </w:t>
      </w:r>
      <w:r>
        <w:rPr>
          <w:rFonts w:hint="eastAsia" w:hAnsi="宋体"/>
          <w:color w:val="auto"/>
          <w:w w:val="105"/>
        </w:rPr>
        <w:t>利性单位</w:t>
      </w:r>
      <w:r>
        <w:rPr>
          <w:rFonts w:hint="eastAsia" w:hAnsi="宋体"/>
          <w:color w:val="auto"/>
          <w:spacing w:val="-120"/>
          <w:w w:val="105"/>
        </w:rPr>
        <w:t>）</w:t>
      </w:r>
      <w:r>
        <w:rPr>
          <w:rFonts w:hint="eastAsia" w:hAnsi="宋体"/>
          <w:color w:val="auto"/>
          <w:w w:val="105"/>
        </w:rPr>
        <w:t>、</w:t>
      </w:r>
      <w:r>
        <w:rPr>
          <w:rFonts w:hAnsi="宋体" w:cs="Arial"/>
          <w:color w:val="auto"/>
          <w:w w:val="110"/>
        </w:rPr>
        <w:t>□</w:t>
      </w:r>
      <w:r>
        <w:rPr>
          <w:rFonts w:hint="eastAsia" w:hAnsi="宋体"/>
          <w:color w:val="auto"/>
          <w:w w:val="105"/>
        </w:rPr>
        <w:t>其他，合同金额为</w:t>
      </w:r>
      <w:r>
        <w:rPr>
          <w:rFonts w:hAnsi="宋体"/>
          <w:color w:val="auto"/>
          <w:w w:val="105"/>
          <w:u w:val="single" w:color="000000"/>
        </w:rPr>
        <w:t xml:space="preserve"> </w:t>
      </w:r>
      <w:r>
        <w:rPr>
          <w:rFonts w:hAnsi="宋体"/>
          <w:color w:val="auto"/>
          <w:w w:val="105"/>
          <w:u w:val="single" w:color="000000"/>
        </w:rPr>
        <w:tab/>
      </w:r>
      <w:r>
        <w:rPr>
          <w:rFonts w:hint="eastAsia" w:hAnsi="宋体"/>
          <w:color w:val="auto"/>
          <w:w w:val="105"/>
        </w:rPr>
        <w:t>元；</w:t>
      </w:r>
    </w:p>
    <w:p w14:paraId="17B636D5">
      <w:pPr>
        <w:pStyle w:val="17"/>
        <w:tabs>
          <w:tab w:val="left" w:pos="2845"/>
          <w:tab w:val="left" w:pos="5816"/>
        </w:tabs>
        <w:kinsoku w:val="0"/>
        <w:overflowPunct w:val="0"/>
        <w:spacing w:before="3" w:line="364" w:lineRule="auto"/>
        <w:ind w:left="1391" w:right="571"/>
        <w:rPr>
          <w:rFonts w:hAnsi="宋体"/>
          <w:color w:val="auto"/>
          <w:w w:val="105"/>
        </w:rPr>
      </w:pPr>
      <w:r>
        <w:rPr>
          <w:rFonts w:hint="eastAsia" w:hAnsi="宋体"/>
          <w:color w:val="auto"/>
          <w:spacing w:val="2"/>
          <w:w w:val="105"/>
        </w:rPr>
        <w:t>（</w:t>
      </w:r>
      <w:r>
        <w:rPr>
          <w:rFonts w:hAnsi="宋体" w:cs="Arial"/>
          <w:color w:val="auto"/>
          <w:spacing w:val="2"/>
          <w:w w:val="105"/>
        </w:rPr>
        <w:t>…</w:t>
      </w:r>
      <w:r>
        <w:rPr>
          <w:rFonts w:hint="eastAsia" w:hAnsi="宋体"/>
          <w:color w:val="auto"/>
          <w:spacing w:val="2"/>
          <w:w w:val="105"/>
        </w:rPr>
        <w:t>）</w:t>
      </w:r>
      <w:r>
        <w:rPr>
          <w:rFonts w:hAnsi="宋体"/>
          <w:color w:val="auto"/>
          <w:spacing w:val="2"/>
          <w:w w:val="105"/>
          <w:u w:val="single" w:color="000000"/>
        </w:rPr>
        <w:t xml:space="preserve"> </w:t>
      </w:r>
      <w:r>
        <w:rPr>
          <w:rFonts w:hAnsi="宋体"/>
          <w:color w:val="auto"/>
          <w:spacing w:val="2"/>
          <w:w w:val="105"/>
          <w:u w:val="single" w:color="000000"/>
        </w:rPr>
        <w:tab/>
      </w:r>
      <w:r>
        <w:rPr>
          <w:rFonts w:hint="eastAsia" w:hAnsi="宋体"/>
          <w:color w:val="auto"/>
        </w:rPr>
        <w:t>为</w:t>
      </w:r>
      <w:r>
        <w:rPr>
          <w:rFonts w:hAnsi="宋体" w:cs="Arial"/>
          <w:color w:val="auto"/>
          <w:spacing w:val="3"/>
        </w:rPr>
        <w:t>□</w:t>
      </w:r>
      <w:r>
        <w:rPr>
          <w:rFonts w:hint="eastAsia" w:hAnsi="宋体"/>
          <w:color w:val="auto"/>
        </w:rPr>
        <w:t>大</w:t>
      </w:r>
      <w:r>
        <w:rPr>
          <w:rFonts w:hint="eastAsia" w:hAnsi="宋体"/>
          <w:color w:val="auto"/>
          <w:spacing w:val="4"/>
        </w:rPr>
        <w:t>型</w:t>
      </w:r>
      <w:r>
        <w:rPr>
          <w:rFonts w:hint="eastAsia" w:hAnsi="宋体"/>
          <w:color w:val="auto"/>
        </w:rPr>
        <w:t>企业</w:t>
      </w:r>
      <w:r>
        <w:rPr>
          <w:rFonts w:hAnsi="宋体" w:cs="Arial"/>
          <w:color w:val="auto"/>
          <w:spacing w:val="3"/>
        </w:rPr>
        <w:t>□</w:t>
      </w:r>
      <w:r>
        <w:rPr>
          <w:rFonts w:hint="eastAsia" w:hAnsi="宋体"/>
          <w:color w:val="auto"/>
        </w:rPr>
        <w:t>中</w:t>
      </w:r>
      <w:r>
        <w:rPr>
          <w:rFonts w:hint="eastAsia" w:hAnsi="宋体"/>
          <w:color w:val="auto"/>
          <w:spacing w:val="4"/>
        </w:rPr>
        <w:t>型</w:t>
      </w:r>
      <w:r>
        <w:rPr>
          <w:rFonts w:hint="eastAsia" w:hAnsi="宋体"/>
          <w:color w:val="auto"/>
        </w:rPr>
        <w:t>企</w:t>
      </w:r>
      <w:r>
        <w:rPr>
          <w:rFonts w:hint="eastAsia" w:hAnsi="宋体"/>
          <w:color w:val="auto"/>
          <w:spacing w:val="4"/>
        </w:rPr>
        <w:t>业</w:t>
      </w:r>
      <w:r>
        <w:rPr>
          <w:rFonts w:hint="eastAsia" w:hAnsi="宋体"/>
          <w:color w:val="auto"/>
        </w:rPr>
        <w:t>、</w:t>
      </w:r>
      <w:r>
        <w:rPr>
          <w:rFonts w:hAnsi="宋体" w:cs="Arial"/>
          <w:color w:val="auto"/>
          <w:spacing w:val="3"/>
        </w:rPr>
        <w:t>□</w:t>
      </w:r>
      <w:r>
        <w:rPr>
          <w:rFonts w:hint="eastAsia" w:hAnsi="宋体"/>
          <w:color w:val="auto"/>
        </w:rPr>
        <w:t>小</w:t>
      </w:r>
      <w:r>
        <w:rPr>
          <w:rFonts w:hint="eastAsia" w:hAnsi="宋体"/>
          <w:color w:val="auto"/>
          <w:spacing w:val="4"/>
        </w:rPr>
        <w:t>微</w:t>
      </w:r>
      <w:r>
        <w:rPr>
          <w:rFonts w:hint="eastAsia" w:hAnsi="宋体"/>
          <w:color w:val="auto"/>
        </w:rPr>
        <w:t>企</w:t>
      </w:r>
      <w:r>
        <w:rPr>
          <w:rFonts w:hint="eastAsia" w:hAnsi="宋体"/>
          <w:color w:val="auto"/>
          <w:spacing w:val="4"/>
        </w:rPr>
        <w:t>业</w:t>
      </w:r>
      <w:r>
        <w:rPr>
          <w:rFonts w:hint="eastAsia" w:hAnsi="宋体"/>
          <w:color w:val="auto"/>
        </w:rPr>
        <w:t>（包</w:t>
      </w:r>
      <w:r>
        <w:rPr>
          <w:rFonts w:hint="eastAsia" w:hAnsi="宋体"/>
          <w:color w:val="auto"/>
          <w:spacing w:val="4"/>
        </w:rPr>
        <w:t>含</w:t>
      </w:r>
      <w:r>
        <w:rPr>
          <w:rFonts w:hint="eastAsia" w:hAnsi="宋体"/>
          <w:color w:val="auto"/>
        </w:rPr>
        <w:t>监狱</w:t>
      </w:r>
      <w:r>
        <w:rPr>
          <w:rFonts w:hint="eastAsia" w:hAnsi="宋体"/>
          <w:color w:val="auto"/>
          <w:spacing w:val="4"/>
        </w:rPr>
        <w:t>企</w:t>
      </w:r>
      <w:r>
        <w:rPr>
          <w:rFonts w:hint="eastAsia" w:hAnsi="宋体"/>
          <w:color w:val="auto"/>
        </w:rPr>
        <w:t>业</w:t>
      </w:r>
      <w:r>
        <w:rPr>
          <w:rFonts w:hint="eastAsia" w:hAnsi="宋体"/>
          <w:color w:val="auto"/>
          <w:spacing w:val="4"/>
        </w:rPr>
        <w:t>、</w:t>
      </w:r>
      <w:r>
        <w:rPr>
          <w:rFonts w:hint="eastAsia" w:hAnsi="宋体"/>
          <w:color w:val="auto"/>
        </w:rPr>
        <w:t>残疾人</w:t>
      </w:r>
      <w:r>
        <w:rPr>
          <w:rFonts w:hAnsi="宋体"/>
          <w:color w:val="auto"/>
        </w:rPr>
        <w:t xml:space="preserve"> </w:t>
      </w:r>
      <w:r>
        <w:rPr>
          <w:rFonts w:hint="eastAsia" w:hAnsi="宋体"/>
          <w:color w:val="auto"/>
          <w:w w:val="105"/>
        </w:rPr>
        <w:t>福利性单位</w:t>
      </w:r>
      <w:r>
        <w:rPr>
          <w:rFonts w:hint="eastAsia" w:hAnsi="宋体"/>
          <w:color w:val="auto"/>
          <w:spacing w:val="-120"/>
          <w:w w:val="105"/>
        </w:rPr>
        <w:t>）</w:t>
      </w:r>
      <w:r>
        <w:rPr>
          <w:rFonts w:hint="eastAsia" w:hAnsi="宋体"/>
          <w:color w:val="auto"/>
          <w:w w:val="105"/>
        </w:rPr>
        <w:t>、</w:t>
      </w:r>
      <w:r>
        <w:rPr>
          <w:rFonts w:hAnsi="宋体" w:cs="Arial"/>
          <w:color w:val="auto"/>
          <w:w w:val="105"/>
        </w:rPr>
        <w:t>□</w:t>
      </w:r>
      <w:r>
        <w:rPr>
          <w:rFonts w:hint="eastAsia" w:hAnsi="宋体"/>
          <w:color w:val="auto"/>
          <w:w w:val="105"/>
        </w:rPr>
        <w:t>其他，合同金额为</w:t>
      </w:r>
      <w:r>
        <w:rPr>
          <w:rFonts w:hAnsi="宋体"/>
          <w:color w:val="auto"/>
          <w:w w:val="105"/>
          <w:u w:val="single" w:color="000000"/>
        </w:rPr>
        <w:t xml:space="preserve"> </w:t>
      </w:r>
      <w:r>
        <w:rPr>
          <w:rFonts w:hAnsi="宋体"/>
          <w:color w:val="auto"/>
          <w:w w:val="105"/>
          <w:u w:val="single" w:color="000000"/>
        </w:rPr>
        <w:tab/>
      </w:r>
      <w:r>
        <w:rPr>
          <w:rFonts w:hint="eastAsia" w:hAnsi="宋体"/>
          <w:color w:val="auto"/>
          <w:w w:val="105"/>
        </w:rPr>
        <w:t>元。</w:t>
      </w:r>
    </w:p>
    <w:p w14:paraId="368AC81E">
      <w:pPr>
        <w:pStyle w:val="17"/>
        <w:kinsoku w:val="0"/>
        <w:overflowPunct w:val="0"/>
        <w:spacing w:line="364" w:lineRule="auto"/>
        <w:ind w:left="1321" w:right="572" w:hanging="600"/>
        <w:rPr>
          <w:rFonts w:hAnsi="宋体"/>
          <w:color w:val="auto"/>
        </w:rPr>
      </w:pPr>
      <w:r>
        <w:rPr>
          <w:rFonts w:hint="eastAsia" w:hAnsi="宋体"/>
          <w:color w:val="auto"/>
          <w:spacing w:val="-7"/>
        </w:rPr>
        <w:t>九、</w:t>
      </w:r>
      <w:r>
        <w:rPr>
          <w:rFonts w:hAnsi="宋体"/>
          <w:color w:val="auto"/>
          <w:spacing w:val="-7"/>
        </w:rPr>
        <w:t xml:space="preserve"> </w:t>
      </w:r>
      <w:r>
        <w:rPr>
          <w:rFonts w:hint="eastAsia" w:hAnsi="宋体"/>
          <w:color w:val="auto"/>
          <w:spacing w:val="-7"/>
        </w:rPr>
        <w:t>以联合体形式参加政府采购活动的，联合体各方不得再单独参加或者与其他供应</w:t>
      </w:r>
      <w:r>
        <w:rPr>
          <w:rFonts w:hint="eastAsia" w:hAnsi="宋体"/>
          <w:color w:val="auto"/>
        </w:rPr>
        <w:t>商另外组成联合体参加同一合同项下的政府采购活动。</w:t>
      </w:r>
    </w:p>
    <w:p w14:paraId="74DD0FF7">
      <w:pPr>
        <w:pStyle w:val="17"/>
        <w:tabs>
          <w:tab w:val="left" w:pos="4081"/>
        </w:tabs>
        <w:kinsoku w:val="0"/>
        <w:overflowPunct w:val="0"/>
        <w:ind w:left="721"/>
        <w:rPr>
          <w:rFonts w:hAnsi="宋体"/>
          <w:color w:val="auto"/>
        </w:rPr>
      </w:pPr>
      <w:r>
        <w:rPr>
          <w:rFonts w:hint="eastAsia" w:hAnsi="宋体"/>
          <w:color w:val="auto"/>
        </w:rPr>
        <w:t>十、</w:t>
      </w:r>
      <w:r>
        <w:rPr>
          <w:rFonts w:hAnsi="宋体"/>
          <w:color w:val="auto"/>
        </w:rPr>
        <w:t xml:space="preserve"> </w:t>
      </w:r>
      <w:r>
        <w:rPr>
          <w:rFonts w:hint="eastAsia" w:hAnsi="宋体"/>
          <w:color w:val="auto"/>
        </w:rPr>
        <w:t>其他约定（如有</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w:t>
      </w:r>
    </w:p>
    <w:p w14:paraId="02CA7B26">
      <w:pPr>
        <w:pStyle w:val="17"/>
        <w:kinsoku w:val="0"/>
        <w:overflowPunct w:val="0"/>
        <w:spacing w:before="158" w:line="364" w:lineRule="auto"/>
        <w:ind w:left="721" w:right="571" w:firstLine="480"/>
        <w:rPr>
          <w:rFonts w:hAnsi="宋体"/>
          <w:color w:val="auto"/>
        </w:rPr>
      </w:pPr>
      <w:r>
        <w:rPr>
          <w:rFonts w:hint="eastAsia" w:hAnsi="宋体"/>
          <w:color w:val="auto"/>
        </w:rPr>
        <w:t>本协议自各方盖章后生效，采购合同履行完毕后自动失效。如未成交，本协议自动终止。</w:t>
      </w:r>
    </w:p>
    <w:p w14:paraId="3C783819">
      <w:pPr>
        <w:pStyle w:val="17"/>
        <w:kinsoku w:val="0"/>
        <w:overflowPunct w:val="0"/>
        <w:spacing w:before="158" w:line="364" w:lineRule="auto"/>
        <w:ind w:left="721" w:right="571" w:firstLine="480"/>
        <w:rPr>
          <w:rFonts w:hAnsi="宋体"/>
          <w:color w:val="auto"/>
        </w:rPr>
        <w:sectPr>
          <w:pgSz w:w="11910" w:h="16840"/>
          <w:pgMar w:top="1340" w:right="560" w:bottom="1080" w:left="1160" w:header="879" w:footer="879" w:gutter="0"/>
          <w:pgNumType w:fmt="decimal"/>
          <w:cols w:space="720" w:num="1"/>
        </w:sectPr>
      </w:pPr>
    </w:p>
    <w:p w14:paraId="2F73EA43">
      <w:pPr>
        <w:pStyle w:val="17"/>
        <w:tabs>
          <w:tab w:val="left" w:pos="2504"/>
          <w:tab w:val="left" w:pos="3944"/>
        </w:tabs>
        <w:kinsoku w:val="0"/>
        <w:overflowPunct w:val="0"/>
        <w:spacing w:before="72" w:line="362" w:lineRule="auto"/>
        <w:ind w:left="1011" w:right="38"/>
        <w:rPr>
          <w:rFonts w:hAnsi="宋体" w:cs="Times New Roman"/>
          <w:color w:val="auto"/>
        </w:rPr>
      </w:pPr>
      <w:r>
        <w:rPr>
          <w:rFonts w:hint="eastAsia" w:hAnsi="宋体"/>
          <w:color w:val="auto"/>
          <w:spacing w:val="-1"/>
        </w:rPr>
        <w:t>联</w:t>
      </w:r>
      <w:r>
        <w:rPr>
          <w:rFonts w:hint="eastAsia" w:hAnsi="宋体"/>
          <w:color w:val="auto"/>
        </w:rPr>
        <w:t>合体牵头人名称：</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spacing w:val="-1"/>
          <w:u w:val="single" w:color="000000"/>
        </w:rPr>
        <w:t xml:space="preserve">    </w:t>
      </w:r>
      <w:r>
        <w:rPr>
          <w:rFonts w:hAnsi="宋体" w:cs="Times New Roman"/>
          <w:color w:val="auto"/>
          <w:spacing w:val="4"/>
          <w:u w:val="single" w:color="000000"/>
        </w:rPr>
        <w:t xml:space="preserve"> </w:t>
      </w:r>
      <w:r>
        <w:rPr>
          <w:rFonts w:hint="eastAsia" w:hAnsi="宋体"/>
          <w:color w:val="auto"/>
          <w:spacing w:val="-1"/>
        </w:rPr>
        <w:t>盖</w:t>
      </w:r>
      <w:r>
        <w:rPr>
          <w:rFonts w:hint="eastAsia" w:hAnsi="宋体"/>
          <w:color w:val="auto"/>
        </w:rPr>
        <w:t>章：</w:t>
      </w:r>
      <w:r>
        <w:rPr>
          <w:rFonts w:hAnsi="宋体" w:cs="Times New Roman"/>
          <w:color w:val="auto"/>
          <w:u w:val="single" w:color="000000"/>
        </w:rPr>
        <w:t xml:space="preserve"> </w:t>
      </w:r>
      <w:r>
        <w:rPr>
          <w:rFonts w:hAnsi="宋体" w:cs="Times New Roman"/>
          <w:color w:val="auto"/>
          <w:u w:val="single" w:color="000000"/>
        </w:rPr>
        <w:tab/>
      </w:r>
    </w:p>
    <w:p w14:paraId="2A0ADFFC">
      <w:pPr>
        <w:pStyle w:val="17"/>
        <w:tabs>
          <w:tab w:val="left" w:pos="2504"/>
          <w:tab w:val="left" w:pos="3714"/>
        </w:tabs>
        <w:kinsoku w:val="0"/>
        <w:overflowPunct w:val="0"/>
        <w:spacing w:before="72" w:line="362" w:lineRule="auto"/>
        <w:ind w:left="1011" w:right="1790" w:firstLine="9"/>
        <w:rPr>
          <w:rFonts w:hAnsi="宋体" w:cs="Times New Roman"/>
          <w:color w:val="auto"/>
        </w:rPr>
      </w:pPr>
      <w:r>
        <w:rPr>
          <w:rFonts w:hAnsi="宋体" w:cs="Times New Roman"/>
          <w:color w:val="auto"/>
        </w:rPr>
        <w:br w:type="column"/>
      </w:r>
      <w:r>
        <w:rPr>
          <w:rFonts w:hint="eastAsia" w:hAnsi="宋体"/>
          <w:color w:val="auto"/>
          <w:spacing w:val="-1"/>
        </w:rPr>
        <w:t>联</w:t>
      </w:r>
      <w:r>
        <w:rPr>
          <w:rFonts w:hint="eastAsia" w:hAnsi="宋体"/>
          <w:color w:val="auto"/>
        </w:rPr>
        <w:t>合体成员名称：</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spacing w:val="-1"/>
          <w:u w:val="single" w:color="000000"/>
        </w:rPr>
        <w:t xml:space="preserve">    </w:t>
      </w:r>
      <w:r>
        <w:rPr>
          <w:rFonts w:hAnsi="宋体" w:cs="Times New Roman"/>
          <w:color w:val="auto"/>
          <w:spacing w:val="4"/>
          <w:u w:val="single" w:color="000000"/>
        </w:rPr>
        <w:t xml:space="preserve"> </w:t>
      </w:r>
      <w:r>
        <w:rPr>
          <w:rFonts w:hint="eastAsia" w:hAnsi="宋体"/>
          <w:color w:val="auto"/>
          <w:spacing w:val="-1"/>
        </w:rPr>
        <w:t>盖</w:t>
      </w:r>
      <w:r>
        <w:rPr>
          <w:rFonts w:hint="eastAsia" w:hAnsi="宋体"/>
          <w:color w:val="auto"/>
        </w:rPr>
        <w:t>章：</w:t>
      </w:r>
      <w:r>
        <w:rPr>
          <w:rFonts w:hAnsi="宋体" w:cs="Times New Roman"/>
          <w:color w:val="auto"/>
          <w:u w:val="single" w:color="000000"/>
        </w:rPr>
        <w:t xml:space="preserve"> </w:t>
      </w:r>
      <w:r>
        <w:rPr>
          <w:rFonts w:hAnsi="宋体" w:cs="Times New Roman"/>
          <w:color w:val="auto"/>
          <w:u w:val="single" w:color="000000"/>
        </w:rPr>
        <w:tab/>
      </w:r>
    </w:p>
    <w:p w14:paraId="3FADF223">
      <w:pPr>
        <w:pStyle w:val="17"/>
        <w:tabs>
          <w:tab w:val="left" w:pos="2504"/>
          <w:tab w:val="left" w:pos="3714"/>
        </w:tabs>
        <w:kinsoku w:val="0"/>
        <w:overflowPunct w:val="0"/>
        <w:spacing w:before="72" w:line="362" w:lineRule="auto"/>
        <w:ind w:left="1011" w:right="1790" w:firstLine="9"/>
        <w:rPr>
          <w:rFonts w:hAnsi="宋体" w:cs="Times New Roman"/>
          <w:color w:val="auto"/>
        </w:rPr>
        <w:sectPr>
          <w:pgSz w:w="11910" w:h="16840"/>
          <w:pgMar w:top="1340" w:right="560" w:bottom="1080" w:left="1160" w:header="879" w:footer="879" w:gutter="0"/>
          <w:pgNumType w:fmt="decimal"/>
          <w:cols w:equalWidth="0" w:num="2">
            <w:col w:w="3985" w:space="695"/>
            <w:col w:w="5510"/>
          </w:cols>
        </w:sectPr>
      </w:pPr>
    </w:p>
    <w:p w14:paraId="586D095C">
      <w:pPr>
        <w:pStyle w:val="17"/>
        <w:kinsoku w:val="0"/>
        <w:overflowPunct w:val="0"/>
        <w:rPr>
          <w:rFonts w:hAnsi="宋体" w:cs="Times New Roman"/>
          <w:color w:val="auto"/>
          <w:sz w:val="20"/>
          <w:szCs w:val="20"/>
        </w:rPr>
      </w:pPr>
    </w:p>
    <w:p w14:paraId="0C94F28A">
      <w:pPr>
        <w:pStyle w:val="17"/>
        <w:kinsoku w:val="0"/>
        <w:overflowPunct w:val="0"/>
        <w:rPr>
          <w:rFonts w:hAnsi="宋体" w:cs="Times New Roman"/>
          <w:color w:val="auto"/>
          <w:sz w:val="20"/>
          <w:szCs w:val="20"/>
        </w:rPr>
      </w:pPr>
    </w:p>
    <w:p w14:paraId="640C9DB1">
      <w:pPr>
        <w:pStyle w:val="17"/>
        <w:kinsoku w:val="0"/>
        <w:overflowPunct w:val="0"/>
        <w:spacing w:before="10"/>
        <w:rPr>
          <w:rFonts w:hAnsi="宋体" w:cs="Times New Roman"/>
          <w:color w:val="auto"/>
          <w:sz w:val="26"/>
          <w:szCs w:val="26"/>
        </w:rPr>
      </w:pPr>
    </w:p>
    <w:p w14:paraId="2CE901D7">
      <w:pPr>
        <w:pStyle w:val="17"/>
        <w:tabs>
          <w:tab w:val="left" w:pos="2514"/>
          <w:tab w:val="left" w:pos="3704"/>
        </w:tabs>
        <w:kinsoku w:val="0"/>
        <w:overflowPunct w:val="0"/>
        <w:spacing w:before="74" w:line="364" w:lineRule="auto"/>
        <w:ind w:left="1021" w:right="6480" w:hanging="10"/>
        <w:rPr>
          <w:rFonts w:hAnsi="宋体" w:cs="Times New Roman"/>
          <w:color w:val="auto"/>
        </w:rPr>
      </w:pPr>
      <w:r>
        <w:rPr>
          <w:rFonts w:hint="eastAsia" w:hAnsi="宋体"/>
          <w:color w:val="auto"/>
          <w:spacing w:val="-1"/>
        </w:rPr>
        <w:t>联</w:t>
      </w:r>
      <w:r>
        <w:rPr>
          <w:rFonts w:hint="eastAsia" w:hAnsi="宋体"/>
          <w:color w:val="auto"/>
        </w:rPr>
        <w:t>合体成员名称：</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spacing w:val="-1"/>
          <w:u w:val="single" w:color="000000"/>
        </w:rPr>
        <w:t xml:space="preserve">    </w:t>
      </w:r>
      <w:r>
        <w:rPr>
          <w:rFonts w:hAnsi="宋体" w:cs="Times New Roman"/>
          <w:color w:val="auto"/>
          <w:spacing w:val="4"/>
          <w:u w:val="single" w:color="000000"/>
        </w:rPr>
        <w:t xml:space="preserve"> </w:t>
      </w:r>
      <w:r>
        <w:rPr>
          <w:rFonts w:hint="eastAsia" w:hAnsi="宋体"/>
          <w:color w:val="auto"/>
          <w:spacing w:val="-1"/>
        </w:rPr>
        <w:t>盖</w:t>
      </w:r>
      <w:r>
        <w:rPr>
          <w:rFonts w:hint="eastAsia" w:hAnsi="宋体"/>
          <w:color w:val="auto"/>
        </w:rPr>
        <w:t>章：</w:t>
      </w:r>
      <w:r>
        <w:rPr>
          <w:rFonts w:hAnsi="宋体" w:cs="Times New Roman"/>
          <w:color w:val="auto"/>
          <w:u w:val="single" w:color="000000"/>
        </w:rPr>
        <w:t xml:space="preserve"> </w:t>
      </w:r>
      <w:r>
        <w:rPr>
          <w:rFonts w:hAnsi="宋体" w:cs="Times New Roman"/>
          <w:color w:val="auto"/>
          <w:u w:val="single" w:color="000000"/>
        </w:rPr>
        <w:tab/>
      </w:r>
    </w:p>
    <w:p w14:paraId="016434C0">
      <w:pPr>
        <w:pStyle w:val="17"/>
        <w:kinsoku w:val="0"/>
        <w:overflowPunct w:val="0"/>
        <w:spacing w:before="5"/>
        <w:rPr>
          <w:rFonts w:hAnsi="宋体" w:cs="Times New Roman"/>
          <w:color w:val="auto"/>
          <w:sz w:val="16"/>
          <w:szCs w:val="16"/>
        </w:rPr>
      </w:pPr>
    </w:p>
    <w:p w14:paraId="41E0FD20">
      <w:pPr>
        <w:pStyle w:val="17"/>
        <w:tabs>
          <w:tab w:val="left" w:pos="7453"/>
          <w:tab w:val="left" w:pos="8413"/>
          <w:tab w:val="left" w:pos="9373"/>
        </w:tabs>
        <w:kinsoku w:val="0"/>
        <w:overflowPunct w:val="0"/>
        <w:spacing w:before="74"/>
        <w:ind w:left="6013"/>
        <w:rPr>
          <w:rFonts w:hAnsi="宋体"/>
          <w:color w:val="auto"/>
        </w:rPr>
      </w:pP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1E070764">
      <w:pPr>
        <w:pStyle w:val="17"/>
        <w:kinsoku w:val="0"/>
        <w:overflowPunct w:val="0"/>
        <w:rPr>
          <w:rFonts w:hAnsi="宋体"/>
          <w:color w:val="auto"/>
          <w:sz w:val="26"/>
          <w:szCs w:val="26"/>
        </w:rPr>
      </w:pPr>
    </w:p>
    <w:p w14:paraId="3967654E">
      <w:pPr>
        <w:pStyle w:val="17"/>
        <w:kinsoku w:val="0"/>
        <w:overflowPunct w:val="0"/>
        <w:rPr>
          <w:rFonts w:hAnsi="宋体"/>
          <w:color w:val="auto"/>
          <w:sz w:val="26"/>
          <w:szCs w:val="26"/>
        </w:rPr>
      </w:pPr>
    </w:p>
    <w:p w14:paraId="3B3C5D03">
      <w:pPr>
        <w:pStyle w:val="17"/>
        <w:kinsoku w:val="0"/>
        <w:overflowPunct w:val="0"/>
        <w:rPr>
          <w:rFonts w:hAnsi="宋体"/>
          <w:color w:val="auto"/>
          <w:sz w:val="26"/>
          <w:szCs w:val="26"/>
        </w:rPr>
      </w:pPr>
    </w:p>
    <w:p w14:paraId="200DED75">
      <w:pPr>
        <w:pStyle w:val="17"/>
        <w:kinsoku w:val="0"/>
        <w:overflowPunct w:val="0"/>
        <w:spacing w:before="8"/>
        <w:rPr>
          <w:rFonts w:hAnsi="宋体"/>
          <w:color w:val="auto"/>
          <w:sz w:val="32"/>
          <w:szCs w:val="32"/>
        </w:rPr>
      </w:pPr>
    </w:p>
    <w:p w14:paraId="7B74409D">
      <w:pPr>
        <w:pStyle w:val="17"/>
        <w:kinsoku w:val="0"/>
        <w:overflowPunct w:val="0"/>
        <w:spacing w:before="1"/>
        <w:ind w:left="1019"/>
        <w:rPr>
          <w:rFonts w:hAnsi="宋体"/>
          <w:color w:val="auto"/>
        </w:rPr>
      </w:pPr>
      <w:r>
        <w:rPr>
          <w:rFonts w:hint="eastAsia" w:hAnsi="宋体"/>
          <w:color w:val="auto"/>
        </w:rPr>
        <w:t>注：</w:t>
      </w:r>
    </w:p>
    <w:p w14:paraId="10B774A1">
      <w:pPr>
        <w:pStyle w:val="69"/>
        <w:numPr>
          <w:ilvl w:val="0"/>
          <w:numId w:val="23"/>
        </w:numPr>
        <w:tabs>
          <w:tab w:val="left" w:pos="1372"/>
        </w:tabs>
        <w:kinsoku w:val="0"/>
        <w:overflowPunct w:val="0"/>
        <w:spacing w:before="158" w:line="362" w:lineRule="auto"/>
        <w:ind w:right="571" w:hanging="240"/>
        <w:rPr>
          <w:rFonts w:hAnsi="宋体"/>
          <w:color w:val="auto"/>
          <w:spacing w:val="-9"/>
        </w:rPr>
      </w:pPr>
      <w:r>
        <w:rPr>
          <w:rFonts w:hint="eastAsia" w:hAnsi="宋体"/>
          <w:color w:val="auto"/>
        </w:rPr>
        <w:t>如本项目（包）接受供应商以联合体形式参加采购活动，且供应商以联合体形</w:t>
      </w:r>
      <w:r>
        <w:rPr>
          <w:rFonts w:hint="eastAsia" w:hAnsi="宋体"/>
          <w:color w:val="auto"/>
          <w:spacing w:val="-9"/>
        </w:rPr>
        <w:t>式参与时，须提供《联合协议》，否则响应无效。</w:t>
      </w:r>
    </w:p>
    <w:p w14:paraId="74E4165D">
      <w:pPr>
        <w:pStyle w:val="69"/>
        <w:numPr>
          <w:ilvl w:val="0"/>
          <w:numId w:val="23"/>
        </w:numPr>
        <w:tabs>
          <w:tab w:val="left" w:pos="1368"/>
        </w:tabs>
        <w:kinsoku w:val="0"/>
        <w:overflowPunct w:val="0"/>
        <w:spacing w:before="5"/>
        <w:ind w:left="1367" w:hanging="349"/>
        <w:rPr>
          <w:rFonts w:hAnsi="宋体"/>
          <w:color w:val="auto"/>
        </w:rPr>
      </w:pPr>
      <w:r>
        <w:rPr>
          <w:rFonts w:hint="eastAsia" w:hAnsi="宋体"/>
          <w:color w:val="auto"/>
        </w:rPr>
        <w:t>联合体各方成员需在本协议上共同盖章。</w:t>
      </w:r>
    </w:p>
    <w:p w14:paraId="08BBBFAF">
      <w:pPr>
        <w:pStyle w:val="69"/>
        <w:numPr>
          <w:ilvl w:val="0"/>
          <w:numId w:val="23"/>
        </w:numPr>
        <w:tabs>
          <w:tab w:val="left" w:pos="1368"/>
        </w:tabs>
        <w:kinsoku w:val="0"/>
        <w:overflowPunct w:val="0"/>
        <w:spacing w:before="5"/>
        <w:ind w:left="1367" w:hanging="349"/>
        <w:rPr>
          <w:rFonts w:hAnsi="宋体"/>
          <w:color w:val="auto"/>
        </w:rPr>
        <w:sectPr>
          <w:type w:val="continuous"/>
          <w:pgSz w:w="11910" w:h="16840"/>
          <w:pgMar w:top="1380" w:right="560" w:bottom="280" w:left="1160" w:header="720" w:footer="720" w:gutter="0"/>
          <w:pgNumType w:fmt="decimal"/>
          <w:cols w:equalWidth="0" w:num="1">
            <w:col w:w="10190"/>
          </w:cols>
        </w:sectPr>
      </w:pPr>
    </w:p>
    <w:p w14:paraId="49371697">
      <w:pPr>
        <w:pStyle w:val="69"/>
        <w:spacing w:line="360" w:lineRule="auto"/>
        <w:ind w:left="540" w:firstLine="0"/>
        <w:outlineLvl w:val="0"/>
        <w:rPr>
          <w:rFonts w:hint="eastAsia" w:hAnsi="宋体"/>
          <w:color w:val="auto"/>
        </w:rPr>
      </w:pPr>
      <w:bookmarkStart w:id="76" w:name="_Toc149147575"/>
      <w:bookmarkStart w:id="77" w:name="_Toc149147730"/>
      <w:r>
        <w:rPr>
          <w:rFonts w:hint="eastAsia" w:hAnsi="宋体"/>
          <w:color w:val="auto"/>
        </w:rPr>
        <w:t>3</w:t>
      </w:r>
      <w:r>
        <w:rPr>
          <w:rFonts w:hAnsi="宋体"/>
          <w:color w:val="auto"/>
        </w:rPr>
        <w:t xml:space="preserve">-2 </w:t>
      </w:r>
      <w:r>
        <w:rPr>
          <w:rFonts w:hint="eastAsia" w:hAnsi="宋体"/>
          <w:color w:val="auto"/>
        </w:rPr>
        <w:t>其他特定资格要求</w:t>
      </w:r>
      <w:bookmarkEnd w:id="76"/>
      <w:bookmarkEnd w:id="77"/>
    </w:p>
    <w:p w14:paraId="697F6517">
      <w:pPr>
        <w:pStyle w:val="69"/>
        <w:spacing w:line="360" w:lineRule="auto"/>
        <w:ind w:left="540" w:firstLine="0"/>
        <w:outlineLvl w:val="0"/>
        <w:rPr>
          <w:rFonts w:hint="eastAsia" w:hAnsi="宋体"/>
          <w:color w:val="auto"/>
          <w:lang w:val="en-US" w:eastAsia="zh-CN"/>
        </w:rPr>
        <w:sectPr>
          <w:pgSz w:w="11910" w:h="16840"/>
          <w:pgMar w:top="1340" w:right="560" w:bottom="1080" w:left="1160" w:header="879" w:footer="879" w:gutter="0"/>
          <w:pgNumType w:fmt="decimal"/>
          <w:cols w:space="720" w:num="1"/>
        </w:sectPr>
      </w:pPr>
      <w:bookmarkStart w:id="78" w:name="_Toc149147577"/>
      <w:bookmarkStart w:id="79" w:name="_Toc149147732"/>
    </w:p>
    <w:p w14:paraId="275B1F6A">
      <w:pPr>
        <w:pStyle w:val="69"/>
        <w:spacing w:line="360" w:lineRule="auto"/>
        <w:ind w:left="540" w:firstLine="0"/>
        <w:outlineLvl w:val="0"/>
        <w:rPr>
          <w:rFonts w:hAnsi="宋体"/>
          <w:color w:val="auto"/>
        </w:rPr>
      </w:pPr>
      <w:r>
        <w:rPr>
          <w:rFonts w:hint="eastAsia" w:hAnsi="宋体"/>
          <w:color w:val="auto"/>
          <w:lang w:val="en-US" w:eastAsia="zh-CN"/>
        </w:rPr>
        <w:t>4</w:t>
      </w:r>
      <w:r>
        <w:rPr>
          <w:rFonts w:hAnsi="宋体"/>
          <w:color w:val="auto"/>
        </w:rPr>
        <w:t xml:space="preserve"> </w:t>
      </w:r>
      <w:r>
        <w:rPr>
          <w:rFonts w:hint="eastAsia" w:hAnsi="宋体"/>
          <w:color w:val="auto"/>
        </w:rPr>
        <w:t>响应书（实质性格式）</w:t>
      </w:r>
      <w:bookmarkEnd w:id="78"/>
      <w:bookmarkEnd w:id="79"/>
    </w:p>
    <w:p w14:paraId="05F904EC">
      <w:pPr>
        <w:pStyle w:val="17"/>
        <w:kinsoku w:val="0"/>
        <w:overflowPunct w:val="0"/>
        <w:rPr>
          <w:rFonts w:hAnsi="宋体"/>
          <w:color w:val="auto"/>
          <w:sz w:val="20"/>
          <w:szCs w:val="20"/>
        </w:rPr>
      </w:pPr>
    </w:p>
    <w:p w14:paraId="0C57A255">
      <w:pPr>
        <w:pStyle w:val="17"/>
        <w:kinsoku w:val="0"/>
        <w:overflowPunct w:val="0"/>
        <w:spacing w:before="4"/>
        <w:rPr>
          <w:rFonts w:hAnsi="宋体"/>
          <w:color w:val="auto"/>
          <w:sz w:val="21"/>
          <w:szCs w:val="21"/>
        </w:rPr>
      </w:pPr>
    </w:p>
    <w:p w14:paraId="15CFDEF7">
      <w:pPr>
        <w:pStyle w:val="2"/>
        <w:kinsoku w:val="0"/>
        <w:overflowPunct w:val="0"/>
        <w:spacing w:before="49"/>
        <w:ind w:right="32"/>
        <w:rPr>
          <w:rFonts w:hAnsi="宋体"/>
          <w:color w:val="auto"/>
        </w:rPr>
      </w:pPr>
      <w:bookmarkStart w:id="80" w:name="_Toc149147578"/>
      <w:bookmarkStart w:id="81" w:name="_Toc149147733"/>
      <w:r>
        <w:rPr>
          <w:rFonts w:hint="eastAsia" w:hAnsi="宋体"/>
          <w:color w:val="auto"/>
        </w:rPr>
        <w:t>响应书</w:t>
      </w:r>
      <w:bookmarkEnd w:id="80"/>
      <w:bookmarkEnd w:id="81"/>
    </w:p>
    <w:p w14:paraId="51268FFF">
      <w:pPr>
        <w:pStyle w:val="17"/>
        <w:kinsoku w:val="0"/>
        <w:overflowPunct w:val="0"/>
        <w:spacing w:before="7"/>
        <w:rPr>
          <w:rFonts w:hAnsi="宋体"/>
          <w:color w:val="auto"/>
          <w:sz w:val="13"/>
          <w:szCs w:val="13"/>
        </w:rPr>
      </w:pPr>
    </w:p>
    <w:p w14:paraId="636BE2A9">
      <w:pPr>
        <w:pStyle w:val="17"/>
        <w:kinsoku w:val="0"/>
        <w:overflowPunct w:val="0"/>
        <w:spacing w:before="66"/>
        <w:ind w:left="541"/>
        <w:rPr>
          <w:rFonts w:hint="default" w:hAnsi="宋体" w:eastAsia="宋体"/>
          <w:color w:val="auto"/>
          <w:lang w:val="en-US" w:eastAsia="zh-CN"/>
        </w:rPr>
      </w:pPr>
      <w:r>
        <w:rPr>
          <w:rFonts w:hint="eastAsia" w:hAnsi="宋体"/>
          <w:color w:val="auto"/>
          <w:spacing w:val="-60"/>
        </w:rPr>
        <w:t>致：</w:t>
      </w:r>
      <w:r>
        <w:rPr>
          <w:rFonts w:hint="eastAsia" w:hAnsi="宋体"/>
          <w:color w:val="auto"/>
          <w:u w:val="single" w:color="000000"/>
          <w:lang w:val="en-US" w:eastAsia="zh-CN"/>
        </w:rPr>
        <w:t>北京北咨招标有限公司</w:t>
      </w:r>
    </w:p>
    <w:p w14:paraId="0C7CCF7E">
      <w:pPr>
        <w:pStyle w:val="17"/>
        <w:kinsoku w:val="0"/>
        <w:overflowPunct w:val="0"/>
        <w:rPr>
          <w:rFonts w:hAnsi="宋体"/>
          <w:color w:val="auto"/>
          <w:sz w:val="20"/>
          <w:szCs w:val="20"/>
        </w:rPr>
      </w:pPr>
    </w:p>
    <w:p w14:paraId="2BCEC334">
      <w:pPr>
        <w:pStyle w:val="17"/>
        <w:kinsoku w:val="0"/>
        <w:overflowPunct w:val="0"/>
        <w:spacing w:before="9"/>
        <w:rPr>
          <w:rFonts w:hAnsi="宋体"/>
          <w:color w:val="auto"/>
          <w:sz w:val="18"/>
          <w:szCs w:val="18"/>
        </w:rPr>
      </w:pPr>
    </w:p>
    <w:p w14:paraId="4EB4AF95">
      <w:pPr>
        <w:pStyle w:val="17"/>
        <w:tabs>
          <w:tab w:val="left" w:pos="3335"/>
        </w:tabs>
        <w:kinsoku w:val="0"/>
        <w:overflowPunct w:val="0"/>
        <w:spacing w:before="82" w:line="364" w:lineRule="auto"/>
        <w:ind w:left="541" w:right="568" w:firstLine="408"/>
        <w:rPr>
          <w:rFonts w:hAnsi="宋体"/>
          <w:color w:val="auto"/>
        </w:rPr>
      </w:pPr>
      <w:r>
        <w:rPr>
          <w:rFonts w:hint="eastAsia" w:hAnsi="宋体"/>
          <w:color w:val="auto"/>
        </w:rPr>
        <w:t>我方参加你方就</w:t>
      </w:r>
      <w:r>
        <w:rPr>
          <w:rFonts w:hAnsi="宋体"/>
          <w:color w:val="auto"/>
          <w:u w:val="single" w:color="000000"/>
        </w:rPr>
        <w:t xml:space="preserve"> </w:t>
      </w:r>
      <w:r>
        <w:rPr>
          <w:rFonts w:hAnsi="宋体"/>
          <w:color w:val="auto"/>
          <w:u w:val="single" w:color="000000"/>
        </w:rPr>
        <w:tab/>
      </w:r>
      <w:r>
        <w:rPr>
          <w:rFonts w:hint="eastAsia" w:hAnsi="宋体"/>
          <w:color w:val="auto"/>
        </w:rPr>
        <w:t>（项目名称</w:t>
      </w:r>
      <w:r>
        <w:rPr>
          <w:rFonts w:hint="eastAsia" w:hAnsi="宋体"/>
          <w:color w:val="auto"/>
          <w:spacing w:val="-15"/>
        </w:rPr>
        <w:t>，</w:t>
      </w:r>
      <w:r>
        <w:rPr>
          <w:rFonts w:hint="eastAsia" w:hAnsi="宋体"/>
          <w:color w:val="auto"/>
        </w:rPr>
        <w:t>项目编号</w:t>
      </w:r>
      <w:r>
        <w:rPr>
          <w:rFonts w:hAnsi="宋体" w:cs="Arial"/>
          <w:color w:val="auto"/>
        </w:rPr>
        <w:t>/</w:t>
      </w:r>
      <w:r>
        <w:rPr>
          <w:rFonts w:hint="eastAsia" w:hAnsi="宋体"/>
          <w:color w:val="auto"/>
        </w:rPr>
        <w:t>包号</w:t>
      </w:r>
      <w:r>
        <w:rPr>
          <w:rFonts w:hint="eastAsia" w:hAnsi="宋体"/>
          <w:color w:val="auto"/>
          <w:spacing w:val="-15"/>
        </w:rPr>
        <w:t>）</w:t>
      </w:r>
      <w:r>
        <w:rPr>
          <w:rFonts w:hint="eastAsia" w:hAnsi="宋体"/>
          <w:color w:val="auto"/>
        </w:rPr>
        <w:t>组织的采购活动</w:t>
      </w:r>
      <w:r>
        <w:rPr>
          <w:rFonts w:hint="eastAsia" w:hAnsi="宋体"/>
          <w:color w:val="auto"/>
          <w:spacing w:val="-15"/>
        </w:rPr>
        <w:t>，</w:t>
      </w:r>
      <w:r>
        <w:rPr>
          <w:rFonts w:hint="eastAsia" w:hAnsi="宋体"/>
          <w:color w:val="auto"/>
        </w:rPr>
        <w:t>并对此项</w:t>
      </w:r>
      <w:r>
        <w:rPr>
          <w:rFonts w:hint="eastAsia" w:hAnsi="宋体"/>
          <w:color w:val="auto"/>
          <w:spacing w:val="-13"/>
        </w:rPr>
        <w:t>目</w:t>
      </w:r>
      <w:r>
        <w:rPr>
          <w:rFonts w:hint="eastAsia" w:hAnsi="宋体"/>
          <w:color w:val="auto"/>
        </w:rPr>
        <w:t>进行磋商。</w:t>
      </w:r>
    </w:p>
    <w:p w14:paraId="463C88D5">
      <w:pPr>
        <w:pStyle w:val="69"/>
        <w:numPr>
          <w:ilvl w:val="0"/>
          <w:numId w:val="24"/>
        </w:numPr>
        <w:tabs>
          <w:tab w:val="left" w:pos="1298"/>
        </w:tabs>
        <w:kinsoku w:val="0"/>
        <w:overflowPunct w:val="0"/>
        <w:spacing w:line="306" w:lineRule="exact"/>
        <w:ind w:hanging="349"/>
        <w:rPr>
          <w:rFonts w:hAnsi="宋体"/>
          <w:color w:val="auto"/>
        </w:rPr>
      </w:pPr>
      <w:r>
        <w:rPr>
          <w:rFonts w:hint="eastAsia" w:hAnsi="宋体"/>
          <w:color w:val="auto"/>
        </w:rPr>
        <w:t>我方已详细审查全部竞争性磋商文件，自愿参与磋商并承诺如下：</w:t>
      </w:r>
    </w:p>
    <w:p w14:paraId="341A1EC0">
      <w:pPr>
        <w:pStyle w:val="69"/>
        <w:numPr>
          <w:ilvl w:val="0"/>
          <w:numId w:val="25"/>
        </w:numPr>
        <w:tabs>
          <w:tab w:val="left" w:pos="1606"/>
          <w:tab w:val="left" w:pos="6884"/>
        </w:tabs>
        <w:kinsoku w:val="0"/>
        <w:overflowPunct w:val="0"/>
        <w:spacing w:before="161"/>
        <w:rPr>
          <w:rFonts w:hAnsi="宋体"/>
          <w:color w:val="auto"/>
        </w:rPr>
      </w:pPr>
      <w:r>
        <w:rPr>
          <w:rFonts w:hint="eastAsia" w:hAnsi="宋体"/>
          <w:color w:val="auto"/>
        </w:rPr>
        <w:t>本响应有效期为自响应文件提交截止之日起</w:t>
      </w:r>
      <w:r>
        <w:rPr>
          <w:rFonts w:hAnsi="宋体"/>
          <w:color w:val="auto"/>
          <w:u w:val="single" w:color="000000"/>
        </w:rPr>
        <w:t xml:space="preserve"> </w:t>
      </w:r>
      <w:r>
        <w:rPr>
          <w:rFonts w:hAnsi="宋体"/>
          <w:color w:val="auto"/>
          <w:u w:val="single" w:color="000000"/>
        </w:rPr>
        <w:tab/>
      </w:r>
      <w:r>
        <w:rPr>
          <w:rFonts w:hint="eastAsia" w:hAnsi="宋体"/>
          <w:color w:val="auto"/>
        </w:rPr>
        <w:t>个日历日。</w:t>
      </w:r>
    </w:p>
    <w:p w14:paraId="47F9888D">
      <w:pPr>
        <w:pStyle w:val="69"/>
        <w:numPr>
          <w:ilvl w:val="0"/>
          <w:numId w:val="25"/>
        </w:numPr>
        <w:tabs>
          <w:tab w:val="left" w:pos="1612"/>
        </w:tabs>
        <w:kinsoku w:val="0"/>
        <w:overflowPunct w:val="0"/>
        <w:spacing w:before="158" w:line="364" w:lineRule="auto"/>
        <w:ind w:left="901" w:right="571" w:firstLine="72"/>
        <w:rPr>
          <w:rFonts w:hAnsi="宋体"/>
          <w:color w:val="auto"/>
        </w:rPr>
      </w:pPr>
      <w:r>
        <w:rPr>
          <w:rFonts w:hint="eastAsia" w:hAnsi="宋体"/>
          <w:color w:val="auto"/>
        </w:rPr>
        <w:t>除合同条款及采购需求偏离表列出的偏离外，我方响应竞争性磋商文件的全部要求。</w:t>
      </w:r>
    </w:p>
    <w:p w14:paraId="733D436D">
      <w:pPr>
        <w:pStyle w:val="69"/>
        <w:numPr>
          <w:ilvl w:val="0"/>
          <w:numId w:val="25"/>
        </w:numPr>
        <w:tabs>
          <w:tab w:val="left" w:pos="1594"/>
        </w:tabs>
        <w:kinsoku w:val="0"/>
        <w:overflowPunct w:val="0"/>
        <w:spacing w:line="306" w:lineRule="exact"/>
        <w:ind w:left="1593"/>
        <w:rPr>
          <w:rFonts w:hAnsi="宋体"/>
          <w:color w:val="auto"/>
        </w:rPr>
      </w:pPr>
      <w:r>
        <w:rPr>
          <w:rFonts w:hint="eastAsia" w:hAnsi="宋体"/>
          <w:color w:val="auto"/>
        </w:rPr>
        <w:t>我方已提供的全部文件资料是真实、准确的，并对此承担一切法律后果。</w:t>
      </w:r>
    </w:p>
    <w:p w14:paraId="4DE0D9B5">
      <w:pPr>
        <w:pStyle w:val="69"/>
        <w:numPr>
          <w:ilvl w:val="0"/>
          <w:numId w:val="25"/>
        </w:numPr>
        <w:tabs>
          <w:tab w:val="left" w:pos="1603"/>
        </w:tabs>
        <w:kinsoku w:val="0"/>
        <w:overflowPunct w:val="0"/>
        <w:spacing w:before="161" w:line="362" w:lineRule="auto"/>
        <w:ind w:left="541" w:right="571" w:firstLine="420"/>
        <w:rPr>
          <w:rFonts w:hAnsi="宋体"/>
          <w:color w:val="auto"/>
        </w:rPr>
      </w:pPr>
      <w:r>
        <w:rPr>
          <w:rFonts w:hint="eastAsia" w:hAnsi="宋体"/>
          <w:color w:val="auto"/>
        </w:rPr>
        <w:t>如我方成交，我方将在法律规定的期限内与你方签订合同，按照竞争性磋商文件要求提交履约保证金，并在合同约定的期限内完成合同规定的全部义务。</w:t>
      </w:r>
    </w:p>
    <w:p w14:paraId="3F3E8008">
      <w:pPr>
        <w:pStyle w:val="69"/>
        <w:numPr>
          <w:ilvl w:val="0"/>
          <w:numId w:val="24"/>
        </w:numPr>
        <w:tabs>
          <w:tab w:val="left" w:pos="1310"/>
          <w:tab w:val="left" w:pos="4549"/>
        </w:tabs>
        <w:kinsoku w:val="0"/>
        <w:overflowPunct w:val="0"/>
        <w:spacing w:before="5"/>
        <w:ind w:left="1309" w:hanging="349"/>
        <w:rPr>
          <w:rFonts w:hAnsi="宋体"/>
          <w:color w:val="auto"/>
        </w:rPr>
      </w:pPr>
      <w:r>
        <w:rPr>
          <w:rFonts w:hint="eastAsia" w:hAnsi="宋体"/>
          <w:color w:val="auto"/>
        </w:rPr>
        <w:t>其他补充条款（如有</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int="eastAsia" w:hAnsi="宋体"/>
          <w:color w:val="auto"/>
        </w:rPr>
        <w:t>。</w:t>
      </w:r>
    </w:p>
    <w:p w14:paraId="128406E1">
      <w:pPr>
        <w:pStyle w:val="17"/>
        <w:kinsoku w:val="0"/>
        <w:overflowPunct w:val="0"/>
        <w:spacing w:before="158"/>
        <w:ind w:left="1021"/>
        <w:rPr>
          <w:rFonts w:hAnsi="宋体"/>
          <w:color w:val="auto"/>
        </w:rPr>
      </w:pPr>
      <w:r>
        <w:rPr>
          <w:rFonts w:hint="eastAsia" w:hAnsi="宋体"/>
          <w:color w:val="auto"/>
        </w:rPr>
        <w:t>与本磋商有关的一切正式往来信函请寄：</w:t>
      </w:r>
    </w:p>
    <w:p w14:paraId="6FBC6DFC">
      <w:pPr>
        <w:pStyle w:val="17"/>
        <w:kinsoku w:val="0"/>
        <w:overflowPunct w:val="0"/>
        <w:rPr>
          <w:rFonts w:hAnsi="宋体"/>
          <w:color w:val="auto"/>
        </w:rPr>
      </w:pPr>
    </w:p>
    <w:p w14:paraId="5F907FE1">
      <w:pPr>
        <w:pStyle w:val="17"/>
        <w:kinsoku w:val="0"/>
        <w:overflowPunct w:val="0"/>
        <w:spacing w:before="1"/>
        <w:rPr>
          <w:rFonts w:hAnsi="宋体"/>
          <w:color w:val="auto"/>
          <w:sz w:val="21"/>
          <w:szCs w:val="21"/>
        </w:rPr>
      </w:pPr>
    </w:p>
    <w:p w14:paraId="7E462562">
      <w:pPr>
        <w:pStyle w:val="17"/>
        <w:tabs>
          <w:tab w:val="left" w:pos="5161"/>
          <w:tab w:val="left" w:pos="5761"/>
          <w:tab w:val="left" w:pos="9054"/>
        </w:tabs>
        <w:kinsoku w:val="0"/>
        <w:overflowPunct w:val="0"/>
        <w:ind w:left="961"/>
        <w:rPr>
          <w:rFonts w:hAnsi="宋体" w:cs="Times New Roman"/>
          <w:color w:val="auto"/>
        </w:rPr>
      </w:pPr>
      <w:r>
        <w:rPr>
          <w:rFonts w:hint="eastAsia" w:hAnsi="宋体"/>
          <w:color w:val="auto"/>
        </w:rPr>
        <w:t>地址</w:t>
      </w:r>
      <w:r>
        <w:rPr>
          <w:rFonts w:hAnsi="宋体"/>
          <w:color w:val="auto"/>
        </w:rPr>
        <w:tab/>
      </w:r>
      <w:r>
        <w:rPr>
          <w:rFonts w:hint="eastAsia" w:hAnsi="宋体"/>
          <w:color w:val="auto"/>
        </w:rPr>
        <w:t>传</w:t>
      </w:r>
      <w:r>
        <w:rPr>
          <w:rFonts w:hAnsi="宋体"/>
          <w:color w:val="auto"/>
        </w:rPr>
        <w:tab/>
      </w:r>
      <w:r>
        <w:rPr>
          <w:rFonts w:hint="eastAsia" w:hAnsi="宋体"/>
          <w:color w:val="auto"/>
        </w:rPr>
        <w:t>真</w:t>
      </w:r>
      <w:r>
        <w:rPr>
          <w:rFonts w:hAnsi="宋体" w:cs="Times New Roman"/>
          <w:color w:val="auto"/>
          <w:u w:val="single" w:color="000000"/>
        </w:rPr>
        <w:t xml:space="preserve"> </w:t>
      </w:r>
      <w:r>
        <w:rPr>
          <w:rFonts w:hAnsi="宋体" w:cs="Times New Roman"/>
          <w:color w:val="auto"/>
          <w:u w:val="single" w:color="000000"/>
        </w:rPr>
        <w:tab/>
      </w:r>
    </w:p>
    <w:p w14:paraId="64880A54">
      <w:pPr>
        <w:pStyle w:val="17"/>
        <w:tabs>
          <w:tab w:val="left" w:pos="5161"/>
          <w:tab w:val="left" w:pos="9174"/>
        </w:tabs>
        <w:kinsoku w:val="0"/>
        <w:overflowPunct w:val="0"/>
        <w:spacing w:before="161"/>
        <w:ind w:left="961"/>
        <w:rPr>
          <w:rFonts w:hAnsi="宋体" w:cs="Times New Roman"/>
          <w:color w:val="auto"/>
        </w:rPr>
      </w:pPr>
      <w:r>
        <w:rPr>
          <w:rFonts w:hint="eastAsia" w:hAnsi="宋体"/>
          <w:color w:val="auto"/>
        </w:rPr>
        <w:t>电话</w:t>
      </w:r>
      <w:r>
        <w:rPr>
          <w:rFonts w:hAnsi="宋体"/>
          <w:color w:val="auto"/>
        </w:rPr>
        <w:tab/>
      </w:r>
      <w:r>
        <w:rPr>
          <w:rFonts w:hint="eastAsia" w:hAnsi="宋体"/>
          <w:color w:val="auto"/>
          <w:spacing w:val="-1"/>
        </w:rPr>
        <w:t>电</w:t>
      </w:r>
      <w:r>
        <w:rPr>
          <w:rFonts w:hint="eastAsia" w:hAnsi="宋体"/>
          <w:color w:val="auto"/>
        </w:rPr>
        <w:t>子函件</w:t>
      </w:r>
      <w:r>
        <w:rPr>
          <w:rFonts w:hAnsi="宋体" w:cs="Times New Roman"/>
          <w:color w:val="auto"/>
          <w:u w:val="single" w:color="000000"/>
        </w:rPr>
        <w:t xml:space="preserve"> </w:t>
      </w:r>
      <w:r>
        <w:rPr>
          <w:rFonts w:hAnsi="宋体" w:cs="Times New Roman"/>
          <w:color w:val="auto"/>
          <w:u w:val="single" w:color="000000"/>
        </w:rPr>
        <w:tab/>
      </w:r>
    </w:p>
    <w:p w14:paraId="6D0EB381">
      <w:pPr>
        <w:pStyle w:val="17"/>
        <w:kinsoku w:val="0"/>
        <w:overflowPunct w:val="0"/>
        <w:rPr>
          <w:rFonts w:hAnsi="宋体" w:cs="Times New Roman"/>
          <w:color w:val="auto"/>
          <w:sz w:val="20"/>
          <w:szCs w:val="20"/>
        </w:rPr>
      </w:pPr>
    </w:p>
    <w:p w14:paraId="32C54041">
      <w:pPr>
        <w:pStyle w:val="17"/>
        <w:kinsoku w:val="0"/>
        <w:overflowPunct w:val="0"/>
        <w:rPr>
          <w:rFonts w:hAnsi="宋体" w:cs="Times New Roman"/>
          <w:color w:val="auto"/>
          <w:sz w:val="20"/>
          <w:szCs w:val="20"/>
        </w:rPr>
      </w:pPr>
    </w:p>
    <w:p w14:paraId="23445A11">
      <w:pPr>
        <w:pStyle w:val="17"/>
        <w:kinsoku w:val="0"/>
        <w:overflowPunct w:val="0"/>
        <w:rPr>
          <w:rFonts w:hAnsi="宋体" w:cs="Times New Roman"/>
          <w:color w:val="auto"/>
          <w:sz w:val="20"/>
          <w:szCs w:val="20"/>
        </w:rPr>
      </w:pPr>
    </w:p>
    <w:p w14:paraId="413D9C03">
      <w:pPr>
        <w:pStyle w:val="17"/>
        <w:kinsoku w:val="0"/>
        <w:overflowPunct w:val="0"/>
        <w:rPr>
          <w:rFonts w:hAnsi="宋体" w:cs="Times New Roman"/>
          <w:color w:val="auto"/>
          <w:sz w:val="20"/>
          <w:szCs w:val="20"/>
        </w:rPr>
      </w:pPr>
    </w:p>
    <w:p w14:paraId="536B5E82">
      <w:pPr>
        <w:pStyle w:val="17"/>
        <w:kinsoku w:val="0"/>
        <w:overflowPunct w:val="0"/>
        <w:rPr>
          <w:rFonts w:hAnsi="宋体" w:cs="Times New Roman"/>
          <w:color w:val="auto"/>
          <w:sz w:val="20"/>
          <w:szCs w:val="20"/>
        </w:rPr>
      </w:pPr>
    </w:p>
    <w:p w14:paraId="43AAF25A">
      <w:pPr>
        <w:pStyle w:val="17"/>
        <w:kinsoku w:val="0"/>
        <w:overflowPunct w:val="0"/>
        <w:spacing w:before="11"/>
        <w:rPr>
          <w:rFonts w:hAnsi="宋体" w:cs="Times New Roman"/>
          <w:color w:val="auto"/>
          <w:sz w:val="17"/>
          <w:szCs w:val="17"/>
        </w:rPr>
      </w:pPr>
    </w:p>
    <w:p w14:paraId="48BD181B">
      <w:pPr>
        <w:pStyle w:val="17"/>
        <w:tabs>
          <w:tab w:val="left" w:pos="2101"/>
          <w:tab w:val="left" w:pos="2821"/>
          <w:tab w:val="left" w:pos="3541"/>
          <w:tab w:val="left" w:pos="4434"/>
        </w:tabs>
        <w:kinsoku w:val="0"/>
        <w:overflowPunct w:val="0"/>
        <w:spacing w:before="85" w:line="384" w:lineRule="auto"/>
        <w:ind w:left="901" w:right="5750"/>
        <w:rPr>
          <w:rFonts w:hAnsi="宋体"/>
          <w:color w:val="auto"/>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 xml:space="preserve"> </w:t>
      </w: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793520B2">
      <w:pPr>
        <w:pStyle w:val="17"/>
        <w:tabs>
          <w:tab w:val="left" w:pos="2101"/>
          <w:tab w:val="left" w:pos="2821"/>
          <w:tab w:val="left" w:pos="3541"/>
          <w:tab w:val="left" w:pos="4434"/>
        </w:tabs>
        <w:kinsoku w:val="0"/>
        <w:overflowPunct w:val="0"/>
        <w:spacing w:before="85" w:line="384" w:lineRule="auto"/>
        <w:ind w:left="901" w:right="5750"/>
        <w:rPr>
          <w:rFonts w:hAnsi="宋体"/>
          <w:color w:val="auto"/>
        </w:rPr>
        <w:sectPr>
          <w:pgSz w:w="11910" w:h="16840"/>
          <w:pgMar w:top="1340" w:right="560" w:bottom="1080" w:left="1160" w:header="879" w:footer="879" w:gutter="0"/>
          <w:pgNumType w:fmt="decimal"/>
          <w:cols w:space="720" w:num="1"/>
        </w:sectPr>
      </w:pPr>
    </w:p>
    <w:p w14:paraId="1742C196">
      <w:pPr>
        <w:pStyle w:val="69"/>
        <w:spacing w:line="360" w:lineRule="auto"/>
        <w:ind w:left="540" w:firstLine="0"/>
        <w:outlineLvl w:val="0"/>
        <w:rPr>
          <w:rFonts w:hAnsi="宋体"/>
          <w:color w:val="auto"/>
        </w:rPr>
      </w:pPr>
      <w:bookmarkStart w:id="82" w:name="_Toc149147734"/>
      <w:bookmarkStart w:id="83" w:name="_Toc149147579"/>
      <w:r>
        <w:rPr>
          <w:rFonts w:hint="eastAsia" w:hAnsi="宋体"/>
          <w:color w:val="auto"/>
          <w:lang w:val="en-US" w:eastAsia="zh-CN"/>
        </w:rPr>
        <w:t>5</w:t>
      </w:r>
      <w:r>
        <w:rPr>
          <w:rFonts w:hAnsi="宋体"/>
          <w:color w:val="auto"/>
        </w:rPr>
        <w:t xml:space="preserve"> </w:t>
      </w:r>
      <w:r>
        <w:rPr>
          <w:rFonts w:hint="eastAsia" w:hAnsi="宋体"/>
          <w:color w:val="auto"/>
        </w:rPr>
        <w:t>授权委托书（实质性格式）</w:t>
      </w:r>
      <w:bookmarkEnd w:id="82"/>
      <w:bookmarkEnd w:id="83"/>
    </w:p>
    <w:p w14:paraId="2ECE5ACB">
      <w:pPr>
        <w:pStyle w:val="17"/>
        <w:kinsoku w:val="0"/>
        <w:overflowPunct w:val="0"/>
        <w:rPr>
          <w:rFonts w:hAnsi="宋体"/>
          <w:color w:val="auto"/>
          <w:sz w:val="42"/>
          <w:szCs w:val="42"/>
        </w:rPr>
      </w:pPr>
      <w:r>
        <w:rPr>
          <w:rFonts w:hAnsi="宋体" w:cs="Times New Roman"/>
          <w:color w:val="auto"/>
        </w:rPr>
        <w:br w:type="column"/>
      </w:r>
    </w:p>
    <w:p w14:paraId="37D762DE">
      <w:pPr>
        <w:pStyle w:val="2"/>
        <w:kinsoku w:val="0"/>
        <w:overflowPunct w:val="0"/>
        <w:spacing w:before="0"/>
        <w:ind w:left="319"/>
        <w:jc w:val="left"/>
        <w:rPr>
          <w:rFonts w:hAnsi="宋体"/>
          <w:color w:val="auto"/>
        </w:rPr>
      </w:pPr>
      <w:bookmarkStart w:id="84" w:name="_Toc149147580"/>
      <w:bookmarkStart w:id="85" w:name="_Toc149147735"/>
      <w:r>
        <w:rPr>
          <w:rFonts w:hint="eastAsia" w:hAnsi="宋体"/>
          <w:color w:val="auto"/>
        </w:rPr>
        <w:t>授权委托书</w:t>
      </w:r>
      <w:bookmarkEnd w:id="84"/>
      <w:bookmarkEnd w:id="85"/>
    </w:p>
    <w:p w14:paraId="455A6C1C">
      <w:pPr>
        <w:pStyle w:val="2"/>
        <w:kinsoku w:val="0"/>
        <w:overflowPunct w:val="0"/>
        <w:spacing w:before="0"/>
        <w:ind w:left="319"/>
        <w:jc w:val="left"/>
        <w:rPr>
          <w:rFonts w:hAnsi="宋体"/>
          <w:color w:val="auto"/>
        </w:rPr>
        <w:sectPr>
          <w:pgSz w:w="11910" w:h="16840"/>
          <w:pgMar w:top="1340" w:right="560" w:bottom="1080" w:left="1160" w:header="879" w:footer="879" w:gutter="0"/>
          <w:pgNumType w:fmt="decimal"/>
          <w:cols w:equalWidth="0" w:num="2">
            <w:col w:w="3813" w:space="40"/>
            <w:col w:w="6337"/>
          </w:cols>
        </w:sectPr>
      </w:pPr>
    </w:p>
    <w:p w14:paraId="7FAC3F0C">
      <w:pPr>
        <w:pStyle w:val="17"/>
        <w:kinsoku w:val="0"/>
        <w:overflowPunct w:val="0"/>
        <w:spacing w:before="12"/>
        <w:rPr>
          <w:rFonts w:hAnsi="宋体"/>
          <w:color w:val="auto"/>
          <w:sz w:val="12"/>
          <w:szCs w:val="12"/>
        </w:rPr>
      </w:pPr>
    </w:p>
    <w:p w14:paraId="787CA815">
      <w:pPr>
        <w:pStyle w:val="17"/>
        <w:tabs>
          <w:tab w:val="left" w:pos="1884"/>
          <w:tab w:val="left" w:pos="3486"/>
          <w:tab w:val="left" w:pos="9666"/>
        </w:tabs>
        <w:kinsoku w:val="0"/>
        <w:overflowPunct w:val="0"/>
        <w:spacing w:before="74"/>
        <w:ind w:left="961"/>
        <w:rPr>
          <w:rFonts w:hAnsi="宋体" w:cs="Times New Roman"/>
          <w:color w:val="auto"/>
        </w:rPr>
      </w:pPr>
      <w:r>
        <w:rPr>
          <w:rFonts w:hint="eastAsia" w:hAnsi="宋体"/>
          <w:color w:val="auto"/>
        </w:rPr>
        <w:t>本人</w:t>
      </w:r>
      <w:r>
        <w:rPr>
          <w:rFonts w:hAnsi="宋体"/>
          <w:color w:val="auto"/>
          <w:u w:val="single"/>
        </w:rPr>
        <w:tab/>
      </w:r>
      <w:r>
        <w:rPr>
          <w:rFonts w:hint="eastAsia" w:hAnsi="宋体"/>
          <w:color w:val="auto"/>
        </w:rPr>
        <w:t>（姓名</w:t>
      </w:r>
      <w:r>
        <w:rPr>
          <w:rFonts w:hint="eastAsia" w:hAnsi="宋体"/>
          <w:color w:val="auto"/>
          <w:spacing w:val="-39"/>
        </w:rPr>
        <w:t>）</w:t>
      </w:r>
      <w:r>
        <w:rPr>
          <w:rFonts w:hint="eastAsia" w:hAnsi="宋体"/>
          <w:color w:val="auto"/>
        </w:rPr>
        <w:t>系</w:t>
      </w:r>
      <w:r>
        <w:rPr>
          <w:rFonts w:hAnsi="宋体"/>
          <w:color w:val="auto"/>
          <w:u w:val="single" w:color="000000"/>
        </w:rPr>
        <w:t xml:space="preserve"> </w:t>
      </w:r>
      <w:r>
        <w:rPr>
          <w:rFonts w:hAnsi="宋体"/>
          <w:color w:val="auto"/>
          <w:u w:val="single" w:color="000000"/>
        </w:rPr>
        <w:tab/>
      </w:r>
      <w:r>
        <w:rPr>
          <w:rFonts w:hint="eastAsia" w:hAnsi="宋体"/>
          <w:color w:val="auto"/>
        </w:rPr>
        <w:t>（供应商名称</w:t>
      </w:r>
      <w:r>
        <w:rPr>
          <w:rFonts w:hint="eastAsia" w:hAnsi="宋体"/>
          <w:color w:val="auto"/>
          <w:spacing w:val="-39"/>
        </w:rPr>
        <w:t>）</w:t>
      </w:r>
      <w:r>
        <w:rPr>
          <w:rFonts w:hint="eastAsia" w:hAnsi="宋体"/>
          <w:color w:val="auto"/>
        </w:rPr>
        <w:t>的法定代表</w:t>
      </w:r>
      <w:r>
        <w:rPr>
          <w:rFonts w:hint="eastAsia" w:hAnsi="宋体"/>
          <w:color w:val="auto"/>
          <w:spacing w:val="-36"/>
        </w:rPr>
        <w:t>人</w:t>
      </w:r>
      <w:r>
        <w:rPr>
          <w:rFonts w:hint="eastAsia" w:hAnsi="宋体"/>
          <w:color w:val="auto"/>
        </w:rPr>
        <w:t>（单位负责人</w:t>
      </w:r>
      <w:r>
        <w:rPr>
          <w:rFonts w:hint="eastAsia" w:hAnsi="宋体"/>
          <w:color w:val="auto"/>
          <w:spacing w:val="-80"/>
        </w:rPr>
        <w:t>），</w:t>
      </w:r>
      <w:r>
        <w:rPr>
          <w:rFonts w:hint="eastAsia" w:hAnsi="宋体"/>
          <w:color w:val="auto"/>
        </w:rPr>
        <w:t>现委托</w:t>
      </w:r>
      <w:r>
        <w:rPr>
          <w:rFonts w:hAnsi="宋体" w:cs="Times New Roman"/>
          <w:color w:val="auto"/>
          <w:u w:val="single" w:color="000000"/>
        </w:rPr>
        <w:t xml:space="preserve"> </w:t>
      </w:r>
      <w:r>
        <w:rPr>
          <w:rFonts w:hAnsi="宋体" w:cs="Times New Roman"/>
          <w:color w:val="auto"/>
          <w:u w:val="single" w:color="000000"/>
        </w:rPr>
        <w:tab/>
      </w:r>
    </w:p>
    <w:p w14:paraId="5CBEE138">
      <w:pPr>
        <w:pStyle w:val="17"/>
        <w:tabs>
          <w:tab w:val="left" w:pos="1501"/>
        </w:tabs>
        <w:kinsoku w:val="0"/>
        <w:overflowPunct w:val="0"/>
        <w:spacing w:before="160" w:line="362" w:lineRule="auto"/>
        <w:ind w:left="541" w:right="522"/>
        <w:rPr>
          <w:rFonts w:hAnsi="宋体"/>
          <w:color w:val="auto"/>
        </w:rPr>
      </w:pPr>
      <w:r>
        <w:rPr>
          <w:rFonts w:hint="eastAsia" w:hAnsi="宋体"/>
          <w:color w:val="auto"/>
        </w:rPr>
        <w:t>（姓名）为我方代理人。代理人根据授权，以我方名义签署、澄清确认、提交、撤回</w:t>
      </w:r>
      <w:r>
        <w:rPr>
          <w:rFonts w:hint="eastAsia" w:hAnsi="宋体"/>
          <w:color w:val="auto"/>
          <w:spacing w:val="-16"/>
        </w:rPr>
        <w:t>、</w:t>
      </w:r>
      <w:r>
        <w:rPr>
          <w:rFonts w:hint="eastAsia" w:hAnsi="宋体"/>
          <w:color w:val="auto"/>
        </w:rPr>
        <w:t>修改</w:t>
      </w:r>
      <w:r>
        <w:rPr>
          <w:rFonts w:hAnsi="宋体"/>
          <w:color w:val="auto"/>
          <w:u w:val="single" w:color="000000"/>
        </w:rPr>
        <w:t xml:space="preserve"> </w:t>
      </w:r>
      <w:r>
        <w:rPr>
          <w:rFonts w:hAnsi="宋体"/>
          <w:color w:val="auto"/>
          <w:u w:val="single" w:color="000000"/>
        </w:rPr>
        <w:tab/>
      </w:r>
      <w:r>
        <w:rPr>
          <w:rFonts w:hint="eastAsia" w:hAnsi="宋体"/>
          <w:color w:val="auto"/>
        </w:rPr>
        <w:t>（项目名称）响应文件和处理有关事宜，其法律后果由我方承担。</w:t>
      </w:r>
    </w:p>
    <w:p w14:paraId="11DFEA24">
      <w:pPr>
        <w:pStyle w:val="17"/>
        <w:kinsoku w:val="0"/>
        <w:overflowPunct w:val="0"/>
        <w:spacing w:before="5" w:line="362" w:lineRule="auto"/>
        <w:ind w:left="961" w:right="2263"/>
        <w:rPr>
          <w:rFonts w:hAnsi="宋体"/>
          <w:color w:val="auto"/>
        </w:rPr>
      </w:pPr>
      <w:r>
        <w:rPr>
          <w:rFonts w:hint="eastAsia" w:hAnsi="宋体"/>
          <w:color w:val="auto"/>
        </w:rPr>
        <w:t>委托期限：自本授权委托书签署之日起至响应有效期届满之日止。代理人无转委托权。</w:t>
      </w:r>
    </w:p>
    <w:p w14:paraId="29D4C211">
      <w:pPr>
        <w:pStyle w:val="17"/>
        <w:kinsoku w:val="0"/>
        <w:overflowPunct w:val="0"/>
        <w:spacing w:before="2"/>
        <w:rPr>
          <w:rFonts w:hAnsi="宋体"/>
          <w:color w:val="auto"/>
          <w:sz w:val="33"/>
          <w:szCs w:val="33"/>
        </w:rPr>
      </w:pPr>
    </w:p>
    <w:p w14:paraId="77B62FF6">
      <w:pPr>
        <w:pStyle w:val="17"/>
        <w:tabs>
          <w:tab w:val="left" w:pos="5034"/>
        </w:tabs>
        <w:kinsoku w:val="0"/>
        <w:overflowPunct w:val="0"/>
        <w:ind w:left="541"/>
        <w:rPr>
          <w:rFonts w:hAnsi="宋体" w:cs="Times New Roman"/>
          <w:color w:val="auto"/>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3FF4A0F8">
      <w:pPr>
        <w:pStyle w:val="17"/>
        <w:tabs>
          <w:tab w:val="left" w:pos="5274"/>
          <w:tab w:val="left" w:pos="6834"/>
        </w:tabs>
        <w:kinsoku w:val="0"/>
        <w:overflowPunct w:val="0"/>
        <w:spacing w:before="158" w:line="364" w:lineRule="auto"/>
        <w:ind w:left="541" w:right="3350"/>
        <w:rPr>
          <w:rFonts w:hAnsi="宋体" w:cs="Times New Roman"/>
          <w:color w:val="auto"/>
          <w:u w:val="single" w:color="000000"/>
        </w:rPr>
      </w:pPr>
      <w:r>
        <w:rPr>
          <w:rFonts w:hint="eastAsia" w:hAnsi="宋体"/>
          <w:color w:val="auto"/>
        </w:rPr>
        <w:t>法定代表人（单位负责人</w:t>
      </w:r>
      <w:r>
        <w:rPr>
          <w:rFonts w:hint="eastAsia" w:hAnsi="宋体"/>
          <w:color w:val="auto"/>
          <w:spacing w:val="-120"/>
        </w:rPr>
        <w:t>）</w:t>
      </w:r>
      <w:r>
        <w:rPr>
          <w:rFonts w:hint="eastAsia" w:hAnsi="宋体"/>
          <w:color w:val="auto"/>
        </w:rPr>
        <w:t>（签字或签章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ab/>
      </w:r>
    </w:p>
    <w:p w14:paraId="65E0E7C8">
      <w:pPr>
        <w:pStyle w:val="17"/>
        <w:tabs>
          <w:tab w:val="left" w:pos="5274"/>
          <w:tab w:val="left" w:pos="6834"/>
        </w:tabs>
        <w:kinsoku w:val="0"/>
        <w:overflowPunct w:val="0"/>
        <w:spacing w:before="158" w:line="364" w:lineRule="auto"/>
        <w:ind w:left="541" w:right="3350"/>
        <w:rPr>
          <w:rFonts w:hAnsi="宋体" w:cs="Times New Roman"/>
          <w:color w:val="auto"/>
        </w:rPr>
      </w:pPr>
      <w:r>
        <w:rPr>
          <w:rFonts w:hint="eastAsia" w:hAnsi="宋体"/>
          <w:color w:val="auto"/>
        </w:rPr>
        <w:t>委托代理人（签字或签章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63E5974D">
      <w:pPr>
        <w:pStyle w:val="17"/>
        <w:tabs>
          <w:tab w:val="left" w:pos="1741"/>
          <w:tab w:val="left" w:pos="2461"/>
          <w:tab w:val="left" w:pos="3181"/>
        </w:tabs>
        <w:kinsoku w:val="0"/>
        <w:overflowPunct w:val="0"/>
        <w:spacing w:line="306" w:lineRule="exact"/>
        <w:ind w:left="541"/>
        <w:rPr>
          <w:rFonts w:hAnsi="宋体"/>
          <w:color w:val="auto"/>
        </w:rPr>
      </w:pP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749EE869">
      <w:pPr>
        <w:pStyle w:val="17"/>
        <w:kinsoku w:val="0"/>
        <w:overflowPunct w:val="0"/>
        <w:rPr>
          <w:rFonts w:hAnsi="宋体"/>
          <w:color w:val="auto"/>
          <w:sz w:val="26"/>
          <w:szCs w:val="26"/>
        </w:rPr>
      </w:pPr>
    </w:p>
    <w:p w14:paraId="4ED38FBF">
      <w:pPr>
        <w:pStyle w:val="17"/>
        <w:kinsoku w:val="0"/>
        <w:overflowPunct w:val="0"/>
        <w:spacing w:before="2"/>
        <w:rPr>
          <w:rFonts w:hAnsi="宋体"/>
          <w:color w:val="auto"/>
          <w:sz w:val="19"/>
          <w:szCs w:val="19"/>
        </w:rPr>
      </w:pPr>
    </w:p>
    <w:p w14:paraId="059471D9">
      <w:pPr>
        <w:pStyle w:val="17"/>
        <w:kinsoku w:val="0"/>
        <w:overflowPunct w:val="0"/>
        <w:ind w:left="541"/>
        <w:rPr>
          <w:rFonts w:hAnsi="宋体"/>
          <w:color w:val="auto"/>
        </w:rPr>
      </w:pPr>
      <w:r>
        <w:rPr>
          <w:rFonts w:hint="eastAsia" w:hAnsi="宋体"/>
          <w:color w:val="auto"/>
        </w:rPr>
        <w:t>附：法定代表人及委托代理人身份证明文件</w:t>
      </w:r>
      <w:r>
        <w:rPr>
          <w:rFonts w:hint="eastAsia" w:hAnsi="宋体"/>
          <w:color w:val="auto"/>
          <w:lang w:val="en-US" w:eastAsia="zh-CN"/>
        </w:rPr>
        <w:t>电子件</w:t>
      </w:r>
      <w:r>
        <w:rPr>
          <w:rFonts w:hint="eastAsia" w:hAnsi="宋体"/>
          <w:color w:val="auto"/>
        </w:rPr>
        <w:t>：</w:t>
      </w:r>
    </w:p>
    <w:p w14:paraId="6E8D111E">
      <w:pPr>
        <w:pStyle w:val="17"/>
        <w:kinsoku w:val="0"/>
        <w:overflowPunct w:val="0"/>
        <w:spacing w:before="11"/>
        <w:rPr>
          <w:rFonts w:hAnsi="宋体"/>
          <w:color w:val="auto"/>
          <w:sz w:val="8"/>
          <w:szCs w:val="8"/>
        </w:rPr>
      </w:pPr>
      <w:r>
        <w:rPr>
          <w:rFonts w:hAnsi="宋体"/>
          <w:color w:val="auto"/>
        </w:rPr>
        <mc:AlternateContent>
          <mc:Choice Requires="wpg">
            <w:drawing>
              <wp:anchor distT="0" distB="0" distL="0" distR="0" simplePos="0" relativeHeight="251668480" behindDoc="0" locked="0" layoutInCell="0" allowOverlap="1">
                <wp:simplePos x="0" y="0"/>
                <wp:positionH relativeFrom="page">
                  <wp:posOffset>1008380</wp:posOffset>
                </wp:positionH>
                <wp:positionV relativeFrom="paragraph">
                  <wp:posOffset>99695</wp:posOffset>
                </wp:positionV>
                <wp:extent cx="5274945" cy="1504315"/>
                <wp:effectExtent l="0" t="0" r="0" b="0"/>
                <wp:wrapTopAndBottom/>
                <wp:docPr id="619027831" name="Group 17"/>
                <wp:cNvGraphicFramePr/>
                <a:graphic xmlns:a="http://schemas.openxmlformats.org/drawingml/2006/main">
                  <a:graphicData uri="http://schemas.microsoft.com/office/word/2010/wordprocessingGroup">
                    <wpg:wgp>
                      <wpg:cNvGrpSpPr/>
                      <wpg:grpSpPr>
                        <a:xfrm>
                          <a:off x="0" y="0"/>
                          <a:ext cx="5274945" cy="1504315"/>
                          <a:chOff x="1588" y="157"/>
                          <a:chExt cx="8307" cy="2369"/>
                        </a:xfrm>
                      </wpg:grpSpPr>
                      <wps:wsp>
                        <wps:cNvPr id="1183097625" name="Freeform 18"/>
                        <wps:cNvSpPr/>
                        <wps:spPr bwMode="auto">
                          <a:xfrm>
                            <a:off x="1588" y="162"/>
                            <a:ext cx="8307" cy="20"/>
                          </a:xfrm>
                          <a:custGeom>
                            <a:avLst/>
                            <a:gdLst>
                              <a:gd name="T0" fmla="*/ 0 w 8307"/>
                              <a:gd name="T1" fmla="*/ 0 h 20"/>
                              <a:gd name="T2" fmla="*/ 8306 w 8307"/>
                              <a:gd name="T3" fmla="*/ 0 h 20"/>
                            </a:gdLst>
                            <a:ahLst/>
                            <a:cxnLst>
                              <a:cxn ang="0">
                                <a:pos x="T0" y="T1"/>
                              </a:cxn>
                              <a:cxn ang="0">
                                <a:pos x="T2" y="T3"/>
                              </a:cxn>
                            </a:cxnLst>
                            <a:rect l="0" t="0" r="r" b="b"/>
                            <a:pathLst>
                              <a:path w="8307"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1625540263" name="Freeform 19"/>
                        <wps:cNvSpPr/>
                        <wps:spPr bwMode="auto">
                          <a:xfrm>
                            <a:off x="1588" y="2521"/>
                            <a:ext cx="8307" cy="20"/>
                          </a:xfrm>
                          <a:custGeom>
                            <a:avLst/>
                            <a:gdLst>
                              <a:gd name="T0" fmla="*/ 0 w 8307"/>
                              <a:gd name="T1" fmla="*/ 0 h 20"/>
                              <a:gd name="T2" fmla="*/ 8306 w 8307"/>
                              <a:gd name="T3" fmla="*/ 0 h 20"/>
                            </a:gdLst>
                            <a:ahLst/>
                            <a:cxnLst>
                              <a:cxn ang="0">
                                <a:pos x="T0" y="T1"/>
                              </a:cxn>
                              <a:cxn ang="0">
                                <a:pos x="T2" y="T3"/>
                              </a:cxn>
                            </a:cxnLst>
                            <a:rect l="0" t="0" r="r" b="b"/>
                            <a:pathLst>
                              <a:path w="8307"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144267212" name="Freeform 20"/>
                        <wps:cNvSpPr/>
                        <wps:spPr bwMode="auto">
                          <a:xfrm>
                            <a:off x="1592" y="157"/>
                            <a:ext cx="20" cy="2360"/>
                          </a:xfrm>
                          <a:custGeom>
                            <a:avLst/>
                            <a:gdLst>
                              <a:gd name="T0" fmla="*/ 0 w 20"/>
                              <a:gd name="T1" fmla="*/ 0 h 2360"/>
                              <a:gd name="T2" fmla="*/ 0 w 20"/>
                              <a:gd name="T3" fmla="*/ 2359 h 2360"/>
                            </a:gdLst>
                            <a:ahLst/>
                            <a:cxnLst>
                              <a:cxn ang="0">
                                <a:pos x="T0" y="T1"/>
                              </a:cxn>
                              <a:cxn ang="0">
                                <a:pos x="T2" y="T3"/>
                              </a:cxn>
                            </a:cxnLst>
                            <a:rect l="0" t="0" r="r" b="b"/>
                            <a:pathLst>
                              <a:path w="20" h="2360">
                                <a:moveTo>
                                  <a:pt x="0" y="0"/>
                                </a:moveTo>
                                <a:lnTo>
                                  <a:pt x="0" y="2359"/>
                                </a:lnTo>
                              </a:path>
                            </a:pathLst>
                          </a:custGeom>
                          <a:noFill/>
                          <a:ln w="6096">
                            <a:solidFill>
                              <a:srgbClr val="000000"/>
                            </a:solidFill>
                            <a:round/>
                          </a:ln>
                        </wps:spPr>
                        <wps:bodyPr rot="0" vert="horz" wrap="square" lIns="91440" tIns="45720" rIns="91440" bIns="45720" anchor="t" anchorCtr="0" upright="1">
                          <a:noAutofit/>
                        </wps:bodyPr>
                      </wps:wsp>
                      <wps:wsp>
                        <wps:cNvPr id="1541218947" name="Freeform 21"/>
                        <wps:cNvSpPr/>
                        <wps:spPr bwMode="auto">
                          <a:xfrm>
                            <a:off x="9888" y="157"/>
                            <a:ext cx="20" cy="2360"/>
                          </a:xfrm>
                          <a:custGeom>
                            <a:avLst/>
                            <a:gdLst>
                              <a:gd name="T0" fmla="*/ 0 w 20"/>
                              <a:gd name="T1" fmla="*/ 0 h 2360"/>
                              <a:gd name="T2" fmla="*/ 0 w 20"/>
                              <a:gd name="T3" fmla="*/ 2359 h 2360"/>
                            </a:gdLst>
                            <a:ahLst/>
                            <a:cxnLst>
                              <a:cxn ang="0">
                                <a:pos x="T0" y="T1"/>
                              </a:cxn>
                              <a:cxn ang="0">
                                <a:pos x="T2" y="T3"/>
                              </a:cxn>
                            </a:cxnLst>
                            <a:rect l="0" t="0" r="r" b="b"/>
                            <a:pathLst>
                              <a:path w="20" h="2360">
                                <a:moveTo>
                                  <a:pt x="0" y="0"/>
                                </a:moveTo>
                                <a:lnTo>
                                  <a:pt x="0" y="2359"/>
                                </a:lnTo>
                              </a:path>
                            </a:pathLst>
                          </a:custGeom>
                          <a:noFill/>
                          <a:ln w="6096">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7" o:spid="_x0000_s1026" o:spt="203" style="position:absolute;left:0pt;margin-left:79.4pt;margin-top:7.85pt;height:118.45pt;width:415.35pt;mso-position-horizontal-relative:page;mso-wrap-distance-bottom:0pt;mso-wrap-distance-top:0pt;z-index:251668480;mso-width-relative:page;mso-height-relative:page;" coordorigin="1588,157" coordsize="8307,2369" o:allowincell="f" o:gfxdata="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">
                <o:lock v:ext="edit" aspectratio="f"/>
                <v:shape id="Freeform 18" o:spid="_x0000_s1026" o:spt="100" style="position:absolute;left:1588;top:162;height:20;width:8307;" filled="f" stroked="t" coordsize="8307,20" o:gfxdata="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Gg&#10;/dvCAAAA4wAAAA8AAAAAAAAAAQAgAAAAIgAAAGRycy9kb3ducmV2LnhtbFBLAQIUABQAAAAIAIdO&#10;4kAzLwWeOwAAADkAAAAQAAAAAAAAAAEAIAAAABEBAABkcnMvc2hhcGV4bWwueG1sUEsFBgAAAAAG&#10;AAYAWwEAALsDAAAAAA==&#10;" path="m0,0l8306,0e">
                  <v:path o:connectlocs="0,0;8306,0" o:connectangles="0,0"/>
                  <v:fill on="f" focussize="0,0"/>
                  <v:stroke weight="0.48pt" color="#000000" joinstyle="round"/>
                  <v:imagedata o:title=""/>
                  <o:lock v:ext="edit" aspectratio="f"/>
                </v:shape>
                <v:shape id="Freeform 19" o:spid="_x0000_s1026" o:spt="100" style="position:absolute;left:1588;top:2521;height:20;width:8307;" filled="f" stroked="t" coordsize="8307,20" o:gfxdata="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LFA&#10;HRnCAAAA4wAAAA8AAAAAAAAAAQAgAAAAIgAAAGRycy9kb3ducmV2LnhtbFBLAQIUABQAAAAIAIdO&#10;4kAzLwWeOwAAADkAAAAQAAAAAAAAAAEAIAAAABEBAABkcnMvc2hhcGV4bWwueG1sUEsFBgAAAAAG&#10;AAYAWwEAALsDAAAAAA==&#10;" path="m0,0l8306,0e">
                  <v:path o:connectlocs="0,0;8306,0" o:connectangles="0,0"/>
                  <v:fill on="f" focussize="0,0"/>
                  <v:stroke weight="0.48pt" color="#000000" joinstyle="round"/>
                  <v:imagedata o:title=""/>
                  <o:lock v:ext="edit" aspectratio="f"/>
                </v:shape>
                <v:shape id="Freeform 20" o:spid="_x0000_s1026" o:spt="100" style="position:absolute;left:1592;top:157;height:2360;width:20;" filled="f" stroked="t" coordsize="20,2360" o:gfxdata="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fGvSW/&#10;AAAA4gAAAA8AAAAAAAAAAQAgAAAAIgAAAGRycy9kb3ducmV2LnhtbFBLAQIUABQAAAAIAIdO4kAz&#10;LwWeOwAAADkAAAAQAAAAAAAAAAEAIAAAAA4BAABkcnMvc2hhcGV4bWwueG1sUEsFBgAAAAAGAAYA&#10;WwEAALgDAAAAAA==&#10;" path="m0,0l0,2359e">
                  <v:path o:connectlocs="0,0;0,2359" o:connectangles="0,0"/>
                  <v:fill on="f" focussize="0,0"/>
                  <v:stroke weight="0.48pt" color="#000000" joinstyle="round"/>
                  <v:imagedata o:title=""/>
                  <o:lock v:ext="edit" aspectratio="f"/>
                </v:shape>
                <v:shape id="Freeform 21" o:spid="_x0000_s1026" o:spt="100" style="position:absolute;left:9888;top:157;height:2360;width:20;" filled="f" stroked="t" coordsize="20,2360" o:gfxdata="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zpHe&#10;wAAAAOMAAAAPAAAAAAAAAAEAIAAAACIAAABkcnMvZG93bnJldi54bWxQSwECFAAUAAAACACHTuJA&#10;My8FnjsAAAA5AAAAEAAAAAAAAAABACAAAAAPAQAAZHJzL3NoYXBleG1sLnhtbFBLBQYAAAAABgAG&#10;AFsBAAC5AwAAAAA=&#10;" path="m0,0l0,2359e">
                  <v:path o:connectlocs="0,0;0,2359" o:connectangles="0,0"/>
                  <v:fill on="f" focussize="0,0"/>
                  <v:stroke weight="0.48pt" color="#000000" joinstyle="round"/>
                  <v:imagedata o:title=""/>
                  <o:lock v:ext="edit" aspectratio="f"/>
                </v:shape>
                <w10:wrap type="topAndBottom"/>
              </v:group>
            </w:pict>
          </mc:Fallback>
        </mc:AlternateContent>
      </w:r>
    </w:p>
    <w:p w14:paraId="770FBFA9">
      <w:pPr>
        <w:pStyle w:val="17"/>
        <w:kinsoku w:val="0"/>
        <w:overflowPunct w:val="0"/>
        <w:spacing w:line="281" w:lineRule="exact"/>
        <w:ind w:left="541"/>
        <w:rPr>
          <w:rFonts w:hAnsi="宋体"/>
          <w:color w:val="auto"/>
        </w:rPr>
      </w:pPr>
      <w:r>
        <w:rPr>
          <w:rFonts w:hint="eastAsia" w:hAnsi="宋体"/>
          <w:color w:val="auto"/>
        </w:rPr>
        <w:t>说明：</w:t>
      </w:r>
    </w:p>
    <w:p w14:paraId="5CBAA18A">
      <w:pPr>
        <w:pStyle w:val="69"/>
        <w:numPr>
          <w:ilvl w:val="0"/>
          <w:numId w:val="26"/>
        </w:numPr>
        <w:tabs>
          <w:tab w:val="left" w:pos="771"/>
        </w:tabs>
        <w:kinsoku w:val="0"/>
        <w:overflowPunct w:val="0"/>
        <w:spacing w:before="158" w:line="364" w:lineRule="auto"/>
        <w:ind w:right="570" w:firstLine="0"/>
        <w:rPr>
          <w:rFonts w:hAnsi="宋体"/>
          <w:color w:val="auto"/>
        </w:rPr>
      </w:pPr>
      <w:r>
        <w:rPr>
          <w:rFonts w:hint="eastAsia" w:hAnsi="宋体"/>
          <w:color w:val="auto"/>
          <w:spacing w:val="-2"/>
        </w:rPr>
        <w:t>若供应商为事业单位或其他组织或分支机构，则法定代表人</w:t>
      </w:r>
      <w:r>
        <w:rPr>
          <w:rFonts w:hint="eastAsia" w:hAnsi="宋体"/>
          <w:color w:val="auto"/>
        </w:rPr>
        <w:t>（单位负责人</w:t>
      </w:r>
      <w:r>
        <w:rPr>
          <w:rFonts w:hint="eastAsia" w:hAnsi="宋体"/>
          <w:color w:val="auto"/>
          <w:spacing w:val="-12"/>
        </w:rPr>
        <w:t>）</w:t>
      </w:r>
      <w:r>
        <w:rPr>
          <w:rFonts w:hint="eastAsia" w:hAnsi="宋体"/>
          <w:color w:val="auto"/>
          <w:spacing w:val="-4"/>
        </w:rPr>
        <w:t>处的签署</w:t>
      </w:r>
      <w:r>
        <w:rPr>
          <w:rFonts w:hint="eastAsia" w:hAnsi="宋体"/>
          <w:color w:val="auto"/>
        </w:rPr>
        <w:t>人可为单位负责人。</w:t>
      </w:r>
    </w:p>
    <w:p w14:paraId="5597B00B">
      <w:pPr>
        <w:pStyle w:val="69"/>
        <w:numPr>
          <w:ilvl w:val="0"/>
          <w:numId w:val="26"/>
        </w:numPr>
        <w:tabs>
          <w:tab w:val="left" w:pos="771"/>
        </w:tabs>
        <w:kinsoku w:val="0"/>
        <w:overflowPunct w:val="0"/>
        <w:spacing w:line="364" w:lineRule="auto"/>
        <w:ind w:right="570" w:firstLine="0"/>
        <w:jc w:val="both"/>
        <w:rPr>
          <w:rFonts w:hAnsi="宋体"/>
          <w:color w:val="auto"/>
          <w:spacing w:val="-20"/>
        </w:rPr>
      </w:pPr>
      <w:r>
        <w:rPr>
          <w:rFonts w:hint="eastAsia" w:hAnsi="宋体"/>
          <w:color w:val="auto"/>
          <w:spacing w:val="-1"/>
        </w:rPr>
        <w:t>若响应文件中签字之处均为法定代表人</w:t>
      </w:r>
      <w:r>
        <w:rPr>
          <w:rFonts w:hint="eastAsia" w:hAnsi="宋体"/>
          <w:color w:val="auto"/>
        </w:rPr>
        <w:t>（单位负责人</w:t>
      </w:r>
      <w:r>
        <w:rPr>
          <w:rFonts w:hint="eastAsia" w:hAnsi="宋体"/>
          <w:color w:val="auto"/>
          <w:spacing w:val="-10"/>
        </w:rPr>
        <w:t>）</w:t>
      </w:r>
      <w:r>
        <w:rPr>
          <w:rFonts w:hint="eastAsia" w:hAnsi="宋体"/>
          <w:color w:val="auto"/>
          <w:spacing w:val="-4"/>
        </w:rPr>
        <w:t>本人签署，则可不提供本《授</w:t>
      </w:r>
      <w:r>
        <w:rPr>
          <w:rFonts w:hint="eastAsia" w:hAnsi="宋体"/>
          <w:color w:val="auto"/>
          <w:spacing w:val="-13"/>
        </w:rPr>
        <w:t>权委托书》，但须提供《法定代表人</w:t>
      </w:r>
      <w:r>
        <w:rPr>
          <w:rFonts w:hint="eastAsia" w:hAnsi="宋体"/>
          <w:color w:val="auto"/>
        </w:rPr>
        <w:t>（单位负责人</w:t>
      </w:r>
      <w:r>
        <w:rPr>
          <w:rFonts w:hint="eastAsia" w:hAnsi="宋体"/>
          <w:color w:val="auto"/>
          <w:spacing w:val="-8"/>
        </w:rPr>
        <w:t>）</w:t>
      </w:r>
      <w:r>
        <w:rPr>
          <w:rFonts w:hint="eastAsia" w:hAnsi="宋体"/>
          <w:color w:val="auto"/>
          <w:spacing w:val="-12"/>
        </w:rPr>
        <w:t>身份证明》；否则，不需要提供《法</w:t>
      </w:r>
      <w:r>
        <w:rPr>
          <w:rFonts w:hint="eastAsia" w:hAnsi="宋体"/>
          <w:color w:val="auto"/>
        </w:rPr>
        <w:t>定代表人（单位负责人）</w:t>
      </w:r>
      <w:r>
        <w:rPr>
          <w:rFonts w:hint="eastAsia" w:hAnsi="宋体"/>
          <w:color w:val="auto"/>
          <w:spacing w:val="-20"/>
        </w:rPr>
        <w:t>身份证明》。</w:t>
      </w:r>
    </w:p>
    <w:p w14:paraId="1FB994BD">
      <w:pPr>
        <w:pStyle w:val="69"/>
        <w:numPr>
          <w:ilvl w:val="0"/>
          <w:numId w:val="26"/>
        </w:numPr>
        <w:tabs>
          <w:tab w:val="left" w:pos="771"/>
        </w:tabs>
        <w:kinsoku w:val="0"/>
        <w:overflowPunct w:val="0"/>
        <w:spacing w:line="307" w:lineRule="exact"/>
        <w:ind w:left="770" w:hanging="230"/>
        <w:rPr>
          <w:rFonts w:hAnsi="宋体"/>
          <w:color w:val="auto"/>
          <w:spacing w:val="-6"/>
        </w:rPr>
      </w:pPr>
      <w:r>
        <w:rPr>
          <w:rFonts w:hint="eastAsia" w:hAnsi="宋体"/>
          <w:color w:val="auto"/>
          <w:spacing w:val="-6"/>
        </w:rPr>
        <w:t>供应商为自然人的情形，可不提供本《授权委托书》。</w:t>
      </w:r>
    </w:p>
    <w:p w14:paraId="217666DC">
      <w:pPr>
        <w:pStyle w:val="69"/>
        <w:numPr>
          <w:ilvl w:val="0"/>
          <w:numId w:val="26"/>
        </w:numPr>
        <w:tabs>
          <w:tab w:val="left" w:pos="771"/>
        </w:tabs>
        <w:kinsoku w:val="0"/>
        <w:overflowPunct w:val="0"/>
        <w:spacing w:before="159" w:line="364" w:lineRule="auto"/>
        <w:ind w:right="570" w:firstLine="0"/>
        <w:jc w:val="both"/>
        <w:rPr>
          <w:rFonts w:hAnsi="宋体"/>
          <w:color w:val="auto"/>
        </w:rPr>
      </w:pPr>
      <w:r>
        <w:rPr>
          <w:rFonts w:hint="eastAsia" w:hAnsi="宋体"/>
          <w:color w:val="auto"/>
          <w:spacing w:val="-4"/>
        </w:rPr>
        <w:t>供应商应随本《授权委托书》同时提供法定代表人</w:t>
      </w:r>
      <w:r>
        <w:rPr>
          <w:rFonts w:hint="eastAsia" w:hAnsi="宋体"/>
          <w:color w:val="auto"/>
        </w:rPr>
        <w:t>（单位负责人</w:t>
      </w:r>
      <w:r>
        <w:rPr>
          <w:rFonts w:hint="eastAsia" w:hAnsi="宋体"/>
          <w:color w:val="auto"/>
          <w:spacing w:val="-7"/>
        </w:rPr>
        <w:t>）</w:t>
      </w:r>
      <w:r>
        <w:rPr>
          <w:rFonts w:hint="eastAsia" w:hAnsi="宋体"/>
          <w:color w:val="auto"/>
          <w:spacing w:val="-2"/>
        </w:rPr>
        <w:t>及委托代理人的有</w:t>
      </w:r>
      <w:r>
        <w:rPr>
          <w:rFonts w:hint="eastAsia" w:hAnsi="宋体"/>
          <w:color w:val="auto"/>
          <w:spacing w:val="-6"/>
        </w:rPr>
        <w:t>效的身份证、护照等身份证明文件复印件。提供身份证的，应同时提供身份证双面复印</w:t>
      </w:r>
      <w:r>
        <w:rPr>
          <w:rFonts w:hint="eastAsia" w:hAnsi="宋体"/>
          <w:color w:val="auto"/>
        </w:rPr>
        <w:t>件。</w:t>
      </w:r>
    </w:p>
    <w:p w14:paraId="4B78223B">
      <w:pPr>
        <w:pStyle w:val="69"/>
        <w:numPr>
          <w:ilvl w:val="0"/>
          <w:numId w:val="26"/>
        </w:numPr>
        <w:tabs>
          <w:tab w:val="left" w:pos="771"/>
        </w:tabs>
        <w:kinsoku w:val="0"/>
        <w:overflowPunct w:val="0"/>
        <w:spacing w:before="159" w:line="364" w:lineRule="auto"/>
        <w:ind w:right="570" w:firstLine="0"/>
        <w:jc w:val="both"/>
        <w:rPr>
          <w:rFonts w:hAnsi="宋体"/>
          <w:color w:val="auto"/>
        </w:rPr>
        <w:sectPr>
          <w:type w:val="continuous"/>
          <w:pgSz w:w="11910" w:h="16840"/>
          <w:pgMar w:top="1380" w:right="560" w:bottom="280" w:left="1160" w:header="720" w:footer="720" w:gutter="0"/>
          <w:pgNumType w:fmt="decimal"/>
          <w:cols w:equalWidth="0" w:num="1">
            <w:col w:w="10190"/>
          </w:cols>
        </w:sectPr>
      </w:pPr>
    </w:p>
    <w:p w14:paraId="2775FC0D">
      <w:pPr>
        <w:pStyle w:val="2"/>
        <w:kinsoku w:val="0"/>
        <w:overflowPunct w:val="0"/>
        <w:ind w:right="26"/>
        <w:rPr>
          <w:rFonts w:hAnsi="宋体"/>
          <w:color w:val="auto"/>
        </w:rPr>
      </w:pPr>
      <w:bookmarkStart w:id="86" w:name="_Toc149147581"/>
      <w:bookmarkStart w:id="87" w:name="_Toc149147736"/>
      <w:r>
        <w:rPr>
          <w:rFonts w:hint="eastAsia" w:hAnsi="宋体"/>
          <w:color w:val="auto"/>
        </w:rPr>
        <w:t>法定代表人（单位负责人）身份证明</w:t>
      </w:r>
      <w:bookmarkEnd w:id="86"/>
      <w:bookmarkEnd w:id="87"/>
    </w:p>
    <w:p w14:paraId="03508CDF">
      <w:pPr>
        <w:pStyle w:val="17"/>
        <w:tabs>
          <w:tab w:val="left" w:pos="1501"/>
        </w:tabs>
        <w:kinsoku w:val="0"/>
        <w:overflowPunct w:val="0"/>
        <w:spacing w:before="136" w:line="610" w:lineRule="atLeast"/>
        <w:ind w:left="1021" w:right="5803" w:hanging="480"/>
        <w:rPr>
          <w:rFonts w:hAnsi="宋体"/>
          <w:color w:val="auto"/>
        </w:rPr>
      </w:pPr>
      <w:r>
        <w:rPr>
          <w:rFonts w:hint="eastAsia" w:hAnsi="宋体"/>
          <w:color w:val="auto"/>
          <w:spacing w:val="-1"/>
        </w:rPr>
        <w:t>致</w:t>
      </w:r>
      <w:r>
        <w:rPr>
          <w:rFonts w:hint="eastAsia" w:hAnsi="宋体"/>
          <w:color w:val="auto"/>
        </w:rPr>
        <w:t>：</w:t>
      </w:r>
      <w:r>
        <w:rPr>
          <w:rFonts w:hAnsi="宋体"/>
          <w:color w:val="auto"/>
          <w:u w:val="single" w:color="000000"/>
        </w:rPr>
        <w:t xml:space="preserve"> </w:t>
      </w:r>
      <w:r>
        <w:rPr>
          <w:rFonts w:hAnsi="宋体"/>
          <w:color w:val="auto"/>
          <w:u w:val="single" w:color="000000"/>
        </w:rPr>
        <w:tab/>
      </w:r>
      <w:r>
        <w:rPr>
          <w:rFonts w:hint="eastAsia" w:hAnsi="宋体"/>
          <w:color w:val="auto"/>
        </w:rPr>
        <w:t>（采购人或采购代理机构</w:t>
      </w:r>
      <w:r>
        <w:rPr>
          <w:rFonts w:hint="eastAsia" w:hAnsi="宋体"/>
          <w:color w:val="auto"/>
          <w:spacing w:val="-17"/>
        </w:rPr>
        <w:t>）</w:t>
      </w:r>
      <w:r>
        <w:rPr>
          <w:rFonts w:hAnsi="宋体"/>
          <w:color w:val="auto"/>
          <w:spacing w:val="-17"/>
        </w:rPr>
        <w:t xml:space="preserve"> </w:t>
      </w:r>
      <w:r>
        <w:rPr>
          <w:rFonts w:hint="eastAsia" w:hAnsi="宋体"/>
          <w:color w:val="auto"/>
        </w:rPr>
        <w:t>兹证明，</w:t>
      </w:r>
    </w:p>
    <w:p w14:paraId="10699673">
      <w:pPr>
        <w:pStyle w:val="17"/>
        <w:tabs>
          <w:tab w:val="left" w:pos="1741"/>
          <w:tab w:val="left" w:pos="2941"/>
          <w:tab w:val="left" w:pos="4141"/>
          <w:tab w:val="left" w:pos="5394"/>
        </w:tabs>
        <w:kinsoku w:val="0"/>
        <w:overflowPunct w:val="0"/>
        <w:spacing w:before="153"/>
        <w:ind w:left="541"/>
        <w:rPr>
          <w:rFonts w:hAnsi="宋体" w:cs="Times New Roman"/>
          <w:color w:val="auto"/>
        </w:rPr>
      </w:pPr>
      <w:r>
        <w:rPr>
          <w:rFonts w:hint="eastAsia" w:hAnsi="宋体"/>
          <w:color w:val="auto"/>
        </w:rPr>
        <w:t>姓名：</w:t>
      </w:r>
      <w:r>
        <w:rPr>
          <w:rFonts w:hAnsi="宋体"/>
          <w:color w:val="auto"/>
          <w:u w:val="single" w:color="000000"/>
        </w:rPr>
        <w:t xml:space="preserve"> </w:t>
      </w:r>
      <w:r>
        <w:rPr>
          <w:rFonts w:hAnsi="宋体"/>
          <w:color w:val="auto"/>
          <w:u w:val="single" w:color="000000"/>
        </w:rPr>
        <w:tab/>
      </w:r>
      <w:r>
        <w:rPr>
          <w:rFonts w:hint="eastAsia" w:hAnsi="宋体"/>
          <w:color w:val="auto"/>
        </w:rPr>
        <w:t>性别：</w:t>
      </w:r>
      <w:r>
        <w:rPr>
          <w:rFonts w:hAnsi="宋体"/>
          <w:color w:val="auto"/>
          <w:u w:val="single" w:color="000000"/>
        </w:rPr>
        <w:t xml:space="preserve"> </w:t>
      </w:r>
      <w:r>
        <w:rPr>
          <w:rFonts w:hAnsi="宋体"/>
          <w:color w:val="auto"/>
          <w:u w:val="single" w:color="000000"/>
        </w:rPr>
        <w:tab/>
      </w:r>
      <w:r>
        <w:rPr>
          <w:rFonts w:hint="eastAsia" w:hAnsi="宋体"/>
          <w:color w:val="auto"/>
        </w:rPr>
        <w:t>年龄：</w:t>
      </w:r>
      <w:r>
        <w:rPr>
          <w:rFonts w:hAnsi="宋体"/>
          <w:color w:val="auto"/>
          <w:u w:val="single" w:color="000000"/>
        </w:rPr>
        <w:t xml:space="preserve"> </w:t>
      </w:r>
      <w:r>
        <w:rPr>
          <w:rFonts w:hAnsi="宋体"/>
          <w:color w:val="auto"/>
          <w:u w:val="single" w:color="000000"/>
        </w:rPr>
        <w:tab/>
      </w:r>
      <w:r>
        <w:rPr>
          <w:rFonts w:hint="eastAsia" w:hAnsi="宋体"/>
          <w:color w:val="auto"/>
          <w:spacing w:val="-1"/>
        </w:rPr>
        <w:t>职</w:t>
      </w:r>
      <w:r>
        <w:rPr>
          <w:rFonts w:hint="eastAsia" w:hAnsi="宋体"/>
          <w:color w:val="auto"/>
        </w:rPr>
        <w:t>务：</w:t>
      </w:r>
      <w:r>
        <w:rPr>
          <w:rFonts w:hAnsi="宋体" w:cs="Times New Roman"/>
          <w:color w:val="auto"/>
          <w:u w:val="single" w:color="000000"/>
        </w:rPr>
        <w:t xml:space="preserve"> </w:t>
      </w:r>
      <w:r>
        <w:rPr>
          <w:rFonts w:hAnsi="宋体" w:cs="Times New Roman"/>
          <w:color w:val="auto"/>
          <w:u w:val="single" w:color="000000"/>
        </w:rPr>
        <w:tab/>
      </w:r>
    </w:p>
    <w:p w14:paraId="670204B7">
      <w:pPr>
        <w:pStyle w:val="17"/>
        <w:kinsoku w:val="0"/>
        <w:overflowPunct w:val="0"/>
        <w:rPr>
          <w:rFonts w:hAnsi="宋体" w:cs="Times New Roman"/>
          <w:color w:val="auto"/>
          <w:sz w:val="20"/>
          <w:szCs w:val="20"/>
        </w:rPr>
      </w:pPr>
    </w:p>
    <w:p w14:paraId="1FFFCD56">
      <w:pPr>
        <w:pStyle w:val="17"/>
        <w:kinsoku w:val="0"/>
        <w:overflowPunct w:val="0"/>
        <w:spacing w:before="10"/>
        <w:rPr>
          <w:rFonts w:hAnsi="宋体" w:cs="Times New Roman"/>
          <w:color w:val="auto"/>
          <w:sz w:val="25"/>
          <w:szCs w:val="25"/>
        </w:rPr>
      </w:pPr>
    </w:p>
    <w:p w14:paraId="6A6B0E4B">
      <w:pPr>
        <w:pStyle w:val="17"/>
        <w:tabs>
          <w:tab w:val="left" w:pos="1981"/>
        </w:tabs>
        <w:kinsoku w:val="0"/>
        <w:overflowPunct w:val="0"/>
        <w:spacing w:before="74"/>
        <w:ind w:left="541"/>
        <w:rPr>
          <w:rFonts w:hAnsi="宋体"/>
          <w:color w:val="auto"/>
        </w:rPr>
      </w:pPr>
      <w:r>
        <w:rPr>
          <w:rFonts w:hint="eastAsia" w:hAnsi="宋体"/>
          <w:color w:val="auto"/>
        </w:rPr>
        <w:t>系</w:t>
      </w:r>
      <w:r>
        <w:rPr>
          <w:rFonts w:hAnsi="宋体"/>
          <w:color w:val="auto"/>
          <w:u w:val="single" w:color="000000"/>
        </w:rPr>
        <w:t xml:space="preserve"> </w:t>
      </w:r>
      <w:r>
        <w:rPr>
          <w:rFonts w:hAnsi="宋体"/>
          <w:color w:val="auto"/>
          <w:u w:val="single" w:color="000000"/>
        </w:rPr>
        <w:tab/>
      </w:r>
      <w:r>
        <w:rPr>
          <w:rFonts w:hint="eastAsia" w:hAnsi="宋体"/>
          <w:color w:val="auto"/>
        </w:rPr>
        <w:t>（供应商名称）的法定代表人（单位负责人</w:t>
      </w:r>
      <w:r>
        <w:rPr>
          <w:rFonts w:hint="eastAsia" w:hAnsi="宋体"/>
          <w:color w:val="auto"/>
          <w:spacing w:val="-120"/>
        </w:rPr>
        <w:t>）</w:t>
      </w:r>
      <w:r>
        <w:rPr>
          <w:rFonts w:hint="eastAsia" w:hAnsi="宋体"/>
          <w:color w:val="auto"/>
        </w:rPr>
        <w:t>。</w:t>
      </w:r>
    </w:p>
    <w:p w14:paraId="5E9C8313">
      <w:pPr>
        <w:pStyle w:val="17"/>
        <w:kinsoku w:val="0"/>
        <w:overflowPunct w:val="0"/>
        <w:rPr>
          <w:rFonts w:hAnsi="宋体"/>
          <w:color w:val="auto"/>
          <w:sz w:val="26"/>
          <w:szCs w:val="26"/>
        </w:rPr>
      </w:pPr>
    </w:p>
    <w:p w14:paraId="18E2E442">
      <w:pPr>
        <w:pStyle w:val="17"/>
        <w:kinsoku w:val="0"/>
        <w:overflowPunct w:val="0"/>
        <w:rPr>
          <w:rFonts w:hAnsi="宋体"/>
          <w:color w:val="auto"/>
          <w:sz w:val="26"/>
          <w:szCs w:val="26"/>
        </w:rPr>
      </w:pPr>
    </w:p>
    <w:p w14:paraId="01526098">
      <w:pPr>
        <w:pStyle w:val="17"/>
        <w:kinsoku w:val="0"/>
        <w:overflowPunct w:val="0"/>
        <w:spacing w:before="4"/>
        <w:rPr>
          <w:rFonts w:hAnsi="宋体"/>
          <w:color w:val="auto"/>
          <w:sz w:val="28"/>
          <w:szCs w:val="28"/>
        </w:rPr>
      </w:pPr>
    </w:p>
    <w:p w14:paraId="52A788F1">
      <w:pPr>
        <w:pStyle w:val="17"/>
        <w:kinsoku w:val="0"/>
        <w:overflowPunct w:val="0"/>
        <w:spacing w:before="1"/>
        <w:ind w:left="541"/>
        <w:rPr>
          <w:rFonts w:hAnsi="宋体"/>
          <w:color w:val="auto"/>
        </w:rPr>
      </w:pPr>
      <w:r>
        <w:rPr>
          <w:rFonts w:hint="eastAsia" w:hAnsi="宋体"/>
          <w:color w:val="auto"/>
        </w:rPr>
        <w:t>附：法定代表人（单位负责人）身份证、护照等身份证明文件</w:t>
      </w:r>
      <w:r>
        <w:rPr>
          <w:rFonts w:hint="eastAsia" w:hAnsi="宋体"/>
          <w:color w:val="auto"/>
          <w:lang w:val="en-US" w:eastAsia="zh-CN"/>
        </w:rPr>
        <w:t>电子件</w:t>
      </w:r>
      <w:r>
        <w:rPr>
          <w:rFonts w:hint="eastAsia" w:hAnsi="宋体"/>
          <w:color w:val="auto"/>
        </w:rPr>
        <w:t>：</w:t>
      </w:r>
    </w:p>
    <w:p w14:paraId="7904E47B">
      <w:pPr>
        <w:pStyle w:val="17"/>
        <w:kinsoku w:val="0"/>
        <w:overflowPunct w:val="0"/>
        <w:rPr>
          <w:rFonts w:hAnsi="宋体"/>
          <w:color w:val="auto"/>
          <w:sz w:val="20"/>
          <w:szCs w:val="20"/>
        </w:rPr>
      </w:pPr>
    </w:p>
    <w:p w14:paraId="1D636E4B">
      <w:pPr>
        <w:pStyle w:val="17"/>
        <w:kinsoku w:val="0"/>
        <w:overflowPunct w:val="0"/>
        <w:spacing w:before="4"/>
        <w:rPr>
          <w:rFonts w:hAnsi="宋体"/>
          <w:color w:val="auto"/>
          <w:sz w:val="11"/>
          <w:szCs w:val="11"/>
        </w:rPr>
      </w:pPr>
      <w:r>
        <w:rPr>
          <w:rFonts w:hAnsi="宋体"/>
          <w:color w:val="auto"/>
        </w:rPr>
        <mc:AlternateContent>
          <mc:Choice Requires="wpg">
            <w:drawing>
              <wp:anchor distT="0" distB="0" distL="0" distR="0" simplePos="0" relativeHeight="251669504" behindDoc="0" locked="0" layoutInCell="0" allowOverlap="1">
                <wp:simplePos x="0" y="0"/>
                <wp:positionH relativeFrom="page">
                  <wp:posOffset>1008380</wp:posOffset>
                </wp:positionH>
                <wp:positionV relativeFrom="paragraph">
                  <wp:posOffset>120015</wp:posOffset>
                </wp:positionV>
                <wp:extent cx="5761355" cy="1452245"/>
                <wp:effectExtent l="0" t="0" r="0" b="0"/>
                <wp:wrapTopAndBottom/>
                <wp:docPr id="217483656" name="Group 22"/>
                <wp:cNvGraphicFramePr/>
                <a:graphic xmlns:a="http://schemas.openxmlformats.org/drawingml/2006/main">
                  <a:graphicData uri="http://schemas.microsoft.com/office/word/2010/wordprocessingGroup">
                    <wpg:wgp>
                      <wpg:cNvGrpSpPr/>
                      <wpg:grpSpPr>
                        <a:xfrm>
                          <a:off x="0" y="0"/>
                          <a:ext cx="5761355" cy="1452245"/>
                          <a:chOff x="1588" y="189"/>
                          <a:chExt cx="9073" cy="2287"/>
                        </a:xfrm>
                      </wpg:grpSpPr>
                      <wps:wsp>
                        <wps:cNvPr id="2111798096" name="Freeform 23"/>
                        <wps:cNvSpPr/>
                        <wps:spPr bwMode="auto">
                          <a:xfrm>
                            <a:off x="1588" y="194"/>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236098281" name="Freeform 24"/>
                        <wps:cNvSpPr/>
                        <wps:spPr bwMode="auto">
                          <a:xfrm>
                            <a:off x="1588" y="2471"/>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1188367023" name="Freeform 25"/>
                        <wps:cNvSpPr/>
                        <wps:spPr bwMode="auto">
                          <a:xfrm>
                            <a:off x="1592" y="189"/>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s:wsp>
                        <wps:cNvPr id="999961357" name="Freeform 26"/>
                        <wps:cNvSpPr/>
                        <wps:spPr bwMode="auto">
                          <a:xfrm>
                            <a:off x="10654" y="189"/>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2" o:spid="_x0000_s1026" o:spt="203" style="position:absolute;left:0pt;margin-left:79.4pt;margin-top:9.45pt;height:114.35pt;width:453.65pt;mso-position-horizontal-relative:page;mso-wrap-distance-bottom:0pt;mso-wrap-distance-top:0pt;z-index:251669504;mso-width-relative:page;mso-height-relative:page;" coordorigin="1588,189" coordsize="9073,2287" o:allowincell="f" o:gfxdata="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">
                <o:lock v:ext="edit" aspectratio="f"/>
                <v:shape id="Freeform 23" o:spid="_x0000_s1026" o:spt="100" style="position:absolute;left:1588;top:194;height:20;width:9073;" filled="f" stroked="t" coordsize="9073,20" o:gfxdata="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5yV&#10;f8EAAADjAAAADwAAAAAAAAABACAAAAAiAAAAZHJzL2Rvd25yZXYueG1sUEsBAhQAFAAAAAgAh07i&#10;QDMvBZ47AAAAOQAAABAAAAAAAAAAAQAgAAAAEAEAAGRycy9zaGFwZXhtbC54bWxQSwUGAAAAAAYA&#10;BgBbAQAAugMAAAAA&#10;" path="m0,0l9072,0e">
                  <v:path o:connectlocs="0,0;9072,0" o:connectangles="0,0"/>
                  <v:fill on="f" focussize="0,0"/>
                  <v:stroke weight="0.48pt" color="#000000" joinstyle="round"/>
                  <v:imagedata o:title=""/>
                  <o:lock v:ext="edit" aspectratio="f"/>
                </v:shape>
                <v:shape id="Freeform 24" o:spid="_x0000_s1026" o:spt="100" style="position:absolute;left:1588;top:2471;height:20;width:9073;" filled="f" stroked="t" coordsize="9073,20" o:gfxdata="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IU1&#10;IcEAAADiAAAADwAAAAAAAAABACAAAAAiAAAAZHJzL2Rvd25yZXYueG1sUEsBAhQAFAAAAAgAh07i&#10;QDMvBZ47AAAAOQAAABAAAAAAAAAAAQAgAAAAEAEAAGRycy9zaGFwZXhtbC54bWxQSwUGAAAAAAYA&#10;BgBbAQAAugMAAAAA&#10;" path="m0,0l9072,0e">
                  <v:path o:connectlocs="0,0;9072,0" o:connectangles="0,0"/>
                  <v:fill on="f" focussize="0,0"/>
                  <v:stroke weight="0.48pt" color="#000000" joinstyle="round"/>
                  <v:imagedata o:title=""/>
                  <o:lock v:ext="edit" aspectratio="f"/>
                </v:shape>
                <v:shape id="Freeform 25" o:spid="_x0000_s1026" o:spt="100" style="position:absolute;left:1592;top:189;height:2278;width:20;" filled="f" stroked="t" coordsize="20,2278" o:gfxdata="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RI&#10;J4DCAAAA4wAAAA8AAAAAAAAAAQAgAAAAIgAAAGRycy9kb3ducmV2LnhtbFBLAQIUABQAAAAIAIdO&#10;4kAzLwWeOwAAADkAAAAQAAAAAAAAAAEAIAAAABEBAABkcnMvc2hhcGV4bWwueG1sUEsFBgAAAAAG&#10;AAYAWwEAALsDAAAAAA==&#10;" path="m0,0l0,2277e">
                  <v:path o:connectlocs="0,0;0,2277" o:connectangles="0,0"/>
                  <v:fill on="f" focussize="0,0"/>
                  <v:stroke weight="0.48pt" color="#000000" joinstyle="round"/>
                  <v:imagedata o:title=""/>
                  <o:lock v:ext="edit" aspectratio="f"/>
                </v:shape>
                <v:shape id="Freeform 26" o:spid="_x0000_s1026" o:spt="100" style="position:absolute;left:10654;top:189;height:2278;width:20;" filled="f" stroked="t" coordsize="20,2278" o:gfxdata="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wRX&#10;acEAAADiAAAADwAAAAAAAAABACAAAAAiAAAAZHJzL2Rvd25yZXYueG1sUEsBAhQAFAAAAAgAh07i&#10;QDMvBZ47AAAAOQAAABAAAAAAAAAAAQAgAAAAEAEAAGRycy9zaGFwZXhtbC54bWxQSwUGAAAAAAYA&#10;BgBbAQAAugMAAAAA&#10;" path="m0,0l0,2277e">
                  <v:path o:connectlocs="0,0;0,2277" o:connectangles="0,0"/>
                  <v:fill on="f" focussize="0,0"/>
                  <v:stroke weight="0.48pt" color="#000000" joinstyle="round"/>
                  <v:imagedata o:title=""/>
                  <o:lock v:ext="edit" aspectratio="f"/>
                </v:shape>
                <w10:wrap type="topAndBottom"/>
              </v:group>
            </w:pict>
          </mc:Fallback>
        </mc:AlternateContent>
      </w:r>
    </w:p>
    <w:p w14:paraId="335E0BF9">
      <w:pPr>
        <w:pStyle w:val="17"/>
        <w:kinsoku w:val="0"/>
        <w:overflowPunct w:val="0"/>
        <w:rPr>
          <w:rFonts w:hAnsi="宋体"/>
          <w:color w:val="auto"/>
          <w:sz w:val="20"/>
          <w:szCs w:val="20"/>
        </w:rPr>
      </w:pPr>
    </w:p>
    <w:p w14:paraId="1897EE40">
      <w:pPr>
        <w:pStyle w:val="17"/>
        <w:kinsoku w:val="0"/>
        <w:overflowPunct w:val="0"/>
        <w:rPr>
          <w:rFonts w:hAnsi="宋体"/>
          <w:color w:val="auto"/>
          <w:sz w:val="20"/>
          <w:szCs w:val="20"/>
        </w:rPr>
      </w:pPr>
    </w:p>
    <w:p w14:paraId="1D45B935">
      <w:pPr>
        <w:pStyle w:val="17"/>
        <w:kinsoku w:val="0"/>
        <w:overflowPunct w:val="0"/>
        <w:spacing w:before="4"/>
        <w:rPr>
          <w:rFonts w:hAnsi="宋体"/>
          <w:color w:val="auto"/>
          <w:sz w:val="20"/>
          <w:szCs w:val="20"/>
        </w:rPr>
      </w:pPr>
    </w:p>
    <w:p w14:paraId="5878B3AB">
      <w:pPr>
        <w:pStyle w:val="17"/>
        <w:tabs>
          <w:tab w:val="left" w:pos="4074"/>
        </w:tabs>
        <w:kinsoku w:val="0"/>
        <w:overflowPunct w:val="0"/>
        <w:ind w:left="541"/>
        <w:rPr>
          <w:rFonts w:hAnsi="宋体" w:cs="Times New Roman"/>
          <w:color w:val="auto"/>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p>
    <w:p w14:paraId="5B4301B7">
      <w:pPr>
        <w:pStyle w:val="17"/>
        <w:tabs>
          <w:tab w:val="left" w:pos="1741"/>
          <w:tab w:val="left" w:pos="2461"/>
          <w:tab w:val="left" w:pos="3181"/>
          <w:tab w:val="left" w:pos="5806"/>
        </w:tabs>
        <w:kinsoku w:val="0"/>
        <w:overflowPunct w:val="0"/>
        <w:spacing w:before="158" w:line="364" w:lineRule="auto"/>
        <w:ind w:left="541" w:right="4378"/>
        <w:rPr>
          <w:rFonts w:hAnsi="宋体"/>
          <w:color w:val="auto"/>
        </w:rPr>
      </w:pPr>
      <w:r>
        <w:rPr>
          <w:rFonts w:hint="eastAsia" w:hAnsi="宋体"/>
          <w:color w:val="auto"/>
          <w:spacing w:val="-8"/>
        </w:rPr>
        <w:t>法</w:t>
      </w:r>
      <w:r>
        <w:rPr>
          <w:rFonts w:hint="eastAsia" w:hAnsi="宋体"/>
          <w:color w:val="auto"/>
          <w:spacing w:val="-5"/>
        </w:rPr>
        <w:t>定</w:t>
      </w:r>
      <w:r>
        <w:rPr>
          <w:rFonts w:hint="eastAsia" w:hAnsi="宋体"/>
          <w:color w:val="auto"/>
          <w:spacing w:val="-8"/>
        </w:rPr>
        <w:t>代</w:t>
      </w:r>
      <w:r>
        <w:rPr>
          <w:rFonts w:hint="eastAsia" w:hAnsi="宋体"/>
          <w:color w:val="auto"/>
          <w:spacing w:val="-5"/>
        </w:rPr>
        <w:t>表</w:t>
      </w:r>
      <w:r>
        <w:rPr>
          <w:rFonts w:hint="eastAsia" w:hAnsi="宋体"/>
          <w:color w:val="auto"/>
          <w:spacing w:val="-8"/>
        </w:rPr>
        <w:t>人</w:t>
      </w:r>
      <w:r>
        <w:rPr>
          <w:rFonts w:hint="eastAsia" w:hAnsi="宋体"/>
          <w:color w:val="auto"/>
          <w:spacing w:val="-5"/>
        </w:rPr>
        <w:t>（</w:t>
      </w:r>
      <w:r>
        <w:rPr>
          <w:rFonts w:hint="eastAsia" w:hAnsi="宋体"/>
          <w:color w:val="auto"/>
        </w:rPr>
        <w:t>单位负责人</w:t>
      </w:r>
      <w:r>
        <w:rPr>
          <w:rFonts w:hint="eastAsia" w:hAnsi="宋体"/>
          <w:color w:val="auto"/>
          <w:spacing w:val="-125"/>
        </w:rPr>
        <w:t>）</w:t>
      </w:r>
      <w:r>
        <w:rPr>
          <w:rFonts w:hint="eastAsia" w:hAnsi="宋体"/>
          <w:color w:val="auto"/>
          <w:spacing w:val="-8"/>
        </w:rPr>
        <w:t>（</w:t>
      </w:r>
      <w:r>
        <w:rPr>
          <w:rFonts w:hint="eastAsia" w:hAnsi="宋体"/>
          <w:color w:val="auto"/>
          <w:spacing w:val="-5"/>
        </w:rPr>
        <w:t>签字</w:t>
      </w:r>
      <w:r>
        <w:rPr>
          <w:rFonts w:hint="eastAsia" w:hAnsi="宋体"/>
          <w:color w:val="auto"/>
        </w:rPr>
        <w:t>或签章</w:t>
      </w:r>
      <w:r>
        <w:rPr>
          <w:rFonts w:hint="eastAsia" w:hAnsi="宋体"/>
          <w:color w:val="auto"/>
          <w:spacing w:val="-123"/>
        </w:rPr>
        <w:t>）</w:t>
      </w:r>
      <w:r>
        <w:rPr>
          <w:rFonts w:hint="eastAsia" w:hAnsi="宋体"/>
          <w:color w:val="auto"/>
          <w:spacing w:val="-9"/>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 xml:space="preserve"> </w:t>
      </w: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5D861BB1">
      <w:pPr>
        <w:pStyle w:val="17"/>
        <w:tabs>
          <w:tab w:val="left" w:pos="1741"/>
          <w:tab w:val="left" w:pos="2461"/>
          <w:tab w:val="left" w:pos="3181"/>
          <w:tab w:val="left" w:pos="5806"/>
        </w:tabs>
        <w:kinsoku w:val="0"/>
        <w:overflowPunct w:val="0"/>
        <w:spacing w:before="158" w:line="364" w:lineRule="auto"/>
        <w:ind w:left="541" w:right="4378"/>
        <w:rPr>
          <w:rFonts w:hAnsi="宋体"/>
          <w:color w:val="auto"/>
        </w:rPr>
        <w:sectPr>
          <w:pgSz w:w="11910" w:h="16840"/>
          <w:pgMar w:top="1340" w:right="560" w:bottom="1080" w:left="1160" w:header="879" w:footer="879" w:gutter="0"/>
          <w:pgNumType w:fmt="decimal"/>
          <w:cols w:space="720" w:num="1"/>
        </w:sectPr>
      </w:pPr>
    </w:p>
    <w:p w14:paraId="73C24267">
      <w:pPr>
        <w:pStyle w:val="69"/>
        <w:spacing w:line="360" w:lineRule="auto"/>
        <w:ind w:left="540" w:firstLine="0"/>
        <w:outlineLvl w:val="0"/>
        <w:rPr>
          <w:rFonts w:hAnsi="宋体"/>
          <w:color w:val="auto"/>
        </w:rPr>
      </w:pPr>
      <w:bookmarkStart w:id="88" w:name="_Toc149147582"/>
      <w:bookmarkStart w:id="89" w:name="_Toc149147737"/>
      <w:r>
        <w:rPr>
          <w:rFonts w:hint="eastAsia" w:hAnsi="宋体"/>
          <w:color w:val="auto"/>
          <w:lang w:val="en-US" w:eastAsia="zh-CN"/>
        </w:rPr>
        <w:t>6</w:t>
      </w:r>
      <w:r>
        <w:rPr>
          <w:rFonts w:hAnsi="宋体"/>
          <w:color w:val="auto"/>
        </w:rPr>
        <w:t xml:space="preserve"> </w:t>
      </w:r>
      <w:r>
        <w:rPr>
          <w:rFonts w:hint="eastAsia" w:hAnsi="宋体"/>
          <w:color w:val="auto"/>
        </w:rPr>
        <w:t>报价一览表</w:t>
      </w:r>
      <w:bookmarkEnd w:id="88"/>
      <w:bookmarkEnd w:id="89"/>
    </w:p>
    <w:p w14:paraId="63A652B4">
      <w:pPr>
        <w:pStyle w:val="17"/>
        <w:kinsoku w:val="0"/>
        <w:overflowPunct w:val="0"/>
        <w:spacing w:before="5"/>
        <w:rPr>
          <w:rFonts w:hAnsi="宋体"/>
          <w:color w:val="auto"/>
          <w:sz w:val="36"/>
          <w:szCs w:val="36"/>
        </w:rPr>
      </w:pPr>
    </w:p>
    <w:p w14:paraId="1AC62E2B">
      <w:pPr>
        <w:pStyle w:val="2"/>
        <w:kinsoku w:val="0"/>
        <w:overflowPunct w:val="0"/>
        <w:spacing w:before="0"/>
        <w:ind w:left="541"/>
        <w:rPr>
          <w:rFonts w:hAnsi="宋体"/>
          <w:color w:val="auto"/>
        </w:rPr>
      </w:pPr>
      <w:bookmarkStart w:id="90" w:name="_Toc149147738"/>
      <w:bookmarkStart w:id="91" w:name="_Toc149147583"/>
      <w:r>
        <w:rPr>
          <w:rFonts w:hint="eastAsia" w:hAnsi="宋体"/>
          <w:color w:val="auto"/>
        </w:rPr>
        <w:t>报价一览表</w:t>
      </w:r>
      <w:bookmarkEnd w:id="90"/>
      <w:bookmarkEnd w:id="91"/>
    </w:p>
    <w:p w14:paraId="35EE216B">
      <w:pPr>
        <w:rPr>
          <w:rFonts w:hAnsi="宋体"/>
          <w:color w:val="auto"/>
        </w:rPr>
      </w:pPr>
    </w:p>
    <w:p w14:paraId="3F2E8E62">
      <w:pPr>
        <w:pStyle w:val="17"/>
        <w:kinsoku w:val="0"/>
        <w:overflowPunct w:val="0"/>
        <w:spacing w:before="4"/>
        <w:rPr>
          <w:rFonts w:hAnsi="宋体"/>
          <w:color w:val="auto"/>
          <w:sz w:val="25"/>
          <w:szCs w:val="25"/>
        </w:rPr>
      </w:pPr>
    </w:p>
    <w:p w14:paraId="567D3280">
      <w:pPr>
        <w:pStyle w:val="17"/>
        <w:tabs>
          <w:tab w:val="left" w:pos="3354"/>
          <w:tab w:val="left" w:pos="3901"/>
          <w:tab w:val="left" w:pos="6474"/>
        </w:tabs>
        <w:kinsoku w:val="0"/>
        <w:overflowPunct w:val="0"/>
        <w:spacing w:before="158"/>
        <w:ind w:left="781"/>
        <w:rPr>
          <w:rFonts w:hAnsi="宋体" w:cs="Times New Roman"/>
          <w:color w:val="auto"/>
          <w:u w:val="single" w:color="000000"/>
        </w:rPr>
      </w:pPr>
      <w:r>
        <w:rPr>
          <w:rFonts w:hint="eastAsia" w:hAnsi="宋体"/>
          <w:color w:val="auto"/>
        </w:rPr>
        <w:t>项目编号：</w:t>
      </w:r>
      <w:r>
        <w:rPr>
          <w:rFonts w:hAnsi="宋体"/>
          <w:color w:val="auto"/>
          <w:u w:val="single" w:color="000000"/>
        </w:rPr>
        <w:t xml:space="preserve"> </w:t>
      </w:r>
      <w:r>
        <w:rPr>
          <w:rFonts w:hAnsi="宋体"/>
          <w:color w:val="auto"/>
          <w:u w:val="single" w:color="000000"/>
        </w:rPr>
        <w:tab/>
      </w:r>
      <w:r>
        <w:rPr>
          <w:rFonts w:hAnsi="宋体"/>
          <w:color w:val="auto"/>
        </w:rPr>
        <w:tab/>
      </w:r>
      <w:r>
        <w:rPr>
          <w:rFonts w:hint="eastAsia" w:hAnsi="宋体"/>
          <w:color w:val="auto"/>
          <w:spacing w:val="-1"/>
        </w:rPr>
        <w:t>项</w:t>
      </w:r>
      <w:r>
        <w:rPr>
          <w:rFonts w:hint="eastAsia" w:hAnsi="宋体"/>
          <w:color w:val="auto"/>
        </w:rPr>
        <w:t>目名称：</w:t>
      </w:r>
      <w:r>
        <w:rPr>
          <w:rFonts w:hAnsi="宋体" w:cs="Times New Roman"/>
          <w:color w:val="auto"/>
          <w:u w:val="single" w:color="000000"/>
        </w:rPr>
        <w:t xml:space="preserve"> </w:t>
      </w:r>
      <w:r>
        <w:rPr>
          <w:rFonts w:hAnsi="宋体" w:cs="Times New Roman"/>
          <w:color w:val="auto"/>
          <w:u w:val="single" w:color="000000"/>
        </w:rPr>
        <w:tab/>
      </w:r>
    </w:p>
    <w:p w14:paraId="4451F2D0">
      <w:pPr>
        <w:rPr>
          <w:color w:val="auto"/>
        </w:rPr>
      </w:pPr>
    </w:p>
    <w:tbl>
      <w:tblPr>
        <w:tblStyle w:val="43"/>
        <w:tblW w:w="9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9"/>
        <w:gridCol w:w="2667"/>
        <w:gridCol w:w="1899"/>
        <w:gridCol w:w="2453"/>
        <w:gridCol w:w="2322"/>
      </w:tblGrid>
      <w:tr w14:paraId="39173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49" w:type="dxa"/>
            <w:vMerge w:val="restart"/>
            <w:vAlign w:val="center"/>
          </w:tcPr>
          <w:p w14:paraId="15912190">
            <w:pPr>
              <w:tabs>
                <w:tab w:val="left" w:pos="5580"/>
              </w:tabs>
              <w:jc w:val="center"/>
              <w:rPr>
                <w:b/>
                <w:color w:val="auto"/>
                <w:sz w:val="24"/>
              </w:rPr>
            </w:pPr>
            <w:r>
              <w:rPr>
                <w:b/>
                <w:color w:val="auto"/>
                <w:sz w:val="24"/>
              </w:rPr>
              <w:t>序号</w:t>
            </w:r>
          </w:p>
        </w:tc>
        <w:tc>
          <w:tcPr>
            <w:tcW w:w="2667" w:type="dxa"/>
            <w:vMerge w:val="restart"/>
            <w:vAlign w:val="center"/>
          </w:tcPr>
          <w:p w14:paraId="702C7407">
            <w:pPr>
              <w:tabs>
                <w:tab w:val="left" w:pos="5580"/>
              </w:tabs>
              <w:jc w:val="center"/>
              <w:rPr>
                <w:b/>
                <w:color w:val="auto"/>
                <w:sz w:val="24"/>
              </w:rPr>
            </w:pPr>
            <w:r>
              <w:rPr>
                <w:rFonts w:hint="eastAsia"/>
                <w:b/>
                <w:color w:val="auto"/>
                <w:sz w:val="24"/>
              </w:rPr>
              <w:t>供应商</w:t>
            </w:r>
            <w:r>
              <w:rPr>
                <w:b/>
                <w:color w:val="auto"/>
                <w:sz w:val="24"/>
              </w:rPr>
              <w:t>名称</w:t>
            </w:r>
          </w:p>
        </w:tc>
        <w:tc>
          <w:tcPr>
            <w:tcW w:w="4352" w:type="dxa"/>
            <w:gridSpan w:val="2"/>
            <w:vAlign w:val="center"/>
          </w:tcPr>
          <w:p w14:paraId="68EB601B">
            <w:pPr>
              <w:tabs>
                <w:tab w:val="left" w:pos="5580"/>
              </w:tabs>
              <w:jc w:val="center"/>
              <w:rPr>
                <w:b/>
                <w:color w:val="auto"/>
                <w:sz w:val="24"/>
              </w:rPr>
            </w:pPr>
            <w:r>
              <w:rPr>
                <w:rFonts w:hint="eastAsia"/>
                <w:b/>
                <w:color w:val="auto"/>
                <w:sz w:val="24"/>
              </w:rPr>
              <w:t>磋商</w:t>
            </w:r>
            <w:r>
              <w:rPr>
                <w:b/>
                <w:color w:val="auto"/>
                <w:sz w:val="24"/>
              </w:rPr>
              <w:t>报价</w:t>
            </w:r>
          </w:p>
        </w:tc>
        <w:tc>
          <w:tcPr>
            <w:tcW w:w="2322" w:type="dxa"/>
            <w:vMerge w:val="restart"/>
            <w:vAlign w:val="center"/>
          </w:tcPr>
          <w:p w14:paraId="6A9ACFE0">
            <w:pPr>
              <w:tabs>
                <w:tab w:val="left" w:pos="5580"/>
              </w:tabs>
              <w:jc w:val="center"/>
              <w:rPr>
                <w:rFonts w:hint="eastAsia" w:eastAsia="宋体"/>
                <w:b/>
                <w:color w:val="auto"/>
                <w:sz w:val="24"/>
                <w:lang w:eastAsia="zh-CN"/>
              </w:rPr>
            </w:pPr>
            <w:r>
              <w:rPr>
                <w:rFonts w:hint="eastAsia"/>
                <w:b/>
                <w:color w:val="auto"/>
                <w:sz w:val="24"/>
                <w:lang w:eastAsia="zh-CN"/>
              </w:rPr>
              <w:t>合同履行期限</w:t>
            </w:r>
          </w:p>
        </w:tc>
      </w:tr>
      <w:tr w14:paraId="56171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549" w:type="dxa"/>
            <w:vMerge w:val="continue"/>
            <w:vAlign w:val="center"/>
          </w:tcPr>
          <w:p w14:paraId="4FAAA5C5">
            <w:pPr>
              <w:tabs>
                <w:tab w:val="left" w:pos="5580"/>
              </w:tabs>
              <w:jc w:val="center"/>
              <w:rPr>
                <w:color w:val="auto"/>
                <w:sz w:val="24"/>
              </w:rPr>
            </w:pPr>
          </w:p>
        </w:tc>
        <w:tc>
          <w:tcPr>
            <w:tcW w:w="2667" w:type="dxa"/>
            <w:vMerge w:val="continue"/>
            <w:vAlign w:val="center"/>
          </w:tcPr>
          <w:p w14:paraId="0FA00786">
            <w:pPr>
              <w:tabs>
                <w:tab w:val="left" w:pos="5580"/>
              </w:tabs>
              <w:jc w:val="center"/>
              <w:rPr>
                <w:color w:val="auto"/>
                <w:sz w:val="24"/>
              </w:rPr>
            </w:pPr>
          </w:p>
        </w:tc>
        <w:tc>
          <w:tcPr>
            <w:tcW w:w="1899" w:type="dxa"/>
            <w:vAlign w:val="center"/>
          </w:tcPr>
          <w:p w14:paraId="6D75DF52">
            <w:pPr>
              <w:tabs>
                <w:tab w:val="left" w:pos="5580"/>
              </w:tabs>
              <w:jc w:val="center"/>
              <w:rPr>
                <w:b/>
                <w:color w:val="auto"/>
                <w:sz w:val="24"/>
              </w:rPr>
            </w:pPr>
            <w:r>
              <w:rPr>
                <w:b/>
                <w:color w:val="auto"/>
                <w:sz w:val="24"/>
              </w:rPr>
              <w:t>大写</w:t>
            </w:r>
          </w:p>
        </w:tc>
        <w:tc>
          <w:tcPr>
            <w:tcW w:w="2453" w:type="dxa"/>
            <w:vAlign w:val="center"/>
          </w:tcPr>
          <w:p w14:paraId="10EA7603">
            <w:pPr>
              <w:tabs>
                <w:tab w:val="left" w:pos="5580"/>
              </w:tabs>
              <w:jc w:val="center"/>
              <w:rPr>
                <w:b/>
                <w:color w:val="auto"/>
                <w:sz w:val="24"/>
              </w:rPr>
            </w:pPr>
            <w:r>
              <w:rPr>
                <w:b/>
                <w:color w:val="auto"/>
                <w:sz w:val="24"/>
              </w:rPr>
              <w:t>小写</w:t>
            </w:r>
          </w:p>
        </w:tc>
        <w:tc>
          <w:tcPr>
            <w:tcW w:w="2322" w:type="dxa"/>
            <w:vMerge w:val="continue"/>
            <w:vAlign w:val="center"/>
          </w:tcPr>
          <w:p w14:paraId="00C915FA">
            <w:pPr>
              <w:tabs>
                <w:tab w:val="left" w:pos="5580"/>
              </w:tabs>
              <w:jc w:val="center"/>
              <w:rPr>
                <w:b/>
                <w:color w:val="auto"/>
                <w:sz w:val="24"/>
              </w:rPr>
            </w:pPr>
          </w:p>
        </w:tc>
      </w:tr>
      <w:tr w14:paraId="3C7B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49" w:type="dxa"/>
            <w:vAlign w:val="center"/>
          </w:tcPr>
          <w:p w14:paraId="35B5210D">
            <w:pPr>
              <w:tabs>
                <w:tab w:val="left" w:pos="5580"/>
              </w:tabs>
              <w:jc w:val="center"/>
              <w:rPr>
                <w:color w:val="auto"/>
                <w:sz w:val="24"/>
              </w:rPr>
            </w:pPr>
          </w:p>
        </w:tc>
        <w:tc>
          <w:tcPr>
            <w:tcW w:w="2667" w:type="dxa"/>
            <w:vAlign w:val="center"/>
          </w:tcPr>
          <w:p w14:paraId="4F404890">
            <w:pPr>
              <w:tabs>
                <w:tab w:val="left" w:pos="5580"/>
              </w:tabs>
              <w:jc w:val="center"/>
              <w:rPr>
                <w:color w:val="auto"/>
                <w:sz w:val="24"/>
              </w:rPr>
            </w:pPr>
          </w:p>
        </w:tc>
        <w:tc>
          <w:tcPr>
            <w:tcW w:w="1899" w:type="dxa"/>
            <w:vAlign w:val="center"/>
          </w:tcPr>
          <w:p w14:paraId="570B54D3">
            <w:pPr>
              <w:tabs>
                <w:tab w:val="left" w:pos="5580"/>
              </w:tabs>
              <w:jc w:val="center"/>
              <w:rPr>
                <w:color w:val="auto"/>
                <w:sz w:val="24"/>
              </w:rPr>
            </w:pPr>
          </w:p>
        </w:tc>
        <w:tc>
          <w:tcPr>
            <w:tcW w:w="2453" w:type="dxa"/>
            <w:vAlign w:val="center"/>
          </w:tcPr>
          <w:p w14:paraId="2DF32819">
            <w:pPr>
              <w:tabs>
                <w:tab w:val="left" w:pos="5580"/>
              </w:tabs>
              <w:jc w:val="center"/>
              <w:rPr>
                <w:color w:val="auto"/>
                <w:sz w:val="24"/>
              </w:rPr>
            </w:pPr>
          </w:p>
        </w:tc>
        <w:tc>
          <w:tcPr>
            <w:tcW w:w="2322" w:type="dxa"/>
            <w:vAlign w:val="center"/>
          </w:tcPr>
          <w:p w14:paraId="7B625579">
            <w:pPr>
              <w:tabs>
                <w:tab w:val="left" w:pos="5580"/>
              </w:tabs>
              <w:jc w:val="center"/>
              <w:rPr>
                <w:color w:val="auto"/>
                <w:sz w:val="24"/>
              </w:rPr>
            </w:pPr>
            <w:r>
              <w:rPr>
                <w:rFonts w:hint="eastAsia" w:hAnsi="宋体"/>
                <w:color w:val="auto"/>
                <w:highlight w:val="none"/>
                <w:lang w:eastAsia="zh-CN"/>
              </w:rPr>
              <w:t>自签订合同之日起</w:t>
            </w:r>
            <w:r>
              <w:rPr>
                <w:rFonts w:hint="eastAsia" w:hAnsi="宋体"/>
                <w:color w:val="auto"/>
                <w:highlight w:val="none"/>
                <w:u w:val="single"/>
                <w:lang w:val="en-US" w:eastAsia="zh-CN"/>
              </w:rPr>
              <w:t xml:space="preserve">  </w:t>
            </w:r>
            <w:r>
              <w:rPr>
                <w:rFonts w:hint="eastAsia" w:hAnsi="宋体"/>
                <w:color w:val="auto"/>
                <w:highlight w:val="none"/>
                <w:lang w:val="en-US" w:eastAsia="zh-CN"/>
              </w:rPr>
              <w:t>年</w:t>
            </w:r>
          </w:p>
        </w:tc>
      </w:tr>
    </w:tbl>
    <w:p w14:paraId="626C3200">
      <w:pPr>
        <w:pStyle w:val="17"/>
        <w:kinsoku w:val="0"/>
        <w:overflowPunct w:val="0"/>
        <w:spacing w:before="7"/>
        <w:rPr>
          <w:rFonts w:hAnsi="宋体" w:cs="Times New Roman"/>
          <w:color w:val="auto"/>
          <w:sz w:val="13"/>
          <w:szCs w:val="13"/>
        </w:rPr>
      </w:pPr>
    </w:p>
    <w:p w14:paraId="6B046B55">
      <w:pPr>
        <w:pStyle w:val="17"/>
        <w:kinsoku w:val="0"/>
        <w:overflowPunct w:val="0"/>
        <w:spacing w:before="3"/>
        <w:rPr>
          <w:rFonts w:hAnsi="宋体" w:cs="Times New Roman"/>
          <w:color w:val="auto"/>
          <w:sz w:val="17"/>
          <w:szCs w:val="17"/>
          <w:highlight w:val="yellow"/>
        </w:rPr>
      </w:pPr>
    </w:p>
    <w:p w14:paraId="3D691C9C">
      <w:pPr>
        <w:pStyle w:val="17"/>
        <w:kinsoku w:val="0"/>
        <w:overflowPunct w:val="0"/>
        <w:spacing w:before="83"/>
        <w:ind w:left="541"/>
        <w:rPr>
          <w:rFonts w:hAnsi="宋体"/>
          <w:color w:val="auto"/>
        </w:rPr>
      </w:pPr>
      <w:r>
        <w:rPr>
          <w:rFonts w:hint="eastAsia" w:hAnsi="宋体"/>
          <w:color w:val="auto"/>
        </w:rPr>
        <w:t>注：</w:t>
      </w:r>
      <w:r>
        <w:rPr>
          <w:rFonts w:hAnsi="宋体" w:cs="Arial"/>
          <w:color w:val="auto"/>
        </w:rPr>
        <w:t>1.</w:t>
      </w:r>
      <w:r>
        <w:rPr>
          <w:rFonts w:hint="eastAsia" w:hAnsi="宋体"/>
          <w:color w:val="auto"/>
        </w:rPr>
        <w:t>此表中，每包的报价应和《分项报价表》中的总价相一致。</w:t>
      </w:r>
    </w:p>
    <w:p w14:paraId="3BCECF88">
      <w:pPr>
        <w:pStyle w:val="17"/>
        <w:kinsoku w:val="0"/>
        <w:overflowPunct w:val="0"/>
        <w:spacing w:before="5"/>
        <w:ind w:left="1021"/>
        <w:rPr>
          <w:rFonts w:hAnsi="宋体"/>
          <w:color w:val="auto"/>
        </w:rPr>
      </w:pPr>
      <w:r>
        <w:rPr>
          <w:rFonts w:hAnsi="宋体" w:cs="Arial"/>
          <w:color w:val="auto"/>
        </w:rPr>
        <w:t>2.</w:t>
      </w:r>
      <w:r>
        <w:rPr>
          <w:rFonts w:hint="eastAsia" w:hAnsi="宋体"/>
          <w:color w:val="auto"/>
        </w:rPr>
        <w:t>本表必须按包分别填写。</w:t>
      </w:r>
    </w:p>
    <w:p w14:paraId="34CE7EB3">
      <w:pPr>
        <w:pStyle w:val="17"/>
        <w:kinsoku w:val="0"/>
        <w:overflowPunct w:val="0"/>
        <w:rPr>
          <w:rFonts w:hAnsi="宋体"/>
          <w:color w:val="auto"/>
          <w:sz w:val="28"/>
          <w:szCs w:val="28"/>
        </w:rPr>
      </w:pPr>
    </w:p>
    <w:p w14:paraId="2510D2D7">
      <w:pPr>
        <w:pStyle w:val="17"/>
        <w:kinsoku w:val="0"/>
        <w:overflowPunct w:val="0"/>
        <w:rPr>
          <w:rFonts w:hAnsi="宋体"/>
          <w:color w:val="auto"/>
          <w:sz w:val="28"/>
          <w:szCs w:val="28"/>
        </w:rPr>
      </w:pPr>
    </w:p>
    <w:p w14:paraId="44ACE53A">
      <w:pPr>
        <w:pStyle w:val="17"/>
        <w:kinsoku w:val="0"/>
        <w:overflowPunct w:val="0"/>
        <w:spacing w:before="3"/>
        <w:rPr>
          <w:rFonts w:hAnsi="宋体"/>
          <w:color w:val="auto"/>
          <w:sz w:val="37"/>
          <w:szCs w:val="37"/>
        </w:rPr>
      </w:pPr>
    </w:p>
    <w:p w14:paraId="1AC25052">
      <w:pPr>
        <w:pStyle w:val="17"/>
        <w:tabs>
          <w:tab w:val="left" w:pos="1741"/>
          <w:tab w:val="left" w:pos="2461"/>
          <w:tab w:val="left" w:pos="3181"/>
          <w:tab w:val="left" w:pos="4674"/>
        </w:tabs>
        <w:kinsoku w:val="0"/>
        <w:overflowPunct w:val="0"/>
        <w:spacing w:line="384" w:lineRule="auto"/>
        <w:ind w:left="541" w:right="5510"/>
        <w:rPr>
          <w:rFonts w:hAnsi="宋体" w:cs="Times New Roman"/>
          <w:color w:val="auto"/>
          <w:u w:val="single" w:color="000000"/>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 xml:space="preserve"> </w:t>
      </w:r>
    </w:p>
    <w:p w14:paraId="4AA87B4C">
      <w:pPr>
        <w:pStyle w:val="17"/>
        <w:tabs>
          <w:tab w:val="left" w:pos="1741"/>
          <w:tab w:val="left" w:pos="2461"/>
          <w:tab w:val="left" w:pos="3181"/>
          <w:tab w:val="left" w:pos="4674"/>
        </w:tabs>
        <w:kinsoku w:val="0"/>
        <w:overflowPunct w:val="0"/>
        <w:spacing w:line="384" w:lineRule="auto"/>
        <w:ind w:left="541" w:right="5510"/>
        <w:rPr>
          <w:rFonts w:hAnsi="宋体"/>
          <w:color w:val="auto"/>
        </w:rPr>
      </w:pP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75CEF6E9">
      <w:pPr>
        <w:pStyle w:val="17"/>
        <w:tabs>
          <w:tab w:val="left" w:pos="1741"/>
          <w:tab w:val="left" w:pos="2461"/>
          <w:tab w:val="left" w:pos="3181"/>
          <w:tab w:val="left" w:pos="4674"/>
        </w:tabs>
        <w:kinsoku w:val="0"/>
        <w:overflowPunct w:val="0"/>
        <w:spacing w:line="384" w:lineRule="auto"/>
        <w:ind w:left="541" w:right="5510"/>
        <w:rPr>
          <w:rFonts w:hAnsi="宋体"/>
          <w:color w:val="auto"/>
        </w:rPr>
      </w:pPr>
    </w:p>
    <w:p w14:paraId="27FDA202">
      <w:pPr>
        <w:pStyle w:val="17"/>
        <w:tabs>
          <w:tab w:val="left" w:pos="1741"/>
          <w:tab w:val="left" w:pos="2461"/>
          <w:tab w:val="left" w:pos="3181"/>
          <w:tab w:val="left" w:pos="4674"/>
        </w:tabs>
        <w:kinsoku w:val="0"/>
        <w:overflowPunct w:val="0"/>
        <w:spacing w:line="384" w:lineRule="auto"/>
        <w:ind w:left="541" w:right="5510"/>
        <w:rPr>
          <w:rFonts w:hAnsi="宋体"/>
          <w:color w:val="auto"/>
        </w:rPr>
      </w:pPr>
    </w:p>
    <w:p w14:paraId="1CE268A4">
      <w:pPr>
        <w:pStyle w:val="69"/>
        <w:spacing w:line="360" w:lineRule="auto"/>
        <w:ind w:left="540" w:firstLine="0"/>
        <w:outlineLvl w:val="0"/>
        <w:rPr>
          <w:rFonts w:hAnsi="宋体"/>
          <w:color w:val="auto"/>
        </w:rPr>
      </w:pPr>
      <w:r>
        <w:rPr>
          <w:rFonts w:hAnsi="宋体"/>
          <w:color w:val="auto"/>
        </w:rPr>
        <w:br w:type="page"/>
      </w:r>
      <w:bookmarkStart w:id="92" w:name="_Toc149147584"/>
      <w:bookmarkStart w:id="93" w:name="_Toc149147739"/>
      <w:r>
        <w:rPr>
          <w:rFonts w:hint="eastAsia" w:hAnsi="宋体"/>
          <w:color w:val="auto"/>
          <w:lang w:val="en-US" w:eastAsia="zh-CN"/>
        </w:rPr>
        <w:t>7</w:t>
      </w:r>
      <w:r>
        <w:rPr>
          <w:rFonts w:hAnsi="宋体"/>
          <w:color w:val="auto"/>
        </w:rPr>
        <w:t xml:space="preserve"> </w:t>
      </w:r>
      <w:r>
        <w:rPr>
          <w:rFonts w:hint="eastAsia" w:hAnsi="宋体"/>
          <w:color w:val="auto"/>
        </w:rPr>
        <w:t>分项报价表</w:t>
      </w:r>
      <w:bookmarkEnd w:id="92"/>
      <w:bookmarkEnd w:id="93"/>
    </w:p>
    <w:p w14:paraId="753A5E0C">
      <w:pPr>
        <w:pStyle w:val="2"/>
        <w:kinsoku w:val="0"/>
        <w:overflowPunct w:val="0"/>
        <w:spacing w:before="0"/>
        <w:ind w:left="218"/>
        <w:rPr>
          <w:rFonts w:hint="eastAsia" w:hAnsi="宋体" w:eastAsia="宋体"/>
          <w:color w:val="auto"/>
          <w:lang w:eastAsia="zh-CN"/>
        </w:rPr>
      </w:pPr>
      <w:bookmarkStart w:id="94" w:name="_Toc149147740"/>
      <w:bookmarkStart w:id="95" w:name="_Toc149147585"/>
      <w:r>
        <w:rPr>
          <w:rFonts w:hint="eastAsia" w:hAnsi="宋体"/>
          <w:color w:val="auto"/>
        </w:rPr>
        <w:t>分项报价表</w:t>
      </w:r>
      <w:bookmarkEnd w:id="94"/>
      <w:bookmarkEnd w:id="95"/>
    </w:p>
    <w:p w14:paraId="074EAFF7">
      <w:pPr>
        <w:rPr>
          <w:rFonts w:hAnsi="宋体"/>
          <w:color w:val="auto"/>
        </w:rPr>
      </w:pPr>
    </w:p>
    <w:p w14:paraId="0E487F00">
      <w:pPr>
        <w:tabs>
          <w:tab w:val="left" w:pos="1800"/>
          <w:tab w:val="left" w:pos="5580"/>
        </w:tabs>
        <w:rPr>
          <w:rFonts w:hAnsi="宋体"/>
          <w:color w:val="auto"/>
          <w:sz w:val="24"/>
        </w:rPr>
      </w:pPr>
      <w:r>
        <w:rPr>
          <w:rFonts w:hAnsi="宋体"/>
          <w:color w:val="auto"/>
          <w:sz w:val="24"/>
        </w:rPr>
        <w:t>项目编号/包号：_________ 项目名称：_________报价单位：人民币元</w:t>
      </w:r>
    </w:p>
    <w:tbl>
      <w:tblPr>
        <w:tblStyle w:val="43"/>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3618"/>
        <w:gridCol w:w="1661"/>
        <w:gridCol w:w="1659"/>
        <w:gridCol w:w="2108"/>
      </w:tblGrid>
      <w:tr w14:paraId="4076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9" w:type="dxa"/>
            <w:vAlign w:val="center"/>
          </w:tcPr>
          <w:p w14:paraId="1B003D00">
            <w:pPr>
              <w:snapToGrid w:val="0"/>
              <w:spacing w:line="360" w:lineRule="auto"/>
              <w:rPr>
                <w:rFonts w:hAnsi="宋体"/>
                <w:b/>
                <w:color w:val="auto"/>
                <w:sz w:val="24"/>
              </w:rPr>
            </w:pPr>
            <w:r>
              <w:rPr>
                <w:rFonts w:hAnsi="宋体"/>
                <w:b/>
                <w:color w:val="auto"/>
                <w:sz w:val="24"/>
              </w:rPr>
              <w:t>序号</w:t>
            </w:r>
          </w:p>
        </w:tc>
        <w:tc>
          <w:tcPr>
            <w:tcW w:w="3618" w:type="dxa"/>
            <w:vAlign w:val="center"/>
          </w:tcPr>
          <w:p w14:paraId="76DCC42C">
            <w:pPr>
              <w:snapToGrid w:val="0"/>
              <w:spacing w:line="360" w:lineRule="auto"/>
              <w:rPr>
                <w:rFonts w:hAnsi="宋体"/>
                <w:b/>
                <w:color w:val="auto"/>
                <w:sz w:val="24"/>
              </w:rPr>
            </w:pPr>
            <w:r>
              <w:rPr>
                <w:rFonts w:hAnsi="宋体"/>
                <w:b/>
                <w:color w:val="auto"/>
                <w:sz w:val="24"/>
              </w:rPr>
              <w:t>分项名称</w:t>
            </w:r>
          </w:p>
        </w:tc>
        <w:tc>
          <w:tcPr>
            <w:tcW w:w="1661" w:type="dxa"/>
            <w:vAlign w:val="center"/>
          </w:tcPr>
          <w:p w14:paraId="7C61BB75">
            <w:pPr>
              <w:snapToGrid w:val="0"/>
              <w:spacing w:line="360" w:lineRule="auto"/>
              <w:rPr>
                <w:rFonts w:hAnsi="宋体"/>
                <w:b/>
                <w:color w:val="auto"/>
                <w:sz w:val="24"/>
              </w:rPr>
            </w:pPr>
            <w:r>
              <w:rPr>
                <w:rFonts w:hAnsi="宋体"/>
                <w:b/>
                <w:color w:val="auto"/>
                <w:sz w:val="24"/>
              </w:rPr>
              <w:t>单价（元）</w:t>
            </w:r>
          </w:p>
        </w:tc>
        <w:tc>
          <w:tcPr>
            <w:tcW w:w="1659" w:type="dxa"/>
            <w:vAlign w:val="center"/>
          </w:tcPr>
          <w:p w14:paraId="2AD03E9F">
            <w:pPr>
              <w:snapToGrid w:val="0"/>
              <w:spacing w:line="360" w:lineRule="auto"/>
              <w:rPr>
                <w:rFonts w:hAnsi="宋体"/>
                <w:b/>
                <w:color w:val="auto"/>
                <w:sz w:val="24"/>
              </w:rPr>
            </w:pPr>
            <w:r>
              <w:rPr>
                <w:rFonts w:hAnsi="宋体"/>
                <w:b/>
                <w:color w:val="auto"/>
                <w:sz w:val="24"/>
              </w:rPr>
              <w:t>合价（元）</w:t>
            </w:r>
          </w:p>
        </w:tc>
        <w:tc>
          <w:tcPr>
            <w:tcW w:w="2108" w:type="dxa"/>
            <w:vAlign w:val="center"/>
          </w:tcPr>
          <w:p w14:paraId="4F9EB974">
            <w:pPr>
              <w:snapToGrid w:val="0"/>
              <w:spacing w:line="360" w:lineRule="auto"/>
              <w:rPr>
                <w:rFonts w:hAnsi="宋体"/>
                <w:b/>
                <w:color w:val="auto"/>
                <w:sz w:val="24"/>
              </w:rPr>
            </w:pPr>
            <w:r>
              <w:rPr>
                <w:rFonts w:hAnsi="宋体"/>
                <w:b/>
                <w:color w:val="auto"/>
                <w:sz w:val="24"/>
              </w:rPr>
              <w:t>备注/说明</w:t>
            </w:r>
          </w:p>
        </w:tc>
      </w:tr>
      <w:tr w14:paraId="2316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49" w:type="dxa"/>
            <w:vAlign w:val="center"/>
          </w:tcPr>
          <w:p w14:paraId="54647121">
            <w:pPr>
              <w:snapToGrid w:val="0"/>
              <w:spacing w:line="360" w:lineRule="auto"/>
              <w:jc w:val="center"/>
              <w:rPr>
                <w:rFonts w:hAnsi="宋体"/>
                <w:color w:val="auto"/>
                <w:sz w:val="24"/>
              </w:rPr>
            </w:pPr>
            <w:r>
              <w:rPr>
                <w:rFonts w:hAnsi="宋体"/>
                <w:color w:val="auto"/>
                <w:sz w:val="24"/>
              </w:rPr>
              <w:t>1</w:t>
            </w:r>
          </w:p>
        </w:tc>
        <w:tc>
          <w:tcPr>
            <w:tcW w:w="3618" w:type="dxa"/>
            <w:vAlign w:val="center"/>
          </w:tcPr>
          <w:p w14:paraId="48371BB9">
            <w:pPr>
              <w:snapToGrid w:val="0"/>
              <w:spacing w:line="360" w:lineRule="auto"/>
              <w:rPr>
                <w:rFonts w:hAnsi="宋体"/>
                <w:color w:val="auto"/>
                <w:sz w:val="24"/>
              </w:rPr>
            </w:pPr>
          </w:p>
        </w:tc>
        <w:tc>
          <w:tcPr>
            <w:tcW w:w="1661" w:type="dxa"/>
            <w:vAlign w:val="center"/>
          </w:tcPr>
          <w:p w14:paraId="1D057252">
            <w:pPr>
              <w:snapToGrid w:val="0"/>
              <w:spacing w:line="360" w:lineRule="auto"/>
              <w:rPr>
                <w:rFonts w:hAnsi="宋体"/>
                <w:color w:val="auto"/>
                <w:sz w:val="24"/>
              </w:rPr>
            </w:pPr>
          </w:p>
        </w:tc>
        <w:tc>
          <w:tcPr>
            <w:tcW w:w="1659" w:type="dxa"/>
            <w:vAlign w:val="center"/>
          </w:tcPr>
          <w:p w14:paraId="63E6BB03">
            <w:pPr>
              <w:snapToGrid w:val="0"/>
              <w:spacing w:line="360" w:lineRule="auto"/>
              <w:rPr>
                <w:rFonts w:hAnsi="宋体"/>
                <w:color w:val="auto"/>
                <w:sz w:val="24"/>
              </w:rPr>
            </w:pPr>
          </w:p>
        </w:tc>
        <w:tc>
          <w:tcPr>
            <w:tcW w:w="2108" w:type="dxa"/>
            <w:vAlign w:val="center"/>
          </w:tcPr>
          <w:p w14:paraId="5AED062C">
            <w:pPr>
              <w:snapToGrid w:val="0"/>
              <w:spacing w:line="360" w:lineRule="auto"/>
              <w:rPr>
                <w:rFonts w:hAnsi="宋体"/>
                <w:color w:val="auto"/>
                <w:sz w:val="24"/>
              </w:rPr>
            </w:pPr>
          </w:p>
        </w:tc>
      </w:tr>
      <w:tr w14:paraId="10E7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49" w:type="dxa"/>
            <w:vAlign w:val="center"/>
          </w:tcPr>
          <w:p w14:paraId="233802B8">
            <w:pPr>
              <w:snapToGrid w:val="0"/>
              <w:spacing w:line="360" w:lineRule="auto"/>
              <w:jc w:val="center"/>
              <w:rPr>
                <w:rFonts w:hAnsi="宋体"/>
                <w:color w:val="auto"/>
                <w:sz w:val="24"/>
              </w:rPr>
            </w:pPr>
            <w:r>
              <w:rPr>
                <w:rFonts w:hAnsi="宋体"/>
                <w:color w:val="auto"/>
                <w:sz w:val="24"/>
              </w:rPr>
              <w:t>2</w:t>
            </w:r>
          </w:p>
        </w:tc>
        <w:tc>
          <w:tcPr>
            <w:tcW w:w="3618" w:type="dxa"/>
            <w:vAlign w:val="center"/>
          </w:tcPr>
          <w:p w14:paraId="5AB32F8A">
            <w:pPr>
              <w:snapToGrid w:val="0"/>
              <w:spacing w:line="360" w:lineRule="auto"/>
              <w:rPr>
                <w:rFonts w:hAnsi="宋体"/>
                <w:color w:val="auto"/>
                <w:sz w:val="24"/>
              </w:rPr>
            </w:pPr>
          </w:p>
        </w:tc>
        <w:tc>
          <w:tcPr>
            <w:tcW w:w="1661" w:type="dxa"/>
            <w:vAlign w:val="center"/>
          </w:tcPr>
          <w:p w14:paraId="2F20433E">
            <w:pPr>
              <w:snapToGrid w:val="0"/>
              <w:spacing w:line="360" w:lineRule="auto"/>
              <w:rPr>
                <w:rFonts w:hAnsi="宋体"/>
                <w:color w:val="auto"/>
                <w:sz w:val="24"/>
              </w:rPr>
            </w:pPr>
          </w:p>
        </w:tc>
        <w:tc>
          <w:tcPr>
            <w:tcW w:w="1659" w:type="dxa"/>
            <w:vAlign w:val="center"/>
          </w:tcPr>
          <w:p w14:paraId="27012058">
            <w:pPr>
              <w:snapToGrid w:val="0"/>
              <w:spacing w:line="360" w:lineRule="auto"/>
              <w:rPr>
                <w:rFonts w:hAnsi="宋体"/>
                <w:color w:val="auto"/>
                <w:sz w:val="24"/>
              </w:rPr>
            </w:pPr>
          </w:p>
        </w:tc>
        <w:tc>
          <w:tcPr>
            <w:tcW w:w="2108" w:type="dxa"/>
            <w:vAlign w:val="center"/>
          </w:tcPr>
          <w:p w14:paraId="5D22F83D">
            <w:pPr>
              <w:snapToGrid w:val="0"/>
              <w:spacing w:line="360" w:lineRule="auto"/>
              <w:rPr>
                <w:rFonts w:hAnsi="宋体"/>
                <w:color w:val="auto"/>
                <w:sz w:val="24"/>
              </w:rPr>
            </w:pPr>
          </w:p>
        </w:tc>
      </w:tr>
      <w:tr w14:paraId="052F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49" w:type="dxa"/>
            <w:vAlign w:val="center"/>
          </w:tcPr>
          <w:p w14:paraId="72966CE9">
            <w:pPr>
              <w:snapToGrid w:val="0"/>
              <w:spacing w:line="360" w:lineRule="auto"/>
              <w:jc w:val="center"/>
              <w:rPr>
                <w:rFonts w:hAnsi="宋体"/>
                <w:color w:val="auto"/>
                <w:sz w:val="24"/>
              </w:rPr>
            </w:pPr>
            <w:r>
              <w:rPr>
                <w:rFonts w:hAnsi="宋体"/>
                <w:color w:val="auto"/>
                <w:sz w:val="24"/>
              </w:rPr>
              <w:t>3</w:t>
            </w:r>
          </w:p>
        </w:tc>
        <w:tc>
          <w:tcPr>
            <w:tcW w:w="3618" w:type="dxa"/>
            <w:vAlign w:val="center"/>
          </w:tcPr>
          <w:p w14:paraId="334CFA50">
            <w:pPr>
              <w:snapToGrid w:val="0"/>
              <w:spacing w:line="360" w:lineRule="auto"/>
              <w:rPr>
                <w:rFonts w:hAnsi="宋体"/>
                <w:color w:val="auto"/>
                <w:sz w:val="24"/>
              </w:rPr>
            </w:pPr>
            <w:r>
              <w:rPr>
                <w:rFonts w:hAnsi="宋体"/>
                <w:color w:val="auto"/>
                <w:sz w:val="24"/>
              </w:rPr>
              <w:t>…</w:t>
            </w:r>
          </w:p>
        </w:tc>
        <w:tc>
          <w:tcPr>
            <w:tcW w:w="1661" w:type="dxa"/>
            <w:vAlign w:val="center"/>
          </w:tcPr>
          <w:p w14:paraId="0227B9FB">
            <w:pPr>
              <w:snapToGrid w:val="0"/>
              <w:spacing w:line="360" w:lineRule="auto"/>
              <w:rPr>
                <w:rFonts w:hAnsi="宋体"/>
                <w:color w:val="auto"/>
                <w:sz w:val="24"/>
              </w:rPr>
            </w:pPr>
          </w:p>
        </w:tc>
        <w:tc>
          <w:tcPr>
            <w:tcW w:w="1659" w:type="dxa"/>
            <w:vAlign w:val="center"/>
          </w:tcPr>
          <w:p w14:paraId="45519C4F">
            <w:pPr>
              <w:snapToGrid w:val="0"/>
              <w:spacing w:line="360" w:lineRule="auto"/>
              <w:rPr>
                <w:rFonts w:hAnsi="宋体"/>
                <w:color w:val="auto"/>
                <w:sz w:val="24"/>
              </w:rPr>
            </w:pPr>
          </w:p>
        </w:tc>
        <w:tc>
          <w:tcPr>
            <w:tcW w:w="2108" w:type="dxa"/>
            <w:vAlign w:val="center"/>
          </w:tcPr>
          <w:p w14:paraId="3F7465D1">
            <w:pPr>
              <w:snapToGrid w:val="0"/>
              <w:spacing w:line="360" w:lineRule="auto"/>
              <w:rPr>
                <w:rFonts w:hAnsi="宋体"/>
                <w:color w:val="auto"/>
                <w:sz w:val="24"/>
              </w:rPr>
            </w:pPr>
          </w:p>
        </w:tc>
      </w:tr>
      <w:tr w14:paraId="64C1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028" w:type="dxa"/>
            <w:gridSpan w:val="3"/>
            <w:vAlign w:val="center"/>
          </w:tcPr>
          <w:p w14:paraId="246C5C41">
            <w:pPr>
              <w:snapToGrid w:val="0"/>
              <w:spacing w:line="360" w:lineRule="auto"/>
              <w:rPr>
                <w:rFonts w:hAnsi="宋体"/>
                <w:color w:val="auto"/>
                <w:sz w:val="24"/>
              </w:rPr>
            </w:pPr>
            <w:r>
              <w:rPr>
                <w:rFonts w:hAnsi="宋体"/>
                <w:color w:val="auto"/>
                <w:sz w:val="24"/>
              </w:rPr>
              <w:t>总价（元）</w:t>
            </w:r>
          </w:p>
        </w:tc>
        <w:tc>
          <w:tcPr>
            <w:tcW w:w="1659" w:type="dxa"/>
            <w:vAlign w:val="center"/>
          </w:tcPr>
          <w:p w14:paraId="0D37B34D">
            <w:pPr>
              <w:snapToGrid w:val="0"/>
              <w:spacing w:line="360" w:lineRule="auto"/>
              <w:rPr>
                <w:rFonts w:hAnsi="宋体"/>
                <w:color w:val="auto"/>
                <w:sz w:val="24"/>
              </w:rPr>
            </w:pPr>
          </w:p>
        </w:tc>
        <w:tc>
          <w:tcPr>
            <w:tcW w:w="2108" w:type="dxa"/>
            <w:vAlign w:val="center"/>
          </w:tcPr>
          <w:p w14:paraId="0EE4F363">
            <w:pPr>
              <w:snapToGrid w:val="0"/>
              <w:spacing w:line="360" w:lineRule="auto"/>
              <w:rPr>
                <w:rFonts w:hAnsi="宋体"/>
                <w:color w:val="auto"/>
                <w:sz w:val="24"/>
              </w:rPr>
            </w:pPr>
          </w:p>
        </w:tc>
      </w:tr>
    </w:tbl>
    <w:p w14:paraId="566CB051">
      <w:pPr>
        <w:tabs>
          <w:tab w:val="left" w:pos="1800"/>
          <w:tab w:val="left" w:pos="5580"/>
        </w:tabs>
        <w:rPr>
          <w:rFonts w:hAnsi="宋体"/>
          <w:color w:val="auto"/>
          <w:sz w:val="24"/>
        </w:rPr>
      </w:pPr>
    </w:p>
    <w:p w14:paraId="04811F43">
      <w:pPr>
        <w:tabs>
          <w:tab w:val="left" w:pos="1800"/>
          <w:tab w:val="left" w:pos="5580"/>
        </w:tabs>
        <w:rPr>
          <w:rFonts w:hAnsi="宋体"/>
          <w:color w:val="auto"/>
          <w:sz w:val="24"/>
        </w:rPr>
      </w:pPr>
      <w:r>
        <w:rPr>
          <w:rFonts w:hAnsi="宋体"/>
          <w:color w:val="auto"/>
          <w:sz w:val="24"/>
        </w:rPr>
        <w:t>注：1.本表应按包分别填写。</w:t>
      </w:r>
    </w:p>
    <w:p w14:paraId="3AA9C8FA">
      <w:pPr>
        <w:tabs>
          <w:tab w:val="left" w:pos="1800"/>
          <w:tab w:val="left" w:pos="5580"/>
        </w:tabs>
        <w:ind w:firstLine="480" w:firstLineChars="200"/>
        <w:rPr>
          <w:rFonts w:hAnsi="宋体"/>
          <w:color w:val="auto"/>
          <w:sz w:val="24"/>
        </w:rPr>
      </w:pPr>
      <w:r>
        <w:rPr>
          <w:rFonts w:hAnsi="宋体"/>
          <w:color w:val="auto"/>
          <w:sz w:val="24"/>
        </w:rPr>
        <w:t>2.如果不提供分项报价将视为没有实质性响应竞争性磋商文件。</w:t>
      </w:r>
    </w:p>
    <w:p w14:paraId="787806F0">
      <w:pPr>
        <w:tabs>
          <w:tab w:val="left" w:pos="1800"/>
          <w:tab w:val="left" w:pos="5580"/>
        </w:tabs>
        <w:ind w:firstLine="480" w:firstLineChars="200"/>
        <w:rPr>
          <w:rFonts w:hAnsi="宋体"/>
          <w:color w:val="auto"/>
          <w:sz w:val="24"/>
        </w:rPr>
      </w:pPr>
      <w:r>
        <w:rPr>
          <w:rFonts w:hAnsi="宋体"/>
          <w:color w:val="auto"/>
          <w:sz w:val="24"/>
        </w:rPr>
        <w:t>3.上述各项的详细规格（如有），可另页描述。</w:t>
      </w:r>
    </w:p>
    <w:p w14:paraId="6B0FD32B">
      <w:pPr>
        <w:snapToGrid w:val="0"/>
        <w:spacing w:before="25" w:after="25" w:line="360" w:lineRule="auto"/>
        <w:rPr>
          <w:rFonts w:hAnsi="宋体"/>
          <w:color w:val="auto"/>
          <w:sz w:val="24"/>
        </w:rPr>
      </w:pPr>
    </w:p>
    <w:p w14:paraId="46FA2444">
      <w:pPr>
        <w:snapToGrid w:val="0"/>
        <w:spacing w:before="25" w:after="25" w:line="360" w:lineRule="auto"/>
        <w:rPr>
          <w:rFonts w:hAnsi="宋体"/>
          <w:color w:val="auto"/>
          <w:sz w:val="24"/>
        </w:rPr>
      </w:pPr>
    </w:p>
    <w:p w14:paraId="2ACF5188">
      <w:pPr>
        <w:snapToGrid w:val="0"/>
        <w:spacing w:before="25" w:after="25" w:line="360" w:lineRule="auto"/>
        <w:ind w:right="360"/>
        <w:rPr>
          <w:rFonts w:hAnsi="宋体"/>
          <w:color w:val="auto"/>
          <w:sz w:val="24"/>
          <w:lang w:val="zh-CN"/>
        </w:rPr>
      </w:pPr>
      <w:r>
        <w:rPr>
          <w:rFonts w:hint="eastAsia" w:hAnsi="宋体"/>
          <w:color w:val="auto"/>
          <w:sz w:val="24"/>
        </w:rPr>
        <w:t>供应商名称</w:t>
      </w:r>
      <w:r>
        <w:rPr>
          <w:rFonts w:hAnsi="宋体"/>
          <w:color w:val="auto"/>
          <w:sz w:val="24"/>
        </w:rPr>
        <w:t>（加盖公章）</w:t>
      </w:r>
      <w:r>
        <w:rPr>
          <w:rFonts w:hAnsi="宋体"/>
          <w:color w:val="auto"/>
          <w:sz w:val="24"/>
          <w:lang w:val="zh-CN"/>
        </w:rPr>
        <w:t>：</w:t>
      </w:r>
      <w:r>
        <w:rPr>
          <w:rFonts w:hAnsi="宋体"/>
          <w:color w:val="auto"/>
          <w:sz w:val="24"/>
        </w:rPr>
        <w:t>______</w:t>
      </w:r>
    </w:p>
    <w:p w14:paraId="0F46AA6F">
      <w:pPr>
        <w:snapToGrid w:val="0"/>
        <w:spacing w:before="25" w:after="25" w:line="360" w:lineRule="auto"/>
        <w:rPr>
          <w:rFonts w:hAnsi="宋体"/>
          <w:color w:val="auto"/>
          <w:sz w:val="24"/>
          <w:lang w:val="zh-CN"/>
        </w:rPr>
      </w:pPr>
      <w:r>
        <w:rPr>
          <w:rFonts w:hAnsi="宋体"/>
          <w:color w:val="auto"/>
          <w:sz w:val="24"/>
          <w:szCs w:val="20"/>
        </w:rPr>
        <w:t xml:space="preserve">日期：____年____月____日  </w:t>
      </w:r>
    </w:p>
    <w:p w14:paraId="2D847917">
      <w:pPr>
        <w:pStyle w:val="69"/>
        <w:spacing w:line="360" w:lineRule="auto"/>
        <w:ind w:left="540" w:firstLine="0"/>
        <w:outlineLvl w:val="0"/>
        <w:rPr>
          <w:rFonts w:hAnsi="宋体"/>
          <w:color w:val="auto"/>
        </w:rPr>
      </w:pPr>
      <w:r>
        <w:rPr>
          <w:rFonts w:hAnsi="宋体" w:cs="Times New Roman"/>
          <w:color w:val="auto"/>
        </w:rPr>
        <w:br w:type="column"/>
      </w:r>
      <w:r>
        <w:rPr>
          <w:rFonts w:hAnsi="宋体"/>
          <w:color w:val="auto"/>
        </w:rPr>
        <w:t xml:space="preserve"> </w:t>
      </w:r>
      <w:bookmarkStart w:id="96" w:name="_Toc149147741"/>
      <w:bookmarkStart w:id="97" w:name="_Toc149147586"/>
      <w:r>
        <w:rPr>
          <w:rFonts w:hint="eastAsia" w:hAnsi="宋体"/>
          <w:color w:val="auto"/>
          <w:lang w:val="en-US" w:eastAsia="zh-CN"/>
        </w:rPr>
        <w:t>8</w:t>
      </w:r>
      <w:r>
        <w:rPr>
          <w:rFonts w:hAnsi="宋体"/>
          <w:color w:val="auto"/>
        </w:rPr>
        <w:t xml:space="preserve"> </w:t>
      </w:r>
      <w:r>
        <w:rPr>
          <w:rFonts w:hint="eastAsia" w:hAnsi="宋体"/>
          <w:color w:val="auto"/>
        </w:rPr>
        <w:t>合同条款偏离表（实质性格式）</w:t>
      </w:r>
      <w:bookmarkEnd w:id="96"/>
      <w:bookmarkEnd w:id="97"/>
    </w:p>
    <w:p w14:paraId="6D74E12C">
      <w:pPr>
        <w:pStyle w:val="2"/>
        <w:kinsoku w:val="0"/>
        <w:overflowPunct w:val="0"/>
        <w:spacing w:before="220"/>
        <w:ind w:left="3288"/>
        <w:jc w:val="left"/>
        <w:rPr>
          <w:rFonts w:hAnsi="宋体"/>
          <w:color w:val="auto"/>
        </w:rPr>
      </w:pPr>
      <w:bookmarkStart w:id="98" w:name="_Toc149147587"/>
      <w:bookmarkStart w:id="99" w:name="_Toc149147742"/>
      <w:r>
        <w:rPr>
          <w:rFonts w:hint="eastAsia" w:hAnsi="宋体"/>
          <w:color w:val="auto"/>
        </w:rPr>
        <w:t>合同条款偏离表</w:t>
      </w:r>
      <w:bookmarkEnd w:id="98"/>
      <w:bookmarkEnd w:id="99"/>
    </w:p>
    <w:p w14:paraId="7A681709">
      <w:pPr>
        <w:pStyle w:val="17"/>
        <w:kinsoku w:val="0"/>
        <w:overflowPunct w:val="0"/>
        <w:rPr>
          <w:rFonts w:hAnsi="宋体"/>
          <w:color w:val="auto"/>
          <w:sz w:val="20"/>
          <w:szCs w:val="20"/>
        </w:rPr>
      </w:pPr>
    </w:p>
    <w:p w14:paraId="63E47048">
      <w:pPr>
        <w:pStyle w:val="17"/>
        <w:kinsoku w:val="0"/>
        <w:overflowPunct w:val="0"/>
        <w:spacing w:before="10"/>
        <w:rPr>
          <w:rFonts w:hAnsi="宋体"/>
          <w:color w:val="auto"/>
        </w:rPr>
      </w:pPr>
    </w:p>
    <w:p w14:paraId="346DD129">
      <w:pPr>
        <w:pStyle w:val="17"/>
        <w:tabs>
          <w:tab w:val="left" w:pos="4373"/>
          <w:tab w:val="left" w:pos="4920"/>
          <w:tab w:val="left" w:pos="7973"/>
        </w:tabs>
        <w:kinsoku w:val="0"/>
        <w:overflowPunct w:val="0"/>
        <w:spacing w:before="86"/>
        <w:ind w:left="761"/>
        <w:rPr>
          <w:rFonts w:hAnsi="宋体" w:cs="Times New Roman"/>
          <w:color w:val="auto"/>
        </w:rPr>
      </w:pPr>
      <w:r>
        <w:rPr>
          <w:rFonts w:hint="eastAsia" w:hAnsi="宋体"/>
          <w:color w:val="auto"/>
        </w:rPr>
        <w:t>项目编号</w:t>
      </w:r>
      <w:r>
        <w:rPr>
          <w:rFonts w:hAnsi="宋体" w:cs="Arial"/>
          <w:color w:val="auto"/>
        </w:rPr>
        <w:t>/</w:t>
      </w:r>
      <w:r>
        <w:rPr>
          <w:rFonts w:hint="eastAsia" w:hAnsi="宋体"/>
          <w:color w:val="auto"/>
        </w:rPr>
        <w:t>包号：</w:t>
      </w:r>
      <w:r>
        <w:rPr>
          <w:rFonts w:hAnsi="宋体"/>
          <w:color w:val="auto"/>
          <w:u w:val="single" w:color="000000"/>
        </w:rPr>
        <w:t xml:space="preserve"> </w:t>
      </w:r>
      <w:r>
        <w:rPr>
          <w:rFonts w:hAnsi="宋体"/>
          <w:color w:val="auto"/>
          <w:u w:val="single" w:color="000000"/>
        </w:rPr>
        <w:tab/>
      </w:r>
      <w:r>
        <w:rPr>
          <w:rFonts w:hAnsi="宋体"/>
          <w:color w:val="auto"/>
        </w:rPr>
        <w:tab/>
      </w:r>
      <w:r>
        <w:rPr>
          <w:rFonts w:hint="eastAsia" w:hAnsi="宋体"/>
          <w:color w:val="auto"/>
          <w:spacing w:val="-1"/>
        </w:rPr>
        <w:t>项</w:t>
      </w:r>
      <w:r>
        <w:rPr>
          <w:rFonts w:hint="eastAsia" w:hAnsi="宋体"/>
          <w:color w:val="auto"/>
        </w:rPr>
        <w:t>目名称：</w:t>
      </w:r>
      <w:r>
        <w:rPr>
          <w:rFonts w:hAnsi="宋体" w:cs="Times New Roman"/>
          <w:color w:val="auto"/>
          <w:u w:val="single" w:color="000000"/>
        </w:rPr>
        <w:t xml:space="preserve"> </w:t>
      </w:r>
      <w:r>
        <w:rPr>
          <w:rFonts w:hAnsi="宋体" w:cs="Times New Roman"/>
          <w:color w:val="auto"/>
          <w:u w:val="single" w:color="000000"/>
        </w:rPr>
        <w:tab/>
      </w:r>
    </w:p>
    <w:p w14:paraId="7A856391">
      <w:pPr>
        <w:pStyle w:val="17"/>
        <w:kinsoku w:val="0"/>
        <w:overflowPunct w:val="0"/>
        <w:spacing w:before="6"/>
        <w:rPr>
          <w:rFonts w:hAnsi="宋体" w:cs="Times New Roman"/>
          <w:color w:val="auto"/>
          <w:sz w:val="13"/>
          <w:szCs w:val="13"/>
        </w:rPr>
      </w:pPr>
    </w:p>
    <w:tbl>
      <w:tblPr>
        <w:tblStyle w:val="43"/>
        <w:tblW w:w="9288" w:type="dxa"/>
        <w:tblInd w:w="298" w:type="dxa"/>
        <w:tblLayout w:type="fixed"/>
        <w:tblCellMar>
          <w:top w:w="0" w:type="dxa"/>
          <w:left w:w="0" w:type="dxa"/>
          <w:bottom w:w="0" w:type="dxa"/>
          <w:right w:w="0" w:type="dxa"/>
        </w:tblCellMar>
      </w:tblPr>
      <w:tblGrid>
        <w:gridCol w:w="1009"/>
        <w:gridCol w:w="1561"/>
        <w:gridCol w:w="1776"/>
        <w:gridCol w:w="1778"/>
        <w:gridCol w:w="2183"/>
        <w:gridCol w:w="981"/>
      </w:tblGrid>
      <w:tr w14:paraId="069468EB">
        <w:tblPrEx>
          <w:tblCellMar>
            <w:top w:w="0" w:type="dxa"/>
            <w:left w:w="0" w:type="dxa"/>
            <w:bottom w:w="0" w:type="dxa"/>
            <w:right w:w="0" w:type="dxa"/>
          </w:tblCellMar>
        </w:tblPrEx>
        <w:trPr>
          <w:trHeight w:val="933" w:hRule="atLeast"/>
        </w:trPr>
        <w:tc>
          <w:tcPr>
            <w:tcW w:w="1009" w:type="dxa"/>
            <w:tcBorders>
              <w:top w:val="single" w:color="000000" w:sz="4" w:space="0"/>
              <w:left w:val="single" w:color="000000" w:sz="4" w:space="0"/>
              <w:bottom w:val="single" w:color="000000" w:sz="4" w:space="0"/>
              <w:right w:val="single" w:color="000000" w:sz="4" w:space="0"/>
            </w:tcBorders>
          </w:tcPr>
          <w:p w14:paraId="4A834557">
            <w:pPr>
              <w:pStyle w:val="70"/>
              <w:kinsoku w:val="0"/>
              <w:overflowPunct w:val="0"/>
              <w:spacing w:before="3"/>
              <w:rPr>
                <w:rFonts w:hAnsi="宋体" w:cs="Times New Roman"/>
                <w:color w:val="auto"/>
                <w:sz w:val="27"/>
                <w:szCs w:val="27"/>
              </w:rPr>
            </w:pPr>
          </w:p>
          <w:p w14:paraId="6917FFF8">
            <w:pPr>
              <w:pStyle w:val="70"/>
              <w:kinsoku w:val="0"/>
              <w:overflowPunct w:val="0"/>
              <w:ind w:left="264"/>
              <w:rPr>
                <w:rFonts w:hAnsi="宋体"/>
                <w:color w:val="auto"/>
              </w:rPr>
            </w:pPr>
            <w:r>
              <w:rPr>
                <w:rFonts w:hint="eastAsia" w:hAnsi="宋体"/>
                <w:color w:val="auto"/>
              </w:rPr>
              <w:t>序号</w:t>
            </w:r>
          </w:p>
        </w:tc>
        <w:tc>
          <w:tcPr>
            <w:tcW w:w="1561" w:type="dxa"/>
            <w:tcBorders>
              <w:top w:val="single" w:color="000000" w:sz="4" w:space="0"/>
              <w:left w:val="single" w:color="000000" w:sz="4" w:space="0"/>
              <w:bottom w:val="single" w:color="000000" w:sz="4" w:space="0"/>
              <w:right w:val="single" w:color="000000" w:sz="4" w:space="0"/>
            </w:tcBorders>
          </w:tcPr>
          <w:p w14:paraId="782F1D4C">
            <w:pPr>
              <w:pStyle w:val="70"/>
              <w:kinsoku w:val="0"/>
              <w:overflowPunct w:val="0"/>
              <w:spacing w:before="2" w:line="242" w:lineRule="auto"/>
              <w:ind w:left="179" w:right="169"/>
              <w:rPr>
                <w:rFonts w:hAnsi="宋体"/>
                <w:color w:val="auto"/>
                <w:spacing w:val="-4"/>
              </w:rPr>
            </w:pPr>
            <w:r>
              <w:rPr>
                <w:rFonts w:hint="eastAsia" w:hAnsi="宋体"/>
                <w:color w:val="auto"/>
                <w:spacing w:val="-4"/>
              </w:rPr>
              <w:t>竞争性磋商文件条目号</w:t>
            </w:r>
          </w:p>
          <w:p w14:paraId="6B0B0705">
            <w:pPr>
              <w:pStyle w:val="70"/>
              <w:kinsoku w:val="0"/>
              <w:overflowPunct w:val="0"/>
              <w:spacing w:before="3" w:line="288" w:lineRule="exact"/>
              <w:ind w:left="299"/>
              <w:rPr>
                <w:rFonts w:hAnsi="宋体"/>
                <w:color w:val="auto"/>
              </w:rPr>
            </w:pPr>
            <w:r>
              <w:rPr>
                <w:rFonts w:hint="eastAsia" w:hAnsi="宋体"/>
                <w:color w:val="auto"/>
              </w:rPr>
              <w:t>（页码）</w:t>
            </w:r>
          </w:p>
        </w:tc>
        <w:tc>
          <w:tcPr>
            <w:tcW w:w="1776" w:type="dxa"/>
            <w:tcBorders>
              <w:top w:val="single" w:color="000000" w:sz="4" w:space="0"/>
              <w:left w:val="single" w:color="000000" w:sz="4" w:space="0"/>
              <w:bottom w:val="single" w:color="000000" w:sz="4" w:space="0"/>
              <w:right w:val="single" w:color="000000" w:sz="4" w:space="0"/>
            </w:tcBorders>
          </w:tcPr>
          <w:p w14:paraId="0C5161E5">
            <w:pPr>
              <w:pStyle w:val="70"/>
              <w:kinsoku w:val="0"/>
              <w:overflowPunct w:val="0"/>
              <w:spacing w:before="158" w:line="242" w:lineRule="auto"/>
              <w:ind w:left="528" w:right="155" w:hanging="360"/>
              <w:rPr>
                <w:rFonts w:hAnsi="宋体"/>
                <w:color w:val="auto"/>
              </w:rPr>
            </w:pPr>
            <w:r>
              <w:rPr>
                <w:rFonts w:hint="eastAsia" w:hAnsi="宋体"/>
                <w:color w:val="auto"/>
              </w:rPr>
              <w:t>竞争性磋商文件要求</w:t>
            </w:r>
          </w:p>
        </w:tc>
        <w:tc>
          <w:tcPr>
            <w:tcW w:w="1778" w:type="dxa"/>
            <w:tcBorders>
              <w:top w:val="single" w:color="000000" w:sz="4" w:space="0"/>
              <w:left w:val="single" w:color="000000" w:sz="4" w:space="0"/>
              <w:bottom w:val="single" w:color="000000" w:sz="4" w:space="0"/>
              <w:right w:val="single" w:color="000000" w:sz="4" w:space="0"/>
            </w:tcBorders>
          </w:tcPr>
          <w:p w14:paraId="2AC73164">
            <w:pPr>
              <w:pStyle w:val="70"/>
              <w:kinsoku w:val="0"/>
              <w:overflowPunct w:val="0"/>
              <w:spacing w:before="3"/>
              <w:rPr>
                <w:rFonts w:hAnsi="宋体" w:cs="Times New Roman"/>
                <w:color w:val="auto"/>
                <w:sz w:val="27"/>
                <w:szCs w:val="27"/>
              </w:rPr>
            </w:pPr>
          </w:p>
          <w:p w14:paraId="205178F9">
            <w:pPr>
              <w:pStyle w:val="70"/>
              <w:kinsoku w:val="0"/>
              <w:overflowPunct w:val="0"/>
              <w:ind w:left="168"/>
              <w:rPr>
                <w:rFonts w:hAnsi="宋体"/>
                <w:color w:val="auto"/>
              </w:rPr>
            </w:pPr>
            <w:r>
              <w:rPr>
                <w:rFonts w:hint="eastAsia" w:hAnsi="宋体"/>
                <w:color w:val="auto"/>
              </w:rPr>
              <w:t>响应文件内容</w:t>
            </w:r>
          </w:p>
        </w:tc>
        <w:tc>
          <w:tcPr>
            <w:tcW w:w="2183" w:type="dxa"/>
            <w:tcBorders>
              <w:top w:val="single" w:color="000000" w:sz="4" w:space="0"/>
              <w:left w:val="single" w:color="000000" w:sz="4" w:space="0"/>
              <w:bottom w:val="single" w:color="000000" w:sz="4" w:space="0"/>
              <w:right w:val="single" w:color="000000" w:sz="4" w:space="0"/>
            </w:tcBorders>
          </w:tcPr>
          <w:p w14:paraId="6A3FE68B">
            <w:pPr>
              <w:pStyle w:val="70"/>
              <w:kinsoku w:val="0"/>
              <w:overflowPunct w:val="0"/>
              <w:spacing w:before="3"/>
              <w:rPr>
                <w:rFonts w:hAnsi="宋体" w:cs="Times New Roman"/>
                <w:color w:val="auto"/>
                <w:sz w:val="27"/>
                <w:szCs w:val="27"/>
              </w:rPr>
            </w:pPr>
          </w:p>
          <w:p w14:paraId="7FEEDE30">
            <w:pPr>
              <w:pStyle w:val="70"/>
              <w:kinsoku w:val="0"/>
              <w:overflowPunct w:val="0"/>
              <w:ind w:left="610"/>
              <w:rPr>
                <w:rFonts w:hAnsi="宋体"/>
                <w:color w:val="auto"/>
              </w:rPr>
            </w:pPr>
            <w:r>
              <w:rPr>
                <w:rFonts w:hint="eastAsia" w:hAnsi="宋体"/>
                <w:color w:val="auto"/>
              </w:rPr>
              <w:t>偏离情况</w:t>
            </w:r>
          </w:p>
        </w:tc>
        <w:tc>
          <w:tcPr>
            <w:tcW w:w="981" w:type="dxa"/>
            <w:tcBorders>
              <w:top w:val="single" w:color="000000" w:sz="4" w:space="0"/>
              <w:left w:val="single" w:color="000000" w:sz="4" w:space="0"/>
              <w:bottom w:val="single" w:color="000000" w:sz="4" w:space="0"/>
              <w:right w:val="single" w:color="000000" w:sz="4" w:space="0"/>
            </w:tcBorders>
          </w:tcPr>
          <w:p w14:paraId="38D03E40">
            <w:pPr>
              <w:pStyle w:val="70"/>
              <w:kinsoku w:val="0"/>
              <w:overflowPunct w:val="0"/>
              <w:spacing w:before="3"/>
              <w:rPr>
                <w:rFonts w:hAnsi="宋体" w:cs="Times New Roman"/>
                <w:color w:val="auto"/>
                <w:sz w:val="27"/>
                <w:szCs w:val="27"/>
              </w:rPr>
            </w:pPr>
          </w:p>
          <w:p w14:paraId="4AE02142">
            <w:pPr>
              <w:pStyle w:val="70"/>
              <w:kinsoku w:val="0"/>
              <w:overflowPunct w:val="0"/>
              <w:ind w:left="249"/>
              <w:rPr>
                <w:rFonts w:hAnsi="宋体"/>
                <w:color w:val="auto"/>
              </w:rPr>
            </w:pPr>
            <w:r>
              <w:rPr>
                <w:rFonts w:hint="eastAsia" w:hAnsi="宋体"/>
                <w:color w:val="auto"/>
              </w:rPr>
              <w:t>说明</w:t>
            </w:r>
          </w:p>
        </w:tc>
      </w:tr>
      <w:tr w14:paraId="7D9BB5E7">
        <w:tblPrEx>
          <w:tblCellMar>
            <w:top w:w="0" w:type="dxa"/>
            <w:left w:w="0" w:type="dxa"/>
            <w:bottom w:w="0" w:type="dxa"/>
            <w:right w:w="0" w:type="dxa"/>
          </w:tblCellMar>
        </w:tblPrEx>
        <w:trPr>
          <w:trHeight w:val="1555" w:hRule="atLeast"/>
        </w:trPr>
        <w:tc>
          <w:tcPr>
            <w:tcW w:w="9288" w:type="dxa"/>
            <w:gridSpan w:val="6"/>
            <w:tcBorders>
              <w:top w:val="single" w:color="000000" w:sz="4" w:space="0"/>
              <w:left w:val="single" w:color="000000" w:sz="4" w:space="0"/>
              <w:bottom w:val="single" w:color="000000" w:sz="4" w:space="0"/>
              <w:right w:val="single" w:color="000000" w:sz="4" w:space="0"/>
            </w:tcBorders>
          </w:tcPr>
          <w:p w14:paraId="19CE3277">
            <w:pPr>
              <w:pStyle w:val="70"/>
              <w:kinsoku w:val="0"/>
              <w:overflowPunct w:val="0"/>
              <w:spacing w:before="1"/>
              <w:ind w:left="108"/>
              <w:rPr>
                <w:rFonts w:hAnsi="宋体"/>
                <w:color w:val="auto"/>
              </w:rPr>
            </w:pPr>
            <w:r>
              <w:rPr>
                <w:rFonts w:hint="eastAsia" w:hAnsi="宋体"/>
                <w:color w:val="auto"/>
              </w:rPr>
              <w:t>对本项目合同条款的偏离情况</w:t>
            </w:r>
            <w:r>
              <w:rPr>
                <w:rFonts w:hint="eastAsia" w:hAnsi="宋体"/>
                <w:color w:val="auto"/>
                <w:spacing w:val="-1"/>
              </w:rPr>
              <w:t>（应进行选择，未选择响应无效</w:t>
            </w:r>
            <w:r>
              <w:rPr>
                <w:rFonts w:hint="eastAsia" w:hAnsi="宋体"/>
                <w:color w:val="auto"/>
                <w:spacing w:val="-118"/>
              </w:rPr>
              <w:t>）</w:t>
            </w:r>
            <w:r>
              <w:rPr>
                <w:rFonts w:hint="eastAsia" w:hAnsi="宋体"/>
                <w:color w:val="auto"/>
              </w:rPr>
              <w:t>：</w:t>
            </w:r>
          </w:p>
          <w:p w14:paraId="124B6DC6">
            <w:pPr>
              <w:pStyle w:val="70"/>
              <w:kinsoku w:val="0"/>
              <w:overflowPunct w:val="0"/>
              <w:spacing w:before="7" w:line="237" w:lineRule="auto"/>
              <w:ind w:left="108" w:right="61"/>
              <w:rPr>
                <w:rFonts w:hAnsi="宋体"/>
                <w:color w:val="auto"/>
              </w:rPr>
            </w:pPr>
            <w:r>
              <w:rPr>
                <w:rFonts w:hAnsi="宋体" w:cs="Courier New"/>
                <w:b/>
                <w:bCs/>
                <w:color w:val="auto"/>
                <w:w w:val="140"/>
              </w:rPr>
              <w:t>□</w:t>
            </w:r>
            <w:r>
              <w:rPr>
                <w:rFonts w:hint="eastAsia" w:hAnsi="宋体"/>
                <w:color w:val="auto"/>
              </w:rPr>
              <w:t>无偏离（如无偏离，仅选择无偏离即可；无偏离即为对合同条款中的所有要求，均视作供应商已对之理解和响应。）</w:t>
            </w:r>
          </w:p>
          <w:p w14:paraId="737FBF3F">
            <w:pPr>
              <w:pStyle w:val="70"/>
              <w:kinsoku w:val="0"/>
              <w:overflowPunct w:val="0"/>
              <w:spacing w:before="6" w:line="300" w:lineRule="atLeast"/>
              <w:ind w:left="108" w:right="75"/>
              <w:rPr>
                <w:rFonts w:hAnsi="宋体"/>
                <w:color w:val="auto"/>
              </w:rPr>
            </w:pPr>
            <w:r>
              <w:rPr>
                <w:rFonts w:hAnsi="宋体" w:cs="Courier New"/>
                <w:b/>
                <w:bCs/>
                <w:color w:val="auto"/>
                <w:w w:val="140"/>
              </w:rPr>
              <w:t>□</w:t>
            </w:r>
            <w:r>
              <w:rPr>
                <w:rFonts w:hint="eastAsia" w:hAnsi="宋体"/>
                <w:color w:val="auto"/>
              </w:rPr>
              <w:t>有偏离（如有偏离，则应在本表中对负偏离项逐一列明，否则响应无效；对合同条款中的所有要求，除本表列明的偏离外，均视作供应商已对之理解和响应。）</w:t>
            </w:r>
          </w:p>
        </w:tc>
      </w:tr>
      <w:tr w14:paraId="30DF552B">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33CA7910">
            <w:pPr>
              <w:pStyle w:val="70"/>
              <w:kinsoku w:val="0"/>
              <w:overflowPunct w:val="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586F1C6A">
            <w:pPr>
              <w:pStyle w:val="70"/>
              <w:kinsoku w:val="0"/>
              <w:overflowPunct w:val="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66C7D708">
            <w:pPr>
              <w:pStyle w:val="70"/>
              <w:kinsoku w:val="0"/>
              <w:overflowPunct w:val="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6F5A75F7">
            <w:pPr>
              <w:pStyle w:val="70"/>
              <w:kinsoku w:val="0"/>
              <w:overflowPunct w:val="0"/>
              <w:rPr>
                <w:rFonts w:hAnsi="宋体" w:cs="Times New Roman"/>
                <w:color w:val="auto"/>
                <w:sz w:val="22"/>
                <w:szCs w:val="22"/>
              </w:rPr>
            </w:pPr>
          </w:p>
        </w:tc>
        <w:tc>
          <w:tcPr>
            <w:tcW w:w="2183" w:type="dxa"/>
            <w:tcBorders>
              <w:top w:val="single" w:color="000000" w:sz="4" w:space="0"/>
              <w:left w:val="single" w:color="000000" w:sz="4" w:space="0"/>
              <w:bottom w:val="single" w:color="000000" w:sz="4" w:space="0"/>
              <w:right w:val="single" w:color="000000" w:sz="4" w:space="0"/>
            </w:tcBorders>
          </w:tcPr>
          <w:p w14:paraId="703F9460">
            <w:pPr>
              <w:pStyle w:val="70"/>
              <w:kinsoku w:val="0"/>
              <w:overflowPunct w:val="0"/>
              <w:rPr>
                <w:rFonts w:hAnsi="宋体" w:cs="Times New Roman"/>
                <w:color w:val="auto"/>
                <w:sz w:val="22"/>
                <w:szCs w:val="22"/>
              </w:rPr>
            </w:pPr>
          </w:p>
        </w:tc>
        <w:tc>
          <w:tcPr>
            <w:tcW w:w="981" w:type="dxa"/>
            <w:tcBorders>
              <w:top w:val="single" w:color="000000" w:sz="4" w:space="0"/>
              <w:left w:val="single" w:color="000000" w:sz="4" w:space="0"/>
              <w:bottom w:val="single" w:color="000000" w:sz="4" w:space="0"/>
              <w:right w:val="single" w:color="000000" w:sz="4" w:space="0"/>
            </w:tcBorders>
          </w:tcPr>
          <w:p w14:paraId="7754A103">
            <w:pPr>
              <w:pStyle w:val="70"/>
              <w:kinsoku w:val="0"/>
              <w:overflowPunct w:val="0"/>
              <w:rPr>
                <w:rFonts w:hAnsi="宋体" w:cs="Times New Roman"/>
                <w:color w:val="auto"/>
                <w:sz w:val="22"/>
                <w:szCs w:val="22"/>
              </w:rPr>
            </w:pPr>
          </w:p>
        </w:tc>
      </w:tr>
      <w:tr w14:paraId="120763F5">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63DA9619">
            <w:pPr>
              <w:pStyle w:val="70"/>
              <w:kinsoku w:val="0"/>
              <w:overflowPunct w:val="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059DAD9B">
            <w:pPr>
              <w:pStyle w:val="70"/>
              <w:kinsoku w:val="0"/>
              <w:overflowPunct w:val="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2BD9AD15">
            <w:pPr>
              <w:pStyle w:val="70"/>
              <w:kinsoku w:val="0"/>
              <w:overflowPunct w:val="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462842E5">
            <w:pPr>
              <w:pStyle w:val="70"/>
              <w:kinsoku w:val="0"/>
              <w:overflowPunct w:val="0"/>
              <w:rPr>
                <w:rFonts w:hAnsi="宋体" w:cs="Times New Roman"/>
                <w:color w:val="auto"/>
                <w:sz w:val="22"/>
                <w:szCs w:val="22"/>
              </w:rPr>
            </w:pPr>
          </w:p>
        </w:tc>
        <w:tc>
          <w:tcPr>
            <w:tcW w:w="2183" w:type="dxa"/>
            <w:tcBorders>
              <w:top w:val="single" w:color="000000" w:sz="4" w:space="0"/>
              <w:left w:val="single" w:color="000000" w:sz="4" w:space="0"/>
              <w:bottom w:val="single" w:color="000000" w:sz="4" w:space="0"/>
              <w:right w:val="single" w:color="000000" w:sz="4" w:space="0"/>
            </w:tcBorders>
          </w:tcPr>
          <w:p w14:paraId="1AF08861">
            <w:pPr>
              <w:pStyle w:val="70"/>
              <w:kinsoku w:val="0"/>
              <w:overflowPunct w:val="0"/>
              <w:rPr>
                <w:rFonts w:hAnsi="宋体" w:cs="Times New Roman"/>
                <w:color w:val="auto"/>
                <w:sz w:val="22"/>
                <w:szCs w:val="22"/>
              </w:rPr>
            </w:pPr>
          </w:p>
        </w:tc>
        <w:tc>
          <w:tcPr>
            <w:tcW w:w="981" w:type="dxa"/>
            <w:tcBorders>
              <w:top w:val="single" w:color="000000" w:sz="4" w:space="0"/>
              <w:left w:val="single" w:color="000000" w:sz="4" w:space="0"/>
              <w:bottom w:val="single" w:color="000000" w:sz="4" w:space="0"/>
              <w:right w:val="single" w:color="000000" w:sz="4" w:space="0"/>
            </w:tcBorders>
          </w:tcPr>
          <w:p w14:paraId="58BE4F1C">
            <w:pPr>
              <w:pStyle w:val="70"/>
              <w:kinsoku w:val="0"/>
              <w:overflowPunct w:val="0"/>
              <w:rPr>
                <w:rFonts w:hAnsi="宋体" w:cs="Times New Roman"/>
                <w:color w:val="auto"/>
                <w:sz w:val="22"/>
                <w:szCs w:val="22"/>
              </w:rPr>
            </w:pPr>
          </w:p>
        </w:tc>
      </w:tr>
      <w:tr w14:paraId="028F8ADB">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6D1966FE">
            <w:pPr>
              <w:pStyle w:val="70"/>
              <w:kinsoku w:val="0"/>
              <w:overflowPunct w:val="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2A1B0B09">
            <w:pPr>
              <w:pStyle w:val="70"/>
              <w:kinsoku w:val="0"/>
              <w:overflowPunct w:val="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33FA6C6B">
            <w:pPr>
              <w:pStyle w:val="70"/>
              <w:kinsoku w:val="0"/>
              <w:overflowPunct w:val="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4BBE94EC">
            <w:pPr>
              <w:pStyle w:val="70"/>
              <w:kinsoku w:val="0"/>
              <w:overflowPunct w:val="0"/>
              <w:rPr>
                <w:rFonts w:hAnsi="宋体" w:cs="Times New Roman"/>
                <w:color w:val="auto"/>
                <w:sz w:val="22"/>
                <w:szCs w:val="22"/>
              </w:rPr>
            </w:pPr>
          </w:p>
        </w:tc>
        <w:tc>
          <w:tcPr>
            <w:tcW w:w="2183" w:type="dxa"/>
            <w:tcBorders>
              <w:top w:val="single" w:color="000000" w:sz="4" w:space="0"/>
              <w:left w:val="single" w:color="000000" w:sz="4" w:space="0"/>
              <w:bottom w:val="single" w:color="000000" w:sz="4" w:space="0"/>
              <w:right w:val="single" w:color="000000" w:sz="4" w:space="0"/>
            </w:tcBorders>
          </w:tcPr>
          <w:p w14:paraId="0FB7AB1B">
            <w:pPr>
              <w:pStyle w:val="70"/>
              <w:kinsoku w:val="0"/>
              <w:overflowPunct w:val="0"/>
              <w:rPr>
                <w:rFonts w:hAnsi="宋体" w:cs="Times New Roman"/>
                <w:color w:val="auto"/>
                <w:sz w:val="22"/>
                <w:szCs w:val="22"/>
              </w:rPr>
            </w:pPr>
          </w:p>
        </w:tc>
        <w:tc>
          <w:tcPr>
            <w:tcW w:w="981" w:type="dxa"/>
            <w:tcBorders>
              <w:top w:val="single" w:color="000000" w:sz="4" w:space="0"/>
              <w:left w:val="single" w:color="000000" w:sz="4" w:space="0"/>
              <w:bottom w:val="single" w:color="000000" w:sz="4" w:space="0"/>
              <w:right w:val="single" w:color="000000" w:sz="4" w:space="0"/>
            </w:tcBorders>
          </w:tcPr>
          <w:p w14:paraId="3CF4BDB2">
            <w:pPr>
              <w:pStyle w:val="70"/>
              <w:kinsoku w:val="0"/>
              <w:overflowPunct w:val="0"/>
              <w:rPr>
                <w:rFonts w:hAnsi="宋体" w:cs="Times New Roman"/>
                <w:color w:val="auto"/>
                <w:sz w:val="22"/>
                <w:szCs w:val="22"/>
              </w:rPr>
            </w:pPr>
          </w:p>
        </w:tc>
      </w:tr>
      <w:tr w14:paraId="6B1117D2">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5C887076">
            <w:pPr>
              <w:pStyle w:val="70"/>
              <w:kinsoku w:val="0"/>
              <w:overflowPunct w:val="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17170AB9">
            <w:pPr>
              <w:pStyle w:val="70"/>
              <w:kinsoku w:val="0"/>
              <w:overflowPunct w:val="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56083F1C">
            <w:pPr>
              <w:pStyle w:val="70"/>
              <w:kinsoku w:val="0"/>
              <w:overflowPunct w:val="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5B371DF0">
            <w:pPr>
              <w:pStyle w:val="70"/>
              <w:kinsoku w:val="0"/>
              <w:overflowPunct w:val="0"/>
              <w:rPr>
                <w:rFonts w:hAnsi="宋体" w:cs="Times New Roman"/>
                <w:color w:val="auto"/>
                <w:sz w:val="22"/>
                <w:szCs w:val="22"/>
              </w:rPr>
            </w:pPr>
          </w:p>
        </w:tc>
        <w:tc>
          <w:tcPr>
            <w:tcW w:w="2183" w:type="dxa"/>
            <w:tcBorders>
              <w:top w:val="single" w:color="000000" w:sz="4" w:space="0"/>
              <w:left w:val="single" w:color="000000" w:sz="4" w:space="0"/>
              <w:bottom w:val="single" w:color="000000" w:sz="4" w:space="0"/>
              <w:right w:val="single" w:color="000000" w:sz="4" w:space="0"/>
            </w:tcBorders>
          </w:tcPr>
          <w:p w14:paraId="7A05924C">
            <w:pPr>
              <w:pStyle w:val="70"/>
              <w:kinsoku w:val="0"/>
              <w:overflowPunct w:val="0"/>
              <w:rPr>
                <w:rFonts w:hAnsi="宋体" w:cs="Times New Roman"/>
                <w:color w:val="auto"/>
                <w:sz w:val="22"/>
                <w:szCs w:val="22"/>
              </w:rPr>
            </w:pPr>
          </w:p>
        </w:tc>
        <w:tc>
          <w:tcPr>
            <w:tcW w:w="981" w:type="dxa"/>
            <w:tcBorders>
              <w:top w:val="single" w:color="000000" w:sz="4" w:space="0"/>
              <w:left w:val="single" w:color="000000" w:sz="4" w:space="0"/>
              <w:bottom w:val="single" w:color="000000" w:sz="4" w:space="0"/>
              <w:right w:val="single" w:color="000000" w:sz="4" w:space="0"/>
            </w:tcBorders>
          </w:tcPr>
          <w:p w14:paraId="0B67BCFB">
            <w:pPr>
              <w:pStyle w:val="70"/>
              <w:kinsoku w:val="0"/>
              <w:overflowPunct w:val="0"/>
              <w:rPr>
                <w:rFonts w:hAnsi="宋体" w:cs="Times New Roman"/>
                <w:color w:val="auto"/>
                <w:sz w:val="22"/>
                <w:szCs w:val="22"/>
              </w:rPr>
            </w:pPr>
          </w:p>
        </w:tc>
      </w:tr>
      <w:tr w14:paraId="0C022559">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6267DAF5">
            <w:pPr>
              <w:pStyle w:val="70"/>
              <w:kinsoku w:val="0"/>
              <w:overflowPunct w:val="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00B16456">
            <w:pPr>
              <w:pStyle w:val="70"/>
              <w:kinsoku w:val="0"/>
              <w:overflowPunct w:val="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5A072C0B">
            <w:pPr>
              <w:pStyle w:val="70"/>
              <w:kinsoku w:val="0"/>
              <w:overflowPunct w:val="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22E47EE1">
            <w:pPr>
              <w:pStyle w:val="70"/>
              <w:kinsoku w:val="0"/>
              <w:overflowPunct w:val="0"/>
              <w:rPr>
                <w:rFonts w:hAnsi="宋体" w:cs="Times New Roman"/>
                <w:color w:val="auto"/>
                <w:sz w:val="22"/>
                <w:szCs w:val="22"/>
              </w:rPr>
            </w:pPr>
          </w:p>
        </w:tc>
        <w:tc>
          <w:tcPr>
            <w:tcW w:w="2183" w:type="dxa"/>
            <w:tcBorders>
              <w:top w:val="single" w:color="000000" w:sz="4" w:space="0"/>
              <w:left w:val="single" w:color="000000" w:sz="4" w:space="0"/>
              <w:bottom w:val="single" w:color="000000" w:sz="4" w:space="0"/>
              <w:right w:val="single" w:color="000000" w:sz="4" w:space="0"/>
            </w:tcBorders>
          </w:tcPr>
          <w:p w14:paraId="7FA29FCE">
            <w:pPr>
              <w:pStyle w:val="70"/>
              <w:kinsoku w:val="0"/>
              <w:overflowPunct w:val="0"/>
              <w:rPr>
                <w:rFonts w:hAnsi="宋体" w:cs="Times New Roman"/>
                <w:color w:val="auto"/>
                <w:sz w:val="22"/>
                <w:szCs w:val="22"/>
              </w:rPr>
            </w:pPr>
          </w:p>
        </w:tc>
        <w:tc>
          <w:tcPr>
            <w:tcW w:w="981" w:type="dxa"/>
            <w:tcBorders>
              <w:top w:val="single" w:color="000000" w:sz="4" w:space="0"/>
              <w:left w:val="single" w:color="000000" w:sz="4" w:space="0"/>
              <w:bottom w:val="single" w:color="000000" w:sz="4" w:space="0"/>
              <w:right w:val="single" w:color="000000" w:sz="4" w:space="0"/>
            </w:tcBorders>
          </w:tcPr>
          <w:p w14:paraId="65F3992B">
            <w:pPr>
              <w:pStyle w:val="70"/>
              <w:kinsoku w:val="0"/>
              <w:overflowPunct w:val="0"/>
              <w:rPr>
                <w:rFonts w:hAnsi="宋体" w:cs="Times New Roman"/>
                <w:color w:val="auto"/>
                <w:sz w:val="22"/>
                <w:szCs w:val="22"/>
              </w:rPr>
            </w:pPr>
          </w:p>
        </w:tc>
      </w:tr>
    </w:tbl>
    <w:p w14:paraId="4C6104C6">
      <w:pPr>
        <w:pStyle w:val="17"/>
        <w:kinsoku w:val="0"/>
        <w:overflowPunct w:val="0"/>
        <w:spacing w:before="2"/>
        <w:rPr>
          <w:rFonts w:hAnsi="宋体" w:cs="Times New Roman"/>
          <w:color w:val="auto"/>
          <w:sz w:val="17"/>
          <w:szCs w:val="17"/>
        </w:rPr>
      </w:pPr>
    </w:p>
    <w:p w14:paraId="62D84D53">
      <w:pPr>
        <w:pStyle w:val="17"/>
        <w:kinsoku w:val="0"/>
        <w:overflowPunct w:val="0"/>
        <w:spacing w:before="85"/>
        <w:ind w:left="401"/>
        <w:rPr>
          <w:rFonts w:hAnsi="宋体"/>
          <w:color w:val="auto"/>
          <w:w w:val="110"/>
        </w:rPr>
      </w:pPr>
      <w:r>
        <w:rPr>
          <w:rFonts w:hint="eastAsia" w:hAnsi="宋体"/>
          <w:color w:val="auto"/>
          <w:w w:val="110"/>
        </w:rPr>
        <w:t>注：</w:t>
      </w:r>
      <w:r>
        <w:rPr>
          <w:rFonts w:hAnsi="宋体"/>
          <w:color w:val="auto"/>
          <w:w w:val="110"/>
        </w:rPr>
        <w:t xml:space="preserve"> </w:t>
      </w:r>
      <w:r>
        <w:rPr>
          <w:rFonts w:hAnsi="宋体" w:cs="Arial"/>
          <w:color w:val="auto"/>
          <w:w w:val="135"/>
        </w:rPr>
        <w:t>“</w:t>
      </w:r>
      <w:r>
        <w:rPr>
          <w:rFonts w:hint="eastAsia" w:hAnsi="宋体"/>
          <w:color w:val="auto"/>
          <w:w w:val="110"/>
        </w:rPr>
        <w:t>偏离情况</w:t>
      </w:r>
      <w:r>
        <w:rPr>
          <w:rFonts w:hAnsi="宋体" w:cs="Arial"/>
          <w:color w:val="auto"/>
          <w:w w:val="135"/>
        </w:rPr>
        <w:t>”</w:t>
      </w:r>
      <w:r>
        <w:rPr>
          <w:rFonts w:hint="eastAsia" w:hAnsi="宋体"/>
          <w:color w:val="auto"/>
          <w:w w:val="110"/>
        </w:rPr>
        <w:t>列应据实填写</w:t>
      </w:r>
      <w:r>
        <w:rPr>
          <w:rFonts w:hAnsi="宋体" w:cs="Arial"/>
          <w:color w:val="auto"/>
          <w:w w:val="135"/>
        </w:rPr>
        <w:t>“</w:t>
      </w:r>
      <w:r>
        <w:rPr>
          <w:rFonts w:hint="eastAsia" w:hAnsi="宋体"/>
          <w:color w:val="auto"/>
          <w:w w:val="110"/>
        </w:rPr>
        <w:t>正偏离</w:t>
      </w:r>
      <w:r>
        <w:rPr>
          <w:rFonts w:hAnsi="宋体" w:cs="Arial"/>
          <w:color w:val="auto"/>
          <w:w w:val="135"/>
        </w:rPr>
        <w:t>”</w:t>
      </w:r>
      <w:r>
        <w:rPr>
          <w:rFonts w:hint="eastAsia" w:hAnsi="宋体"/>
          <w:color w:val="auto"/>
          <w:w w:val="110"/>
        </w:rPr>
        <w:t>或</w:t>
      </w:r>
      <w:r>
        <w:rPr>
          <w:rFonts w:hAnsi="宋体" w:cs="Arial"/>
          <w:color w:val="auto"/>
          <w:w w:val="135"/>
        </w:rPr>
        <w:t>“</w:t>
      </w:r>
      <w:r>
        <w:rPr>
          <w:rFonts w:hint="eastAsia" w:hAnsi="宋体"/>
          <w:color w:val="auto"/>
          <w:w w:val="110"/>
        </w:rPr>
        <w:t>负偏离</w:t>
      </w:r>
      <w:r>
        <w:rPr>
          <w:rFonts w:hAnsi="宋体" w:cs="Arial"/>
          <w:color w:val="auto"/>
          <w:w w:val="135"/>
        </w:rPr>
        <w:t>”</w:t>
      </w:r>
      <w:r>
        <w:rPr>
          <w:rFonts w:hint="eastAsia" w:hAnsi="宋体"/>
          <w:color w:val="auto"/>
          <w:w w:val="110"/>
        </w:rPr>
        <w:t>。</w:t>
      </w:r>
    </w:p>
    <w:p w14:paraId="2509857F">
      <w:pPr>
        <w:pStyle w:val="17"/>
        <w:kinsoku w:val="0"/>
        <w:overflowPunct w:val="0"/>
        <w:spacing w:before="10"/>
        <w:rPr>
          <w:rFonts w:hAnsi="宋体"/>
          <w:color w:val="auto"/>
          <w:sz w:val="34"/>
          <w:szCs w:val="34"/>
        </w:rPr>
      </w:pPr>
    </w:p>
    <w:p w14:paraId="05A8E160">
      <w:pPr>
        <w:pStyle w:val="17"/>
        <w:tabs>
          <w:tab w:val="left" w:pos="1601"/>
          <w:tab w:val="left" w:pos="2321"/>
          <w:tab w:val="left" w:pos="3041"/>
          <w:tab w:val="left" w:pos="5014"/>
        </w:tabs>
        <w:kinsoku w:val="0"/>
        <w:overflowPunct w:val="0"/>
        <w:spacing w:before="1" w:line="384" w:lineRule="auto"/>
        <w:ind w:left="401" w:right="4870" w:hanging="1"/>
        <w:rPr>
          <w:rFonts w:hAnsi="宋体"/>
          <w:color w:val="auto"/>
        </w:rPr>
      </w:pPr>
      <w:r>
        <w:rPr>
          <w:rFonts w:hint="eastAsia" w:hAnsi="宋体"/>
          <w:color w:val="auto"/>
        </w:rPr>
        <w:t>供应商名称（加盖公章</w:t>
      </w:r>
      <w:r>
        <w:rPr>
          <w:rFonts w:hint="eastAsia" w:hAnsi="宋体"/>
          <w:color w:val="auto"/>
          <w:spacing w:val="-120"/>
        </w:rPr>
        <w:t>）</w:t>
      </w:r>
      <w:r>
        <w:rPr>
          <w:rFonts w:hint="eastAsia" w:hAnsi="宋体"/>
          <w:color w:val="auto"/>
          <w:spacing w:val="-1"/>
        </w:rPr>
        <w:t>：</w:t>
      </w:r>
      <w:r>
        <w:rPr>
          <w:rFonts w:hAnsi="宋体" w:cs="Times New Roman"/>
          <w:color w:val="auto"/>
          <w:u w:val="single" w:color="000000"/>
        </w:rPr>
        <w:t xml:space="preserve"> </w:t>
      </w:r>
      <w:r>
        <w:rPr>
          <w:rFonts w:hAnsi="宋体" w:cs="Times New Roman"/>
          <w:color w:val="auto"/>
          <w:u w:val="single" w:color="000000"/>
        </w:rPr>
        <w:tab/>
      </w:r>
      <w:r>
        <w:rPr>
          <w:rFonts w:hAnsi="宋体" w:cs="Times New Roman"/>
          <w:color w:val="auto"/>
          <w:u w:val="single" w:color="000000"/>
        </w:rPr>
        <w:t xml:space="preserve"> </w:t>
      </w: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1769DCD5">
      <w:pPr>
        <w:pStyle w:val="17"/>
        <w:tabs>
          <w:tab w:val="left" w:pos="1601"/>
          <w:tab w:val="left" w:pos="2321"/>
          <w:tab w:val="left" w:pos="3041"/>
          <w:tab w:val="left" w:pos="5014"/>
        </w:tabs>
        <w:kinsoku w:val="0"/>
        <w:overflowPunct w:val="0"/>
        <w:spacing w:before="1" w:line="384" w:lineRule="auto"/>
        <w:ind w:left="401" w:right="4870" w:hanging="1"/>
        <w:rPr>
          <w:rFonts w:hAnsi="宋体"/>
          <w:color w:val="auto"/>
        </w:rPr>
        <w:sectPr>
          <w:headerReference r:id="rId6" w:type="default"/>
          <w:footerReference r:id="rId7" w:type="default"/>
          <w:pgSz w:w="11910" w:h="16840"/>
          <w:pgMar w:top="1340" w:right="720" w:bottom="1080" w:left="1300" w:header="879" w:footer="892" w:gutter="0"/>
          <w:pgNumType w:fmt="decimal"/>
          <w:cols w:space="720" w:num="1"/>
        </w:sectPr>
      </w:pPr>
    </w:p>
    <w:p w14:paraId="78D49545">
      <w:pPr>
        <w:pStyle w:val="69"/>
        <w:spacing w:line="360" w:lineRule="auto"/>
        <w:ind w:left="540" w:firstLine="0"/>
        <w:outlineLvl w:val="0"/>
        <w:rPr>
          <w:rFonts w:hAnsi="宋体"/>
          <w:color w:val="auto"/>
        </w:rPr>
      </w:pPr>
      <w:bookmarkStart w:id="100" w:name="_Toc149147588"/>
      <w:bookmarkStart w:id="101" w:name="_Toc149147743"/>
      <w:r>
        <w:rPr>
          <w:rFonts w:hint="eastAsia" w:hAnsi="宋体"/>
          <w:color w:val="auto"/>
          <w:lang w:val="en-US" w:eastAsia="zh-CN"/>
        </w:rPr>
        <w:t>9</w:t>
      </w:r>
      <w:r>
        <w:rPr>
          <w:rFonts w:hAnsi="宋体"/>
          <w:color w:val="auto"/>
        </w:rPr>
        <w:t xml:space="preserve"> </w:t>
      </w:r>
      <w:r>
        <w:rPr>
          <w:rFonts w:hint="eastAsia" w:hAnsi="宋体"/>
          <w:color w:val="auto"/>
        </w:rPr>
        <w:t>采购需求偏离表（实质性格式）</w:t>
      </w:r>
      <w:bookmarkEnd w:id="100"/>
      <w:bookmarkEnd w:id="101"/>
    </w:p>
    <w:p w14:paraId="646C0A44">
      <w:pPr>
        <w:jc w:val="center"/>
        <w:rPr>
          <w:rFonts w:hAnsi="宋体"/>
          <w:color w:val="auto"/>
          <w:sz w:val="32"/>
          <w:szCs w:val="32"/>
        </w:rPr>
      </w:pPr>
      <w:r>
        <w:rPr>
          <w:rFonts w:hint="eastAsia" w:hAnsi="宋体"/>
          <w:color w:val="auto"/>
          <w:sz w:val="32"/>
          <w:szCs w:val="32"/>
        </w:rPr>
        <w:t>采购需求偏离表</w:t>
      </w:r>
    </w:p>
    <w:p w14:paraId="15FF96F8">
      <w:pPr>
        <w:pStyle w:val="17"/>
        <w:kinsoku w:val="0"/>
        <w:overflowPunct w:val="0"/>
        <w:spacing w:before="2"/>
        <w:rPr>
          <w:rFonts w:hAnsi="宋体"/>
          <w:color w:val="auto"/>
          <w:sz w:val="12"/>
          <w:szCs w:val="12"/>
        </w:rPr>
      </w:pPr>
    </w:p>
    <w:p w14:paraId="62A287C2">
      <w:pPr>
        <w:pStyle w:val="17"/>
        <w:tabs>
          <w:tab w:val="left" w:pos="4373"/>
          <w:tab w:val="left" w:pos="4920"/>
          <w:tab w:val="left" w:pos="7973"/>
        </w:tabs>
        <w:kinsoku w:val="0"/>
        <w:overflowPunct w:val="0"/>
        <w:spacing w:before="83"/>
        <w:ind w:left="761"/>
        <w:rPr>
          <w:rFonts w:hAnsi="宋体" w:cs="Times New Roman"/>
          <w:color w:val="auto"/>
          <w:u w:val="single" w:color="000000"/>
        </w:rPr>
      </w:pPr>
      <w:r>
        <w:rPr>
          <w:rFonts w:hint="eastAsia" w:hAnsi="宋体"/>
          <w:color w:val="auto"/>
        </w:rPr>
        <w:t>项目编号</w:t>
      </w:r>
      <w:r>
        <w:rPr>
          <w:rFonts w:hAnsi="宋体" w:cs="Arial"/>
          <w:color w:val="auto"/>
        </w:rPr>
        <w:t>/</w:t>
      </w:r>
      <w:r>
        <w:rPr>
          <w:rFonts w:hint="eastAsia" w:hAnsi="宋体"/>
          <w:color w:val="auto"/>
        </w:rPr>
        <w:t>包号：</w:t>
      </w:r>
      <w:r>
        <w:rPr>
          <w:rFonts w:hAnsi="宋体"/>
          <w:color w:val="auto"/>
          <w:u w:val="single" w:color="000000"/>
        </w:rPr>
        <w:t xml:space="preserve"> </w:t>
      </w:r>
      <w:r>
        <w:rPr>
          <w:rFonts w:hAnsi="宋体"/>
          <w:color w:val="auto"/>
          <w:u w:val="single" w:color="000000"/>
        </w:rPr>
        <w:tab/>
      </w:r>
      <w:r>
        <w:rPr>
          <w:rFonts w:hAnsi="宋体"/>
          <w:color w:val="auto"/>
        </w:rPr>
        <w:tab/>
      </w:r>
      <w:r>
        <w:rPr>
          <w:rFonts w:hint="eastAsia" w:hAnsi="宋体"/>
          <w:color w:val="auto"/>
          <w:spacing w:val="-1"/>
        </w:rPr>
        <w:t>项</w:t>
      </w:r>
      <w:r>
        <w:rPr>
          <w:rFonts w:hint="eastAsia" w:hAnsi="宋体"/>
          <w:color w:val="auto"/>
        </w:rPr>
        <w:t>目名称：</w:t>
      </w:r>
      <w:r>
        <w:rPr>
          <w:rFonts w:hAnsi="宋体" w:cs="Times New Roman"/>
          <w:color w:val="auto"/>
          <w:u w:val="single" w:color="000000"/>
        </w:rPr>
        <w:t xml:space="preserve"> </w:t>
      </w:r>
      <w:r>
        <w:rPr>
          <w:rFonts w:hAnsi="宋体" w:cs="Times New Roman"/>
          <w:color w:val="auto"/>
          <w:u w:val="single" w:color="000000"/>
        </w:rPr>
        <w:tab/>
      </w:r>
    </w:p>
    <w:tbl>
      <w:tblPr>
        <w:tblStyle w:val="43"/>
        <w:tblW w:w="8747" w:type="dxa"/>
        <w:tblInd w:w="298" w:type="dxa"/>
        <w:tblLayout w:type="fixed"/>
        <w:tblCellMar>
          <w:top w:w="0" w:type="dxa"/>
          <w:left w:w="0" w:type="dxa"/>
          <w:bottom w:w="0" w:type="dxa"/>
          <w:right w:w="0" w:type="dxa"/>
        </w:tblCellMar>
      </w:tblPr>
      <w:tblGrid>
        <w:gridCol w:w="1009"/>
        <w:gridCol w:w="1561"/>
        <w:gridCol w:w="1776"/>
        <w:gridCol w:w="1778"/>
        <w:gridCol w:w="1607"/>
        <w:gridCol w:w="1016"/>
      </w:tblGrid>
      <w:tr w14:paraId="12A89865">
        <w:tblPrEx>
          <w:tblCellMar>
            <w:top w:w="0" w:type="dxa"/>
            <w:left w:w="0" w:type="dxa"/>
            <w:bottom w:w="0" w:type="dxa"/>
            <w:right w:w="0" w:type="dxa"/>
          </w:tblCellMar>
        </w:tblPrEx>
        <w:trPr>
          <w:trHeight w:val="933" w:hRule="atLeast"/>
        </w:trPr>
        <w:tc>
          <w:tcPr>
            <w:tcW w:w="1009" w:type="dxa"/>
            <w:tcBorders>
              <w:top w:val="single" w:color="000000" w:sz="4" w:space="0"/>
              <w:left w:val="single" w:color="000000" w:sz="4" w:space="0"/>
              <w:bottom w:val="single" w:color="000000" w:sz="4" w:space="0"/>
              <w:right w:val="single" w:color="000000" w:sz="4" w:space="0"/>
            </w:tcBorders>
          </w:tcPr>
          <w:p w14:paraId="69320687">
            <w:pPr>
              <w:pStyle w:val="70"/>
              <w:kinsoku w:val="0"/>
              <w:overflowPunct w:val="0"/>
              <w:spacing w:before="3"/>
              <w:jc w:val="center"/>
              <w:rPr>
                <w:rFonts w:hAnsi="宋体" w:cs="Times New Roman"/>
                <w:color w:val="auto"/>
                <w:sz w:val="27"/>
                <w:szCs w:val="27"/>
              </w:rPr>
            </w:pPr>
          </w:p>
          <w:p w14:paraId="1E280A09">
            <w:pPr>
              <w:pStyle w:val="70"/>
              <w:kinsoku w:val="0"/>
              <w:overflowPunct w:val="0"/>
              <w:jc w:val="center"/>
              <w:rPr>
                <w:rFonts w:hAnsi="宋体"/>
                <w:color w:val="auto"/>
              </w:rPr>
            </w:pPr>
            <w:r>
              <w:rPr>
                <w:rFonts w:hint="eastAsia" w:hAnsi="宋体"/>
                <w:color w:val="auto"/>
              </w:rPr>
              <w:t>序号</w:t>
            </w:r>
          </w:p>
        </w:tc>
        <w:tc>
          <w:tcPr>
            <w:tcW w:w="1561" w:type="dxa"/>
            <w:tcBorders>
              <w:top w:val="single" w:color="000000" w:sz="4" w:space="0"/>
              <w:left w:val="single" w:color="000000" w:sz="4" w:space="0"/>
              <w:bottom w:val="single" w:color="000000" w:sz="4" w:space="0"/>
              <w:right w:val="single" w:color="000000" w:sz="4" w:space="0"/>
            </w:tcBorders>
          </w:tcPr>
          <w:p w14:paraId="66B75909">
            <w:pPr>
              <w:pStyle w:val="70"/>
              <w:kinsoku w:val="0"/>
              <w:overflowPunct w:val="0"/>
              <w:spacing w:before="2" w:line="242" w:lineRule="auto"/>
              <w:ind w:right="169"/>
              <w:jc w:val="center"/>
              <w:rPr>
                <w:rFonts w:hAnsi="宋体"/>
                <w:color w:val="auto"/>
                <w:spacing w:val="-4"/>
              </w:rPr>
            </w:pPr>
            <w:r>
              <w:rPr>
                <w:rFonts w:hint="eastAsia" w:hAnsi="宋体"/>
                <w:color w:val="auto"/>
                <w:spacing w:val="-4"/>
              </w:rPr>
              <w:t>竞争性磋商文件条目号</w:t>
            </w:r>
          </w:p>
          <w:p w14:paraId="16080A0B">
            <w:pPr>
              <w:pStyle w:val="70"/>
              <w:kinsoku w:val="0"/>
              <w:overflowPunct w:val="0"/>
              <w:spacing w:before="3" w:line="288" w:lineRule="exact"/>
              <w:jc w:val="center"/>
              <w:rPr>
                <w:rFonts w:hAnsi="宋体"/>
                <w:color w:val="auto"/>
              </w:rPr>
            </w:pPr>
            <w:r>
              <w:rPr>
                <w:rFonts w:hint="eastAsia" w:hAnsi="宋体"/>
                <w:color w:val="auto"/>
              </w:rPr>
              <w:t>（页码）</w:t>
            </w:r>
          </w:p>
        </w:tc>
        <w:tc>
          <w:tcPr>
            <w:tcW w:w="1776" w:type="dxa"/>
            <w:tcBorders>
              <w:top w:val="single" w:color="000000" w:sz="4" w:space="0"/>
              <w:left w:val="single" w:color="000000" w:sz="4" w:space="0"/>
              <w:bottom w:val="single" w:color="000000" w:sz="4" w:space="0"/>
              <w:right w:val="single" w:color="000000" w:sz="4" w:space="0"/>
            </w:tcBorders>
          </w:tcPr>
          <w:p w14:paraId="45266B75">
            <w:pPr>
              <w:pStyle w:val="70"/>
              <w:kinsoku w:val="0"/>
              <w:overflowPunct w:val="0"/>
              <w:spacing w:before="158" w:line="242" w:lineRule="auto"/>
              <w:ind w:right="155"/>
              <w:jc w:val="center"/>
              <w:rPr>
                <w:rFonts w:hAnsi="宋体"/>
                <w:color w:val="auto"/>
              </w:rPr>
            </w:pPr>
            <w:r>
              <w:rPr>
                <w:rFonts w:hint="eastAsia" w:hAnsi="宋体"/>
                <w:color w:val="auto"/>
              </w:rPr>
              <w:t>竞争性磋商文件要求</w:t>
            </w:r>
          </w:p>
        </w:tc>
        <w:tc>
          <w:tcPr>
            <w:tcW w:w="1778" w:type="dxa"/>
            <w:tcBorders>
              <w:top w:val="single" w:color="000000" w:sz="4" w:space="0"/>
              <w:left w:val="single" w:color="000000" w:sz="4" w:space="0"/>
              <w:bottom w:val="single" w:color="000000" w:sz="4" w:space="0"/>
              <w:right w:val="single" w:color="000000" w:sz="4" w:space="0"/>
            </w:tcBorders>
          </w:tcPr>
          <w:p w14:paraId="01DE8105">
            <w:pPr>
              <w:pStyle w:val="70"/>
              <w:kinsoku w:val="0"/>
              <w:overflowPunct w:val="0"/>
              <w:jc w:val="center"/>
              <w:rPr>
                <w:rFonts w:hAnsi="宋体" w:cs="Times New Roman"/>
                <w:color w:val="auto"/>
                <w:sz w:val="27"/>
                <w:szCs w:val="27"/>
              </w:rPr>
            </w:pPr>
          </w:p>
          <w:p w14:paraId="29266BFB">
            <w:pPr>
              <w:pStyle w:val="70"/>
              <w:kinsoku w:val="0"/>
              <w:overflowPunct w:val="0"/>
              <w:jc w:val="center"/>
              <w:rPr>
                <w:rFonts w:hAnsi="宋体"/>
                <w:color w:val="auto"/>
              </w:rPr>
            </w:pPr>
            <w:r>
              <w:rPr>
                <w:rFonts w:hint="eastAsia" w:hAnsi="宋体"/>
                <w:color w:val="auto"/>
              </w:rPr>
              <w:t>响应文件内容</w:t>
            </w:r>
          </w:p>
        </w:tc>
        <w:tc>
          <w:tcPr>
            <w:tcW w:w="1607" w:type="dxa"/>
            <w:tcBorders>
              <w:top w:val="single" w:color="000000" w:sz="4" w:space="0"/>
              <w:left w:val="single" w:color="000000" w:sz="4" w:space="0"/>
              <w:bottom w:val="single" w:color="000000" w:sz="4" w:space="0"/>
              <w:right w:val="single" w:color="000000" w:sz="4" w:space="0"/>
            </w:tcBorders>
          </w:tcPr>
          <w:p w14:paraId="41CC82D4">
            <w:pPr>
              <w:pStyle w:val="70"/>
              <w:kinsoku w:val="0"/>
              <w:overflowPunct w:val="0"/>
              <w:spacing w:before="3"/>
              <w:jc w:val="center"/>
              <w:rPr>
                <w:rFonts w:hAnsi="宋体" w:cs="Times New Roman"/>
                <w:color w:val="auto"/>
                <w:sz w:val="27"/>
                <w:szCs w:val="27"/>
              </w:rPr>
            </w:pPr>
          </w:p>
          <w:p w14:paraId="13789402">
            <w:pPr>
              <w:pStyle w:val="70"/>
              <w:kinsoku w:val="0"/>
              <w:overflowPunct w:val="0"/>
              <w:jc w:val="center"/>
              <w:rPr>
                <w:rFonts w:hAnsi="宋体"/>
                <w:color w:val="auto"/>
              </w:rPr>
            </w:pPr>
            <w:r>
              <w:rPr>
                <w:rFonts w:hint="eastAsia" w:hAnsi="宋体"/>
                <w:color w:val="auto"/>
              </w:rPr>
              <w:t>偏离情况</w:t>
            </w:r>
          </w:p>
        </w:tc>
        <w:tc>
          <w:tcPr>
            <w:tcW w:w="1016" w:type="dxa"/>
            <w:tcBorders>
              <w:top w:val="single" w:color="000000" w:sz="4" w:space="0"/>
              <w:left w:val="single" w:color="000000" w:sz="4" w:space="0"/>
              <w:bottom w:val="single" w:color="000000" w:sz="4" w:space="0"/>
              <w:right w:val="single" w:color="000000" w:sz="4" w:space="0"/>
            </w:tcBorders>
          </w:tcPr>
          <w:p w14:paraId="39098326">
            <w:pPr>
              <w:pStyle w:val="70"/>
              <w:kinsoku w:val="0"/>
              <w:overflowPunct w:val="0"/>
              <w:spacing w:before="3"/>
              <w:jc w:val="center"/>
              <w:rPr>
                <w:rFonts w:hAnsi="宋体" w:cs="Times New Roman"/>
                <w:color w:val="auto"/>
                <w:sz w:val="27"/>
                <w:szCs w:val="27"/>
              </w:rPr>
            </w:pPr>
          </w:p>
          <w:p w14:paraId="38BBBE73">
            <w:pPr>
              <w:pStyle w:val="70"/>
              <w:kinsoku w:val="0"/>
              <w:overflowPunct w:val="0"/>
              <w:jc w:val="center"/>
              <w:rPr>
                <w:rFonts w:hAnsi="宋体"/>
                <w:color w:val="auto"/>
              </w:rPr>
            </w:pPr>
            <w:r>
              <w:rPr>
                <w:rFonts w:hint="eastAsia" w:hAnsi="宋体"/>
                <w:color w:val="auto"/>
              </w:rPr>
              <w:t>说明</w:t>
            </w:r>
          </w:p>
        </w:tc>
      </w:tr>
      <w:tr w14:paraId="61188B03">
        <w:tblPrEx>
          <w:tblCellMar>
            <w:top w:w="0" w:type="dxa"/>
            <w:left w:w="0" w:type="dxa"/>
            <w:bottom w:w="0" w:type="dxa"/>
            <w:right w:w="0" w:type="dxa"/>
          </w:tblCellMar>
        </w:tblPrEx>
        <w:trPr>
          <w:trHeight w:val="1147" w:hRule="atLeast"/>
        </w:trPr>
        <w:tc>
          <w:tcPr>
            <w:tcW w:w="8747" w:type="dxa"/>
            <w:gridSpan w:val="6"/>
            <w:tcBorders>
              <w:top w:val="single" w:color="000000" w:sz="4" w:space="0"/>
              <w:left w:val="single" w:color="000000" w:sz="4" w:space="0"/>
              <w:bottom w:val="single" w:color="000000" w:sz="4" w:space="0"/>
              <w:right w:val="single" w:color="000000" w:sz="4" w:space="0"/>
            </w:tcBorders>
          </w:tcPr>
          <w:p w14:paraId="5F14B467">
            <w:pPr>
              <w:snapToGrid w:val="0"/>
              <w:rPr>
                <w:rFonts w:hAnsi="宋体"/>
                <w:b/>
                <w:color w:val="auto"/>
                <w:sz w:val="24"/>
              </w:rPr>
            </w:pPr>
            <w:r>
              <w:rPr>
                <w:rFonts w:hint="eastAsia" w:hAnsi="宋体"/>
                <w:b/>
                <w:color w:val="auto"/>
                <w:sz w:val="24"/>
              </w:rPr>
              <w:t>对本项目采购需求的偏离情况（请进行勾选）：</w:t>
            </w:r>
          </w:p>
          <w:p w14:paraId="03B72D46">
            <w:pPr>
              <w:snapToGrid w:val="0"/>
              <w:rPr>
                <w:rFonts w:hAnsi="宋体"/>
                <w:b/>
                <w:color w:val="auto"/>
                <w:sz w:val="24"/>
              </w:rPr>
            </w:pPr>
            <w:r>
              <w:rPr>
                <w:rFonts w:hAnsi="宋体"/>
                <w:b/>
                <w:color w:val="auto"/>
                <w:sz w:val="24"/>
              </w:rPr>
              <w:t>□无偏离</w:t>
            </w:r>
            <w:r>
              <w:rPr>
                <w:rFonts w:hAnsi="宋体"/>
                <w:color w:val="auto"/>
                <w:sz w:val="24"/>
              </w:rPr>
              <w:t>（</w:t>
            </w:r>
            <w:r>
              <w:rPr>
                <w:rFonts w:hAnsi="宋体"/>
                <w:color w:val="auto"/>
                <w:sz w:val="24"/>
                <w:szCs w:val="21"/>
              </w:rPr>
              <w:t>如无偏离，仅勾选无偏离即可</w:t>
            </w:r>
            <w:r>
              <w:rPr>
                <w:rFonts w:hAnsi="宋体"/>
                <w:color w:val="auto"/>
                <w:sz w:val="24"/>
              </w:rPr>
              <w:t>）</w:t>
            </w:r>
          </w:p>
          <w:p w14:paraId="5DD455AA">
            <w:pPr>
              <w:pStyle w:val="70"/>
              <w:kinsoku w:val="0"/>
              <w:overflowPunct w:val="0"/>
              <w:spacing w:before="6" w:line="300" w:lineRule="atLeast"/>
              <w:ind w:right="75"/>
              <w:rPr>
                <w:rFonts w:hAnsi="宋体"/>
                <w:color w:val="auto"/>
              </w:rPr>
            </w:pPr>
            <w:r>
              <w:rPr>
                <w:rFonts w:hAnsi="宋体"/>
                <w:b/>
                <w:color w:val="auto"/>
              </w:rPr>
              <w:t>□有偏离</w:t>
            </w:r>
            <w:r>
              <w:rPr>
                <w:rFonts w:hAnsi="宋体"/>
                <w:color w:val="auto"/>
              </w:rPr>
              <w:t>（</w:t>
            </w:r>
            <w:r>
              <w:rPr>
                <w:rFonts w:hAnsi="宋体"/>
                <w:color w:val="auto"/>
                <w:szCs w:val="21"/>
              </w:rPr>
              <w:t>如有负偏离，</w:t>
            </w:r>
            <w:r>
              <w:rPr>
                <w:rFonts w:hAnsi="宋体"/>
                <w:color w:val="auto"/>
              </w:rPr>
              <w:t>则须在本表中对负偏离项逐一列明）</w:t>
            </w:r>
          </w:p>
        </w:tc>
      </w:tr>
      <w:tr w14:paraId="29668170">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04DA48B3">
            <w:pPr>
              <w:pStyle w:val="70"/>
              <w:kinsoku w:val="0"/>
              <w:overflowPunct w:val="0"/>
              <w:ind w:left="88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15BD5255">
            <w:pPr>
              <w:pStyle w:val="70"/>
              <w:kinsoku w:val="0"/>
              <w:overflowPunct w:val="0"/>
              <w:ind w:left="88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7C803300">
            <w:pPr>
              <w:pStyle w:val="70"/>
              <w:kinsoku w:val="0"/>
              <w:overflowPunct w:val="0"/>
              <w:ind w:left="88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46C62F54">
            <w:pPr>
              <w:pStyle w:val="70"/>
              <w:kinsoku w:val="0"/>
              <w:overflowPunct w:val="0"/>
              <w:ind w:left="880"/>
              <w:rPr>
                <w:rFonts w:hAnsi="宋体" w:cs="Times New Roman"/>
                <w:color w:val="auto"/>
                <w:sz w:val="22"/>
                <w:szCs w:val="22"/>
              </w:rPr>
            </w:pPr>
          </w:p>
        </w:tc>
        <w:tc>
          <w:tcPr>
            <w:tcW w:w="1607" w:type="dxa"/>
            <w:tcBorders>
              <w:top w:val="single" w:color="000000" w:sz="4" w:space="0"/>
              <w:left w:val="single" w:color="000000" w:sz="4" w:space="0"/>
              <w:bottom w:val="single" w:color="000000" w:sz="4" w:space="0"/>
              <w:right w:val="single" w:color="000000" w:sz="4" w:space="0"/>
            </w:tcBorders>
          </w:tcPr>
          <w:p w14:paraId="500FA603">
            <w:pPr>
              <w:pStyle w:val="70"/>
              <w:kinsoku w:val="0"/>
              <w:overflowPunct w:val="0"/>
              <w:ind w:left="880"/>
              <w:rPr>
                <w:rFonts w:hAnsi="宋体" w:cs="Times New Roman"/>
                <w:color w:val="auto"/>
                <w:sz w:val="22"/>
                <w:szCs w:val="22"/>
              </w:rPr>
            </w:pPr>
          </w:p>
        </w:tc>
        <w:tc>
          <w:tcPr>
            <w:tcW w:w="1016" w:type="dxa"/>
            <w:tcBorders>
              <w:top w:val="single" w:color="000000" w:sz="4" w:space="0"/>
              <w:left w:val="single" w:color="000000" w:sz="4" w:space="0"/>
              <w:bottom w:val="single" w:color="000000" w:sz="4" w:space="0"/>
              <w:right w:val="single" w:color="000000" w:sz="4" w:space="0"/>
            </w:tcBorders>
          </w:tcPr>
          <w:p w14:paraId="0EE4C9C9">
            <w:pPr>
              <w:pStyle w:val="70"/>
              <w:kinsoku w:val="0"/>
              <w:overflowPunct w:val="0"/>
              <w:ind w:left="880"/>
              <w:rPr>
                <w:rFonts w:hAnsi="宋体" w:cs="Times New Roman"/>
                <w:color w:val="auto"/>
                <w:sz w:val="22"/>
                <w:szCs w:val="22"/>
              </w:rPr>
            </w:pPr>
          </w:p>
        </w:tc>
      </w:tr>
      <w:tr w14:paraId="22EC579B">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61AC910C">
            <w:pPr>
              <w:pStyle w:val="70"/>
              <w:kinsoku w:val="0"/>
              <w:overflowPunct w:val="0"/>
              <w:ind w:left="88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14A91C5F">
            <w:pPr>
              <w:pStyle w:val="70"/>
              <w:kinsoku w:val="0"/>
              <w:overflowPunct w:val="0"/>
              <w:ind w:left="88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437F0927">
            <w:pPr>
              <w:pStyle w:val="70"/>
              <w:kinsoku w:val="0"/>
              <w:overflowPunct w:val="0"/>
              <w:ind w:left="88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09F2D433">
            <w:pPr>
              <w:pStyle w:val="70"/>
              <w:kinsoku w:val="0"/>
              <w:overflowPunct w:val="0"/>
              <w:ind w:left="880"/>
              <w:rPr>
                <w:rFonts w:hAnsi="宋体" w:cs="Times New Roman"/>
                <w:color w:val="auto"/>
                <w:sz w:val="22"/>
                <w:szCs w:val="22"/>
              </w:rPr>
            </w:pPr>
          </w:p>
        </w:tc>
        <w:tc>
          <w:tcPr>
            <w:tcW w:w="1607" w:type="dxa"/>
            <w:tcBorders>
              <w:top w:val="single" w:color="000000" w:sz="4" w:space="0"/>
              <w:left w:val="single" w:color="000000" w:sz="4" w:space="0"/>
              <w:bottom w:val="single" w:color="000000" w:sz="4" w:space="0"/>
              <w:right w:val="single" w:color="000000" w:sz="4" w:space="0"/>
            </w:tcBorders>
          </w:tcPr>
          <w:p w14:paraId="02BFC04D">
            <w:pPr>
              <w:pStyle w:val="70"/>
              <w:kinsoku w:val="0"/>
              <w:overflowPunct w:val="0"/>
              <w:ind w:left="880"/>
              <w:rPr>
                <w:rFonts w:hAnsi="宋体" w:cs="Times New Roman"/>
                <w:color w:val="auto"/>
                <w:sz w:val="22"/>
                <w:szCs w:val="22"/>
              </w:rPr>
            </w:pPr>
          </w:p>
        </w:tc>
        <w:tc>
          <w:tcPr>
            <w:tcW w:w="1016" w:type="dxa"/>
            <w:tcBorders>
              <w:top w:val="single" w:color="000000" w:sz="4" w:space="0"/>
              <w:left w:val="single" w:color="000000" w:sz="4" w:space="0"/>
              <w:bottom w:val="single" w:color="000000" w:sz="4" w:space="0"/>
              <w:right w:val="single" w:color="000000" w:sz="4" w:space="0"/>
            </w:tcBorders>
          </w:tcPr>
          <w:p w14:paraId="4897EF2E">
            <w:pPr>
              <w:pStyle w:val="70"/>
              <w:kinsoku w:val="0"/>
              <w:overflowPunct w:val="0"/>
              <w:ind w:left="880"/>
              <w:rPr>
                <w:rFonts w:hAnsi="宋体" w:cs="Times New Roman"/>
                <w:color w:val="auto"/>
                <w:sz w:val="22"/>
                <w:szCs w:val="22"/>
              </w:rPr>
            </w:pPr>
          </w:p>
        </w:tc>
      </w:tr>
      <w:tr w14:paraId="0E369688">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5C1BABAB">
            <w:pPr>
              <w:pStyle w:val="70"/>
              <w:kinsoku w:val="0"/>
              <w:overflowPunct w:val="0"/>
              <w:ind w:left="88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1CA0622B">
            <w:pPr>
              <w:pStyle w:val="70"/>
              <w:kinsoku w:val="0"/>
              <w:overflowPunct w:val="0"/>
              <w:ind w:left="88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1B4AF572">
            <w:pPr>
              <w:pStyle w:val="70"/>
              <w:kinsoku w:val="0"/>
              <w:overflowPunct w:val="0"/>
              <w:ind w:left="88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2FDD82DB">
            <w:pPr>
              <w:pStyle w:val="70"/>
              <w:kinsoku w:val="0"/>
              <w:overflowPunct w:val="0"/>
              <w:ind w:left="880"/>
              <w:rPr>
                <w:rFonts w:hAnsi="宋体" w:cs="Times New Roman"/>
                <w:color w:val="auto"/>
                <w:sz w:val="22"/>
                <w:szCs w:val="22"/>
              </w:rPr>
            </w:pPr>
          </w:p>
        </w:tc>
        <w:tc>
          <w:tcPr>
            <w:tcW w:w="1607" w:type="dxa"/>
            <w:tcBorders>
              <w:top w:val="single" w:color="000000" w:sz="4" w:space="0"/>
              <w:left w:val="single" w:color="000000" w:sz="4" w:space="0"/>
              <w:bottom w:val="single" w:color="000000" w:sz="4" w:space="0"/>
              <w:right w:val="single" w:color="000000" w:sz="4" w:space="0"/>
            </w:tcBorders>
          </w:tcPr>
          <w:p w14:paraId="5FA23A5B">
            <w:pPr>
              <w:pStyle w:val="70"/>
              <w:kinsoku w:val="0"/>
              <w:overflowPunct w:val="0"/>
              <w:ind w:left="880"/>
              <w:rPr>
                <w:rFonts w:hAnsi="宋体" w:cs="Times New Roman"/>
                <w:color w:val="auto"/>
                <w:sz w:val="22"/>
                <w:szCs w:val="22"/>
              </w:rPr>
            </w:pPr>
          </w:p>
        </w:tc>
        <w:tc>
          <w:tcPr>
            <w:tcW w:w="1016" w:type="dxa"/>
            <w:tcBorders>
              <w:top w:val="single" w:color="000000" w:sz="4" w:space="0"/>
              <w:left w:val="single" w:color="000000" w:sz="4" w:space="0"/>
              <w:bottom w:val="single" w:color="000000" w:sz="4" w:space="0"/>
              <w:right w:val="single" w:color="000000" w:sz="4" w:space="0"/>
            </w:tcBorders>
          </w:tcPr>
          <w:p w14:paraId="77C7FE46">
            <w:pPr>
              <w:pStyle w:val="70"/>
              <w:kinsoku w:val="0"/>
              <w:overflowPunct w:val="0"/>
              <w:ind w:left="880"/>
              <w:rPr>
                <w:rFonts w:hAnsi="宋体" w:cs="Times New Roman"/>
                <w:color w:val="auto"/>
                <w:sz w:val="22"/>
                <w:szCs w:val="22"/>
              </w:rPr>
            </w:pPr>
          </w:p>
        </w:tc>
      </w:tr>
      <w:tr w14:paraId="138F176F">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03158F68">
            <w:pPr>
              <w:pStyle w:val="70"/>
              <w:kinsoku w:val="0"/>
              <w:overflowPunct w:val="0"/>
              <w:ind w:left="88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0D3D0349">
            <w:pPr>
              <w:pStyle w:val="70"/>
              <w:kinsoku w:val="0"/>
              <w:overflowPunct w:val="0"/>
              <w:ind w:left="88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25D640D7">
            <w:pPr>
              <w:pStyle w:val="70"/>
              <w:kinsoku w:val="0"/>
              <w:overflowPunct w:val="0"/>
              <w:ind w:left="88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3C0D42F4">
            <w:pPr>
              <w:pStyle w:val="70"/>
              <w:kinsoku w:val="0"/>
              <w:overflowPunct w:val="0"/>
              <w:ind w:left="880"/>
              <w:rPr>
                <w:rFonts w:hAnsi="宋体" w:cs="Times New Roman"/>
                <w:color w:val="auto"/>
                <w:sz w:val="22"/>
                <w:szCs w:val="22"/>
              </w:rPr>
            </w:pPr>
          </w:p>
        </w:tc>
        <w:tc>
          <w:tcPr>
            <w:tcW w:w="1607" w:type="dxa"/>
            <w:tcBorders>
              <w:top w:val="single" w:color="000000" w:sz="4" w:space="0"/>
              <w:left w:val="single" w:color="000000" w:sz="4" w:space="0"/>
              <w:bottom w:val="single" w:color="000000" w:sz="4" w:space="0"/>
              <w:right w:val="single" w:color="000000" w:sz="4" w:space="0"/>
            </w:tcBorders>
          </w:tcPr>
          <w:p w14:paraId="325A41E2">
            <w:pPr>
              <w:pStyle w:val="70"/>
              <w:kinsoku w:val="0"/>
              <w:overflowPunct w:val="0"/>
              <w:ind w:left="880"/>
              <w:rPr>
                <w:rFonts w:hAnsi="宋体" w:cs="Times New Roman"/>
                <w:color w:val="auto"/>
                <w:sz w:val="22"/>
                <w:szCs w:val="22"/>
              </w:rPr>
            </w:pPr>
          </w:p>
        </w:tc>
        <w:tc>
          <w:tcPr>
            <w:tcW w:w="1016" w:type="dxa"/>
            <w:tcBorders>
              <w:top w:val="single" w:color="000000" w:sz="4" w:space="0"/>
              <w:left w:val="single" w:color="000000" w:sz="4" w:space="0"/>
              <w:bottom w:val="single" w:color="000000" w:sz="4" w:space="0"/>
              <w:right w:val="single" w:color="000000" w:sz="4" w:space="0"/>
            </w:tcBorders>
          </w:tcPr>
          <w:p w14:paraId="50CC2F88">
            <w:pPr>
              <w:pStyle w:val="70"/>
              <w:kinsoku w:val="0"/>
              <w:overflowPunct w:val="0"/>
              <w:ind w:left="880"/>
              <w:rPr>
                <w:rFonts w:hAnsi="宋体" w:cs="Times New Roman"/>
                <w:color w:val="auto"/>
                <w:sz w:val="22"/>
                <w:szCs w:val="22"/>
              </w:rPr>
            </w:pPr>
          </w:p>
        </w:tc>
      </w:tr>
      <w:tr w14:paraId="6952DB40">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14:paraId="22E06BCE">
            <w:pPr>
              <w:pStyle w:val="70"/>
              <w:kinsoku w:val="0"/>
              <w:overflowPunct w:val="0"/>
              <w:ind w:left="880"/>
              <w:rPr>
                <w:rFonts w:hAnsi="宋体" w:cs="Times New Roman"/>
                <w:color w:val="auto"/>
                <w:sz w:val="22"/>
                <w:szCs w:val="22"/>
              </w:rPr>
            </w:pPr>
          </w:p>
        </w:tc>
        <w:tc>
          <w:tcPr>
            <w:tcW w:w="1561" w:type="dxa"/>
            <w:tcBorders>
              <w:top w:val="single" w:color="000000" w:sz="4" w:space="0"/>
              <w:left w:val="single" w:color="000000" w:sz="4" w:space="0"/>
              <w:bottom w:val="single" w:color="000000" w:sz="4" w:space="0"/>
              <w:right w:val="single" w:color="000000" w:sz="4" w:space="0"/>
            </w:tcBorders>
          </w:tcPr>
          <w:p w14:paraId="3FACF9A4">
            <w:pPr>
              <w:pStyle w:val="70"/>
              <w:kinsoku w:val="0"/>
              <w:overflowPunct w:val="0"/>
              <w:ind w:left="880"/>
              <w:rPr>
                <w:rFonts w:hAnsi="宋体" w:cs="Times New Roman"/>
                <w:color w:val="auto"/>
                <w:sz w:val="22"/>
                <w:szCs w:val="22"/>
              </w:rPr>
            </w:pPr>
          </w:p>
        </w:tc>
        <w:tc>
          <w:tcPr>
            <w:tcW w:w="1776" w:type="dxa"/>
            <w:tcBorders>
              <w:top w:val="single" w:color="000000" w:sz="4" w:space="0"/>
              <w:left w:val="single" w:color="000000" w:sz="4" w:space="0"/>
              <w:bottom w:val="single" w:color="000000" w:sz="4" w:space="0"/>
              <w:right w:val="single" w:color="000000" w:sz="4" w:space="0"/>
            </w:tcBorders>
          </w:tcPr>
          <w:p w14:paraId="56667119">
            <w:pPr>
              <w:pStyle w:val="70"/>
              <w:kinsoku w:val="0"/>
              <w:overflowPunct w:val="0"/>
              <w:ind w:left="880"/>
              <w:rPr>
                <w:rFonts w:hAnsi="宋体" w:cs="Times New Roman"/>
                <w:color w:val="auto"/>
                <w:sz w:val="22"/>
                <w:szCs w:val="22"/>
              </w:rPr>
            </w:pPr>
          </w:p>
        </w:tc>
        <w:tc>
          <w:tcPr>
            <w:tcW w:w="1778" w:type="dxa"/>
            <w:tcBorders>
              <w:top w:val="single" w:color="000000" w:sz="4" w:space="0"/>
              <w:left w:val="single" w:color="000000" w:sz="4" w:space="0"/>
              <w:bottom w:val="single" w:color="000000" w:sz="4" w:space="0"/>
              <w:right w:val="single" w:color="000000" w:sz="4" w:space="0"/>
            </w:tcBorders>
          </w:tcPr>
          <w:p w14:paraId="580C600E">
            <w:pPr>
              <w:pStyle w:val="70"/>
              <w:kinsoku w:val="0"/>
              <w:overflowPunct w:val="0"/>
              <w:ind w:left="880"/>
              <w:rPr>
                <w:rFonts w:hAnsi="宋体" w:cs="Times New Roman"/>
                <w:color w:val="auto"/>
                <w:sz w:val="22"/>
                <w:szCs w:val="22"/>
              </w:rPr>
            </w:pPr>
          </w:p>
        </w:tc>
        <w:tc>
          <w:tcPr>
            <w:tcW w:w="1607" w:type="dxa"/>
            <w:tcBorders>
              <w:top w:val="single" w:color="000000" w:sz="4" w:space="0"/>
              <w:left w:val="single" w:color="000000" w:sz="4" w:space="0"/>
              <w:bottom w:val="single" w:color="000000" w:sz="4" w:space="0"/>
              <w:right w:val="single" w:color="000000" w:sz="4" w:space="0"/>
            </w:tcBorders>
          </w:tcPr>
          <w:p w14:paraId="00E2F2D7">
            <w:pPr>
              <w:pStyle w:val="70"/>
              <w:kinsoku w:val="0"/>
              <w:overflowPunct w:val="0"/>
              <w:ind w:left="880"/>
              <w:rPr>
                <w:rFonts w:hAnsi="宋体" w:cs="Times New Roman"/>
                <w:color w:val="auto"/>
                <w:sz w:val="22"/>
                <w:szCs w:val="22"/>
              </w:rPr>
            </w:pPr>
          </w:p>
        </w:tc>
        <w:tc>
          <w:tcPr>
            <w:tcW w:w="1016" w:type="dxa"/>
            <w:tcBorders>
              <w:top w:val="single" w:color="000000" w:sz="4" w:space="0"/>
              <w:left w:val="single" w:color="000000" w:sz="4" w:space="0"/>
              <w:bottom w:val="single" w:color="000000" w:sz="4" w:space="0"/>
              <w:right w:val="single" w:color="000000" w:sz="4" w:space="0"/>
            </w:tcBorders>
          </w:tcPr>
          <w:p w14:paraId="219F9604">
            <w:pPr>
              <w:pStyle w:val="70"/>
              <w:kinsoku w:val="0"/>
              <w:overflowPunct w:val="0"/>
              <w:ind w:left="880"/>
              <w:rPr>
                <w:rFonts w:hAnsi="宋体" w:cs="Times New Roman"/>
                <w:color w:val="auto"/>
                <w:sz w:val="22"/>
                <w:szCs w:val="22"/>
              </w:rPr>
            </w:pPr>
          </w:p>
        </w:tc>
      </w:tr>
    </w:tbl>
    <w:p w14:paraId="286A3E2C">
      <w:pPr>
        <w:pStyle w:val="17"/>
        <w:kinsoku w:val="0"/>
        <w:overflowPunct w:val="0"/>
        <w:spacing w:before="3"/>
        <w:rPr>
          <w:rFonts w:hAnsi="宋体" w:cs="Times New Roman"/>
          <w:color w:val="auto"/>
          <w:sz w:val="27"/>
          <w:szCs w:val="27"/>
        </w:rPr>
      </w:pPr>
    </w:p>
    <w:p w14:paraId="4FD1B48C">
      <w:pPr>
        <w:pStyle w:val="17"/>
        <w:kinsoku w:val="0"/>
        <w:overflowPunct w:val="0"/>
        <w:spacing w:before="85"/>
        <w:ind w:left="401"/>
        <w:rPr>
          <w:rFonts w:hAnsi="宋体"/>
          <w:color w:val="auto"/>
          <w:w w:val="110"/>
        </w:rPr>
      </w:pPr>
      <w:r>
        <w:rPr>
          <w:rFonts w:hint="eastAsia" w:hAnsi="宋体"/>
          <w:color w:val="auto"/>
          <w:w w:val="110"/>
        </w:rPr>
        <w:t>注：</w:t>
      </w:r>
      <w:r>
        <w:rPr>
          <w:rFonts w:hAnsi="宋体"/>
          <w:color w:val="auto"/>
          <w:w w:val="110"/>
        </w:rPr>
        <w:t xml:space="preserve"> </w:t>
      </w:r>
      <w:r>
        <w:rPr>
          <w:rFonts w:hAnsi="宋体" w:cs="Arial"/>
          <w:color w:val="auto"/>
          <w:w w:val="135"/>
        </w:rPr>
        <w:t>“</w:t>
      </w:r>
      <w:r>
        <w:rPr>
          <w:rFonts w:hint="eastAsia" w:hAnsi="宋体"/>
          <w:color w:val="auto"/>
          <w:w w:val="110"/>
        </w:rPr>
        <w:t>偏离情况</w:t>
      </w:r>
      <w:r>
        <w:rPr>
          <w:rFonts w:hAnsi="宋体" w:cs="Arial"/>
          <w:color w:val="auto"/>
          <w:w w:val="135"/>
        </w:rPr>
        <w:t>”</w:t>
      </w:r>
      <w:r>
        <w:rPr>
          <w:rFonts w:hint="eastAsia" w:hAnsi="宋体"/>
          <w:color w:val="auto"/>
          <w:w w:val="110"/>
        </w:rPr>
        <w:t>列应据实填写</w:t>
      </w:r>
      <w:r>
        <w:rPr>
          <w:rFonts w:hAnsi="宋体" w:cs="Arial"/>
          <w:color w:val="auto"/>
          <w:w w:val="135"/>
        </w:rPr>
        <w:t>“</w:t>
      </w:r>
      <w:r>
        <w:rPr>
          <w:rFonts w:hint="eastAsia" w:hAnsi="宋体"/>
          <w:color w:val="auto"/>
          <w:w w:val="110"/>
        </w:rPr>
        <w:t>正偏离</w:t>
      </w:r>
      <w:r>
        <w:rPr>
          <w:rFonts w:hAnsi="宋体" w:cs="Arial"/>
          <w:color w:val="auto"/>
          <w:w w:val="135"/>
        </w:rPr>
        <w:t>”</w:t>
      </w:r>
      <w:r>
        <w:rPr>
          <w:rFonts w:hint="eastAsia" w:hAnsi="宋体"/>
          <w:color w:val="auto"/>
          <w:w w:val="110"/>
        </w:rPr>
        <w:t>或</w:t>
      </w:r>
      <w:r>
        <w:rPr>
          <w:rFonts w:hAnsi="宋体" w:cs="Arial"/>
          <w:color w:val="auto"/>
          <w:w w:val="135"/>
        </w:rPr>
        <w:t>“</w:t>
      </w:r>
      <w:r>
        <w:rPr>
          <w:rFonts w:hint="eastAsia" w:hAnsi="宋体"/>
          <w:color w:val="auto"/>
          <w:w w:val="110"/>
        </w:rPr>
        <w:t>负偏离</w:t>
      </w:r>
      <w:r>
        <w:rPr>
          <w:rFonts w:hAnsi="宋体" w:cs="Arial"/>
          <w:color w:val="auto"/>
          <w:w w:val="135"/>
        </w:rPr>
        <w:t>”</w:t>
      </w:r>
      <w:r>
        <w:rPr>
          <w:rFonts w:hint="eastAsia" w:hAnsi="宋体"/>
          <w:color w:val="auto"/>
          <w:w w:val="110"/>
        </w:rPr>
        <w:t>。</w:t>
      </w:r>
    </w:p>
    <w:p w14:paraId="41118B10">
      <w:pPr>
        <w:pStyle w:val="17"/>
        <w:kinsoku w:val="0"/>
        <w:overflowPunct w:val="0"/>
        <w:rPr>
          <w:rFonts w:hAnsi="宋体"/>
          <w:color w:val="auto"/>
          <w:sz w:val="28"/>
          <w:szCs w:val="28"/>
        </w:rPr>
      </w:pPr>
    </w:p>
    <w:p w14:paraId="75B251F4">
      <w:pPr>
        <w:pStyle w:val="17"/>
        <w:kinsoku w:val="0"/>
        <w:overflowPunct w:val="0"/>
        <w:ind w:firstLine="480" w:firstLineChars="200"/>
        <w:rPr>
          <w:rFonts w:hAnsi="宋体"/>
          <w:color w:val="auto"/>
          <w:sz w:val="28"/>
          <w:szCs w:val="28"/>
          <w:u w:val="single"/>
        </w:rPr>
      </w:pPr>
      <w:r>
        <w:rPr>
          <w:rFonts w:hint="eastAsia" w:hAnsi="宋体"/>
          <w:color w:val="auto"/>
        </w:rPr>
        <w:t>供应商名称（加盖公章）：</w:t>
      </w:r>
      <w:r>
        <w:rPr>
          <w:rFonts w:hint="eastAsia" w:hAnsi="宋体"/>
          <w:color w:val="auto"/>
          <w:u w:val="single"/>
        </w:rPr>
        <w:t xml:space="preserve"> </w:t>
      </w:r>
      <w:r>
        <w:rPr>
          <w:rFonts w:hAnsi="宋体"/>
          <w:color w:val="auto"/>
          <w:u w:val="single"/>
        </w:rPr>
        <w:t xml:space="preserve">         </w:t>
      </w:r>
    </w:p>
    <w:p w14:paraId="45A63BF9">
      <w:pPr>
        <w:pStyle w:val="17"/>
        <w:tabs>
          <w:tab w:val="left" w:pos="1601"/>
          <w:tab w:val="left" w:pos="2321"/>
          <w:tab w:val="left" w:pos="3041"/>
          <w:tab w:val="left" w:pos="3934"/>
        </w:tabs>
        <w:kinsoku w:val="0"/>
        <w:overflowPunct w:val="0"/>
        <w:spacing w:before="227" w:line="384" w:lineRule="auto"/>
        <w:ind w:left="401" w:right="5950" w:firstLine="240" w:firstLineChars="100"/>
        <w:rPr>
          <w:rFonts w:hAnsi="宋体"/>
          <w:color w:val="auto"/>
        </w:rPr>
      </w:pPr>
      <w:r>
        <w:rPr>
          <w:rFonts w:hint="eastAsia" w:hAnsi="宋体"/>
          <w:color w:val="auto"/>
        </w:rPr>
        <w:t>日期：</w:t>
      </w:r>
      <w:r>
        <w:rPr>
          <w:rFonts w:hAnsi="宋体"/>
          <w:color w:val="auto"/>
          <w:u w:val="single" w:color="000000"/>
        </w:rPr>
        <w:t xml:space="preserve"> </w:t>
      </w:r>
      <w:r>
        <w:rPr>
          <w:rFonts w:hAnsi="宋体"/>
          <w:color w:val="auto"/>
          <w:u w:val="single" w:color="000000"/>
        </w:rPr>
        <w:tab/>
      </w:r>
      <w:r>
        <w:rPr>
          <w:rFonts w:hint="eastAsia" w:hAnsi="宋体"/>
          <w:color w:val="auto"/>
        </w:rPr>
        <w:t>年</w:t>
      </w:r>
      <w:r>
        <w:rPr>
          <w:rFonts w:hAnsi="宋体"/>
          <w:color w:val="auto"/>
          <w:u w:val="single" w:color="000000"/>
        </w:rPr>
        <w:t xml:space="preserve"> </w:t>
      </w:r>
      <w:r>
        <w:rPr>
          <w:rFonts w:hAnsi="宋体"/>
          <w:color w:val="auto"/>
          <w:u w:val="single" w:color="000000"/>
        </w:rPr>
        <w:tab/>
      </w:r>
      <w:r>
        <w:rPr>
          <w:rFonts w:hint="eastAsia" w:hAnsi="宋体"/>
          <w:color w:val="auto"/>
        </w:rPr>
        <w:t>月</w:t>
      </w:r>
      <w:r>
        <w:rPr>
          <w:rFonts w:hAnsi="宋体"/>
          <w:color w:val="auto"/>
          <w:u w:val="single" w:color="000000"/>
        </w:rPr>
        <w:t xml:space="preserve"> </w:t>
      </w:r>
      <w:r>
        <w:rPr>
          <w:rFonts w:hAnsi="宋体"/>
          <w:color w:val="auto"/>
          <w:u w:val="single" w:color="000000"/>
        </w:rPr>
        <w:tab/>
      </w:r>
      <w:r>
        <w:rPr>
          <w:rFonts w:hint="eastAsia" w:hAnsi="宋体"/>
          <w:color w:val="auto"/>
        </w:rPr>
        <w:t>日</w:t>
      </w:r>
    </w:p>
    <w:p w14:paraId="54124205">
      <w:pPr>
        <w:widowControl/>
        <w:autoSpaceDE/>
        <w:autoSpaceDN/>
        <w:adjustRightInd/>
        <w:rPr>
          <w:rFonts w:hAnsi="宋体"/>
          <w:color w:val="auto"/>
          <w:sz w:val="24"/>
          <w:szCs w:val="24"/>
        </w:rPr>
      </w:pPr>
      <w:r>
        <w:rPr>
          <w:rFonts w:hAnsi="宋体"/>
          <w:color w:val="auto"/>
        </w:rPr>
        <w:br w:type="page"/>
      </w:r>
    </w:p>
    <w:p w14:paraId="05282E50">
      <w:pPr>
        <w:pStyle w:val="17"/>
        <w:rPr>
          <w:rFonts w:hAnsi="宋体"/>
          <w:color w:val="auto"/>
        </w:rPr>
      </w:pPr>
    </w:p>
    <w:p w14:paraId="2A3EF9BC">
      <w:pPr>
        <w:pStyle w:val="69"/>
        <w:spacing w:line="360" w:lineRule="auto"/>
        <w:ind w:left="540" w:firstLine="0"/>
        <w:outlineLvl w:val="0"/>
        <w:rPr>
          <w:rFonts w:hAnsi="宋体"/>
          <w:color w:val="auto"/>
        </w:rPr>
      </w:pPr>
      <w:bookmarkStart w:id="102" w:name="_Toc149147744"/>
      <w:bookmarkStart w:id="103" w:name="_Toc149147589"/>
      <w:r>
        <w:rPr>
          <w:rFonts w:hAnsi="宋体"/>
          <w:color w:val="auto"/>
        </w:rPr>
        <w:t>1</w:t>
      </w:r>
      <w:r>
        <w:rPr>
          <w:rFonts w:hint="eastAsia" w:hAnsi="宋体"/>
          <w:color w:val="auto"/>
          <w:lang w:val="en-US" w:eastAsia="zh-CN"/>
        </w:rPr>
        <w:t>0</w:t>
      </w:r>
      <w:r>
        <w:rPr>
          <w:rFonts w:hAnsi="宋体"/>
          <w:color w:val="auto"/>
        </w:rPr>
        <w:t xml:space="preserve"> </w:t>
      </w:r>
      <w:r>
        <w:rPr>
          <w:rFonts w:hint="eastAsia" w:hAnsi="宋体"/>
          <w:color w:val="auto"/>
        </w:rPr>
        <w:t>成交服务费承诺书</w:t>
      </w:r>
      <w:bookmarkEnd w:id="102"/>
      <w:bookmarkEnd w:id="103"/>
    </w:p>
    <w:p w14:paraId="13C29D11">
      <w:pPr>
        <w:pStyle w:val="23"/>
        <w:spacing w:line="360" w:lineRule="auto"/>
        <w:jc w:val="center"/>
        <w:rPr>
          <w:rFonts w:hAnsi="宋体"/>
          <w:b/>
          <w:color w:val="auto"/>
          <w:sz w:val="24"/>
        </w:rPr>
      </w:pPr>
    </w:p>
    <w:p w14:paraId="622119D3">
      <w:pPr>
        <w:pStyle w:val="23"/>
        <w:spacing w:line="360" w:lineRule="auto"/>
        <w:jc w:val="center"/>
        <w:rPr>
          <w:rFonts w:hAnsi="宋体"/>
          <w:b/>
          <w:color w:val="auto"/>
          <w:sz w:val="24"/>
        </w:rPr>
      </w:pPr>
      <w:r>
        <w:rPr>
          <w:rFonts w:hint="eastAsia" w:hAnsi="宋体"/>
          <w:b/>
          <w:color w:val="auto"/>
          <w:sz w:val="24"/>
        </w:rPr>
        <w:t>成交服务费承诺书</w:t>
      </w:r>
    </w:p>
    <w:p w14:paraId="1A9B6226">
      <w:pPr>
        <w:pStyle w:val="23"/>
        <w:spacing w:line="360" w:lineRule="auto"/>
        <w:jc w:val="center"/>
        <w:rPr>
          <w:rFonts w:hAnsi="宋体"/>
          <w:b/>
          <w:color w:val="auto"/>
          <w:sz w:val="24"/>
        </w:rPr>
      </w:pPr>
    </w:p>
    <w:p w14:paraId="26F0F426">
      <w:pPr>
        <w:pStyle w:val="23"/>
        <w:spacing w:line="360" w:lineRule="auto"/>
        <w:rPr>
          <w:rFonts w:hAnsi="宋体"/>
          <w:color w:val="auto"/>
          <w:sz w:val="24"/>
        </w:rPr>
      </w:pPr>
      <w:r>
        <w:rPr>
          <w:rFonts w:hint="eastAsia" w:hAnsi="宋体"/>
          <w:color w:val="auto"/>
          <w:sz w:val="24"/>
        </w:rPr>
        <w:t>致：北京北咨招标有限公司</w:t>
      </w:r>
    </w:p>
    <w:p w14:paraId="0EFC4B06">
      <w:pPr>
        <w:pStyle w:val="23"/>
        <w:spacing w:line="360" w:lineRule="auto"/>
        <w:ind w:firstLine="480" w:firstLineChars="200"/>
        <w:rPr>
          <w:rFonts w:hAnsi="宋体"/>
          <w:color w:val="auto"/>
          <w:sz w:val="24"/>
        </w:rPr>
      </w:pPr>
    </w:p>
    <w:p w14:paraId="228F7C71">
      <w:pPr>
        <w:pStyle w:val="70"/>
        <w:kinsoku w:val="0"/>
        <w:overflowPunct w:val="0"/>
        <w:spacing w:before="142" w:line="360" w:lineRule="auto"/>
        <w:ind w:left="108" w:right="102"/>
        <w:rPr>
          <w:rFonts w:hint="eastAsia" w:hAnsi="宋体"/>
          <w:color w:val="auto"/>
          <w:sz w:val="24"/>
          <w:u w:val="single"/>
          <w:lang w:val="en-US" w:eastAsia="zh-CN"/>
        </w:rPr>
      </w:pPr>
      <w:r>
        <w:rPr>
          <w:rFonts w:hint="eastAsia" w:hAnsi="宋体"/>
          <w:color w:val="auto"/>
          <w:sz w:val="24"/>
        </w:rPr>
        <w:t>我们在贵公司组织的</w:t>
      </w:r>
      <w:r>
        <w:rPr>
          <w:rFonts w:hAnsi="宋体"/>
          <w:color w:val="auto"/>
          <w:sz w:val="24"/>
          <w:u w:val="single"/>
        </w:rPr>
        <w:t xml:space="preserve">                           </w:t>
      </w:r>
      <w:r>
        <w:rPr>
          <w:rFonts w:hint="eastAsia" w:hAnsi="宋体"/>
          <w:color w:val="auto"/>
          <w:sz w:val="24"/>
        </w:rPr>
        <w:t>项目中若获成交（项目编号</w:t>
      </w:r>
      <w:r>
        <w:rPr>
          <w:rFonts w:hAnsi="宋体"/>
          <w:color w:val="auto"/>
          <w:sz w:val="24"/>
        </w:rPr>
        <w:t xml:space="preserve">                 </w:t>
      </w:r>
      <w:r>
        <w:rPr>
          <w:rFonts w:hint="eastAsia" w:hAnsi="宋体"/>
          <w:color w:val="auto"/>
          <w:sz w:val="24"/>
        </w:rPr>
        <w:t>），我们保证在领取成交通知书的同时按竞争性磋商文件的规定，以支票、汇票，向贵公司即</w:t>
      </w:r>
      <w:r>
        <w:rPr>
          <w:rFonts w:hint="eastAsia" w:hAnsi="宋体"/>
          <w:color w:val="auto"/>
          <w:sz w:val="24"/>
          <w:u w:val="single"/>
        </w:rPr>
        <w:t>北京北咨招标有限公司</w:t>
      </w:r>
      <w:r>
        <w:rPr>
          <w:rFonts w:hint="eastAsia" w:hAnsi="宋体"/>
          <w:color w:val="auto"/>
          <w:sz w:val="24"/>
        </w:rPr>
        <w:t>，一次性支付应该交纳的成交服务费用。</w:t>
      </w:r>
      <w:r>
        <w:rPr>
          <w:rFonts w:hint="eastAsia" w:hAnsi="宋体"/>
          <w:color w:val="auto"/>
          <w:sz w:val="24"/>
          <w:u w:val="single"/>
          <w:lang w:val="en-US" w:eastAsia="zh-CN"/>
        </w:rPr>
        <w:t>包括造价测算费和招标代理服务费。招标代理服务费参考国家计委《招标代理服务收费管理暂行办法》（计价格〔2002〕1980 号）及国家改革改革委办公厅《关于招标代理服务收费有关问题的通知》（发改办价格〔2003〕857 号）规定的招标代理服务收费标准，以成交总价为基数按差额定率累进法计算招标代理服务费，收费标准下浮25%；造价测算费为3710.52元。</w:t>
      </w:r>
    </w:p>
    <w:p w14:paraId="31E6B790">
      <w:pPr>
        <w:pStyle w:val="70"/>
        <w:kinsoku w:val="0"/>
        <w:overflowPunct w:val="0"/>
        <w:spacing w:before="142" w:line="360" w:lineRule="auto"/>
        <w:ind w:left="108" w:right="102"/>
        <w:rPr>
          <w:rFonts w:hAnsi="宋体"/>
          <w:color w:val="auto"/>
          <w:sz w:val="24"/>
        </w:rPr>
      </w:pPr>
      <w:r>
        <w:rPr>
          <w:rFonts w:hint="eastAsia" w:hAnsi="宋体"/>
          <w:color w:val="auto"/>
          <w:sz w:val="24"/>
          <w:lang w:val="en-US" w:eastAsia="zh-CN"/>
        </w:rPr>
        <w:t>缴纳时间：发出成交通知书同时。</w:t>
      </w:r>
    </w:p>
    <w:p w14:paraId="7555E460">
      <w:pPr>
        <w:pStyle w:val="23"/>
        <w:spacing w:line="360" w:lineRule="auto"/>
        <w:ind w:firstLine="480" w:firstLineChars="200"/>
        <w:rPr>
          <w:rFonts w:hAnsi="宋体"/>
          <w:color w:val="auto"/>
          <w:sz w:val="24"/>
        </w:rPr>
      </w:pPr>
      <w:r>
        <w:rPr>
          <w:rFonts w:hint="eastAsia" w:hAnsi="宋体"/>
          <w:color w:val="auto"/>
          <w:sz w:val="24"/>
        </w:rPr>
        <w:t>特此承诺！</w:t>
      </w:r>
    </w:p>
    <w:p w14:paraId="08995B3B">
      <w:pPr>
        <w:pStyle w:val="23"/>
        <w:spacing w:line="360" w:lineRule="auto"/>
        <w:ind w:firstLine="480" w:firstLineChars="200"/>
        <w:rPr>
          <w:rFonts w:hAnsi="宋体"/>
          <w:color w:val="auto"/>
          <w:sz w:val="24"/>
        </w:rPr>
      </w:pPr>
    </w:p>
    <w:p w14:paraId="2B5BCD39">
      <w:pPr>
        <w:pStyle w:val="23"/>
        <w:ind w:firstLine="480" w:firstLineChars="200"/>
        <w:rPr>
          <w:rFonts w:hAnsi="宋体"/>
          <w:color w:val="auto"/>
          <w:sz w:val="24"/>
        </w:rPr>
      </w:pPr>
      <w:r>
        <w:rPr>
          <w:rFonts w:hint="eastAsia" w:hAnsi="宋体"/>
          <w:color w:val="auto"/>
          <w:sz w:val="24"/>
        </w:rPr>
        <w:t>承诺方法定名称：</w:t>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p>
    <w:p w14:paraId="10591AD8">
      <w:pPr>
        <w:pStyle w:val="23"/>
        <w:ind w:firstLine="480" w:firstLineChars="200"/>
        <w:rPr>
          <w:rFonts w:hAnsi="宋体"/>
          <w:color w:val="auto"/>
          <w:sz w:val="24"/>
        </w:rPr>
      </w:pPr>
      <w:r>
        <w:rPr>
          <w:rFonts w:hint="eastAsia" w:hAnsi="宋体"/>
          <w:color w:val="auto"/>
          <w:sz w:val="24"/>
        </w:rPr>
        <w:t>地址：</w:t>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p>
    <w:p w14:paraId="1E6D62A8">
      <w:pPr>
        <w:pStyle w:val="23"/>
        <w:ind w:firstLine="480" w:firstLineChars="200"/>
        <w:rPr>
          <w:rFonts w:hAnsi="宋体"/>
          <w:color w:val="auto"/>
          <w:sz w:val="24"/>
        </w:rPr>
      </w:pPr>
      <w:r>
        <w:rPr>
          <w:rFonts w:hint="eastAsia" w:hAnsi="宋体"/>
          <w:color w:val="auto"/>
          <w:sz w:val="24"/>
        </w:rPr>
        <w:t>电话：</w:t>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int="eastAsia" w:hAnsi="宋体"/>
          <w:color w:val="auto"/>
          <w:sz w:val="24"/>
        </w:rPr>
        <w:t>传真：</w:t>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p>
    <w:p w14:paraId="1BF096AE">
      <w:pPr>
        <w:pStyle w:val="23"/>
        <w:spacing w:line="360" w:lineRule="auto"/>
        <w:ind w:firstLine="480" w:firstLineChars="200"/>
        <w:rPr>
          <w:rFonts w:hAnsi="宋体"/>
          <w:color w:val="auto"/>
          <w:sz w:val="24"/>
        </w:rPr>
      </w:pPr>
      <w:r>
        <w:rPr>
          <w:rFonts w:hint="eastAsia" w:hAnsi="宋体"/>
          <w:color w:val="auto"/>
          <w:sz w:val="24"/>
        </w:rPr>
        <w:t>邮编：</w:t>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p>
    <w:p w14:paraId="24D44CCC">
      <w:pPr>
        <w:pStyle w:val="23"/>
        <w:spacing w:line="360" w:lineRule="auto"/>
        <w:ind w:firstLine="480" w:firstLineChars="200"/>
        <w:rPr>
          <w:rFonts w:hAnsi="宋体"/>
          <w:color w:val="auto"/>
          <w:sz w:val="24"/>
        </w:rPr>
      </w:pPr>
      <w:r>
        <w:rPr>
          <w:rFonts w:hint="eastAsia" w:hAnsi="宋体"/>
          <w:color w:val="auto"/>
          <w:sz w:val="24"/>
        </w:rPr>
        <w:t>承诺方法定代表人或授权代表（签字或盖章）：</w:t>
      </w:r>
      <w:r>
        <w:rPr>
          <w:rFonts w:hAnsi="宋体"/>
          <w:color w:val="auto"/>
          <w:sz w:val="24"/>
        </w:rPr>
        <w:tab/>
      </w:r>
      <w:r>
        <w:rPr>
          <w:rFonts w:hAnsi="宋体"/>
          <w:color w:val="auto"/>
          <w:sz w:val="24"/>
        </w:rPr>
        <w:tab/>
      </w:r>
      <w:r>
        <w:rPr>
          <w:rFonts w:hAnsi="宋体"/>
          <w:color w:val="auto"/>
          <w:sz w:val="24"/>
        </w:rPr>
        <w:tab/>
      </w:r>
      <w:r>
        <w:rPr>
          <w:rFonts w:hAnsi="宋体"/>
          <w:color w:val="auto"/>
          <w:sz w:val="24"/>
        </w:rPr>
        <w:tab/>
      </w:r>
    </w:p>
    <w:p w14:paraId="4A7CBF9F">
      <w:pPr>
        <w:pStyle w:val="23"/>
        <w:spacing w:line="360" w:lineRule="auto"/>
        <w:ind w:firstLine="480" w:firstLineChars="200"/>
        <w:rPr>
          <w:rFonts w:hAnsi="宋体"/>
          <w:color w:val="auto"/>
          <w:sz w:val="24"/>
        </w:rPr>
      </w:pPr>
      <w:r>
        <w:rPr>
          <w:rFonts w:hint="eastAsia" w:hAnsi="宋体"/>
          <w:color w:val="auto"/>
          <w:sz w:val="24"/>
        </w:rPr>
        <w:t>承诺方（盖章）：</w:t>
      </w:r>
    </w:p>
    <w:p w14:paraId="4A9B56B0">
      <w:pPr>
        <w:pStyle w:val="23"/>
        <w:spacing w:line="360" w:lineRule="auto"/>
        <w:ind w:firstLine="480" w:firstLineChars="200"/>
        <w:rPr>
          <w:rFonts w:hAnsi="宋体"/>
          <w:color w:val="auto"/>
          <w:sz w:val="24"/>
        </w:rPr>
      </w:pPr>
      <w:r>
        <w:rPr>
          <w:rFonts w:hint="eastAsia" w:hAnsi="宋体"/>
          <w:color w:val="auto"/>
          <w:sz w:val="24"/>
        </w:rPr>
        <w:t>承诺日期：</w:t>
      </w:r>
      <w:r>
        <w:rPr>
          <w:rFonts w:hAnsi="宋体"/>
          <w:color w:val="auto"/>
          <w:sz w:val="24"/>
        </w:rPr>
        <w:t xml:space="preserve">    </w:t>
      </w:r>
      <w:r>
        <w:rPr>
          <w:rFonts w:hint="eastAsia" w:hAnsi="宋体"/>
          <w:color w:val="auto"/>
          <w:sz w:val="24"/>
        </w:rPr>
        <w:t>年</w:t>
      </w:r>
      <w:r>
        <w:rPr>
          <w:rFonts w:hAnsi="宋体"/>
          <w:color w:val="auto"/>
          <w:sz w:val="24"/>
        </w:rPr>
        <w:t xml:space="preserve">  </w:t>
      </w:r>
      <w:r>
        <w:rPr>
          <w:rFonts w:hint="eastAsia" w:hAnsi="宋体"/>
          <w:color w:val="auto"/>
          <w:sz w:val="24"/>
        </w:rPr>
        <w:t>月</w:t>
      </w:r>
      <w:r>
        <w:rPr>
          <w:rFonts w:hAnsi="宋体"/>
          <w:color w:val="auto"/>
          <w:sz w:val="24"/>
        </w:rPr>
        <w:t xml:space="preserve">  </w:t>
      </w:r>
      <w:r>
        <w:rPr>
          <w:rFonts w:hint="eastAsia" w:hAnsi="宋体"/>
          <w:color w:val="auto"/>
          <w:sz w:val="24"/>
        </w:rPr>
        <w:t>日</w:t>
      </w:r>
    </w:p>
    <w:p w14:paraId="1DEB6F88">
      <w:pPr>
        <w:pStyle w:val="159"/>
        <w:ind w:firstLine="420" w:firstLineChars="200"/>
        <w:rPr>
          <w:rFonts w:ascii="宋体" w:hAnsi="宋体"/>
          <w:color w:val="auto"/>
        </w:rPr>
      </w:pPr>
      <w:r>
        <w:rPr>
          <w:rFonts w:hint="eastAsia" w:ascii="宋体" w:hAnsi="宋体"/>
          <w:color w:val="auto"/>
        </w:rPr>
        <w:t>附：汇款信息</w:t>
      </w:r>
    </w:p>
    <w:p w14:paraId="0767DAF7">
      <w:pPr>
        <w:pStyle w:val="159"/>
        <w:spacing w:line="360" w:lineRule="auto"/>
        <w:ind w:firstLine="420" w:firstLineChars="200"/>
        <w:rPr>
          <w:rFonts w:ascii="宋体" w:hAnsi="宋体"/>
          <w:color w:val="auto"/>
        </w:rPr>
      </w:pPr>
      <w:r>
        <w:rPr>
          <w:rFonts w:hint="eastAsia" w:ascii="宋体" w:hAnsi="宋体"/>
          <w:color w:val="auto"/>
        </w:rPr>
        <w:t>单位名称：北京北咨招标有限公司</w:t>
      </w:r>
    </w:p>
    <w:p w14:paraId="1AE80579">
      <w:pPr>
        <w:pStyle w:val="159"/>
        <w:spacing w:line="360" w:lineRule="auto"/>
        <w:ind w:firstLine="420" w:firstLineChars="200"/>
        <w:rPr>
          <w:rFonts w:ascii="宋体" w:hAnsi="宋体"/>
          <w:color w:val="auto"/>
        </w:rPr>
      </w:pPr>
      <w:r>
        <w:rPr>
          <w:rFonts w:hint="eastAsia" w:ascii="宋体" w:hAnsi="宋体"/>
          <w:color w:val="auto"/>
        </w:rPr>
        <w:t>开户银行：北京银行西单支行</w:t>
      </w:r>
    </w:p>
    <w:p w14:paraId="2716A5FD">
      <w:pPr>
        <w:pStyle w:val="159"/>
        <w:spacing w:line="360" w:lineRule="auto"/>
        <w:ind w:firstLine="420" w:firstLineChars="200"/>
        <w:rPr>
          <w:rFonts w:ascii="宋体" w:hAnsi="宋体"/>
          <w:color w:val="auto"/>
        </w:rPr>
      </w:pPr>
      <w:r>
        <w:rPr>
          <w:rFonts w:hint="eastAsia" w:ascii="宋体" w:hAnsi="宋体"/>
          <w:color w:val="auto"/>
        </w:rPr>
        <w:t>帐号：</w:t>
      </w:r>
      <w:r>
        <w:rPr>
          <w:rFonts w:ascii="宋体" w:hAnsi="宋体"/>
          <w:color w:val="auto"/>
        </w:rPr>
        <w:t>20000043272000033646532</w:t>
      </w:r>
    </w:p>
    <w:p w14:paraId="01AD9028">
      <w:pPr>
        <w:widowControl/>
        <w:autoSpaceDE/>
        <w:autoSpaceDN/>
        <w:adjustRightInd/>
        <w:rPr>
          <w:rFonts w:hAnsi="宋体" w:cs="Times New Roman"/>
          <w:color w:val="auto"/>
          <w:kern w:val="2"/>
          <w:sz w:val="21"/>
          <w:szCs w:val="20"/>
        </w:rPr>
      </w:pPr>
      <w:r>
        <w:rPr>
          <w:rFonts w:hAnsi="宋体"/>
          <w:color w:val="auto"/>
        </w:rPr>
        <w:br w:type="page"/>
      </w:r>
    </w:p>
    <w:p w14:paraId="5FDDA5CE">
      <w:pPr>
        <w:pStyle w:val="69"/>
        <w:spacing w:line="360" w:lineRule="auto"/>
        <w:ind w:left="540" w:firstLine="0"/>
        <w:outlineLvl w:val="0"/>
        <w:rPr>
          <w:rFonts w:hAnsi="宋体"/>
          <w:color w:val="auto"/>
        </w:rPr>
      </w:pPr>
      <w:bookmarkStart w:id="104" w:name="_Toc149147745"/>
      <w:bookmarkStart w:id="105" w:name="_Toc149147590"/>
      <w:r>
        <w:rPr>
          <w:rFonts w:hint="eastAsia" w:hAnsi="宋体"/>
          <w:color w:val="auto"/>
          <w:lang w:val="en-US" w:eastAsia="zh-CN"/>
        </w:rPr>
        <w:t>11</w:t>
      </w:r>
      <w:r>
        <w:rPr>
          <w:rFonts w:hAnsi="宋体"/>
          <w:color w:val="auto"/>
        </w:rPr>
        <w:t xml:space="preserve">  </w:t>
      </w:r>
      <w:r>
        <w:rPr>
          <w:rFonts w:hint="eastAsia" w:hAnsi="宋体"/>
          <w:color w:val="auto"/>
        </w:rPr>
        <w:t>竞争性磋商文件要求提供或供应商认为应附的其他材料</w:t>
      </w:r>
      <w:bookmarkEnd w:id="104"/>
      <w:bookmarkEnd w:id="105"/>
    </w:p>
    <w:p w14:paraId="4C4E1FF6">
      <w:pPr>
        <w:rPr>
          <w:rFonts w:hAnsi="宋体"/>
          <w:color w:val="auto"/>
          <w:sz w:val="24"/>
          <w:szCs w:val="20"/>
        </w:rPr>
      </w:pPr>
      <w:r>
        <w:rPr>
          <w:rFonts w:hAnsi="宋体"/>
          <w:color w:val="auto"/>
          <w:sz w:val="24"/>
          <w:szCs w:val="20"/>
        </w:rPr>
        <w:br w:type="page"/>
      </w:r>
    </w:p>
    <w:p w14:paraId="44566088">
      <w:pPr>
        <w:tabs>
          <w:tab w:val="left" w:pos="360"/>
        </w:tabs>
        <w:snapToGrid w:val="0"/>
        <w:spacing w:line="360" w:lineRule="auto"/>
        <w:outlineLvl w:val="1"/>
        <w:rPr>
          <w:rFonts w:hAnsi="宋体"/>
          <w:b/>
          <w:color w:val="auto"/>
          <w:sz w:val="36"/>
          <w:szCs w:val="36"/>
        </w:rPr>
      </w:pPr>
      <w:r>
        <w:rPr>
          <w:rFonts w:hint="eastAsia" w:hAnsi="宋体"/>
          <w:color w:val="auto"/>
          <w:sz w:val="24"/>
        </w:rPr>
        <w:t>1</w:t>
      </w:r>
      <w:r>
        <w:rPr>
          <w:rFonts w:hint="eastAsia" w:hAnsi="宋体"/>
          <w:color w:val="auto"/>
          <w:sz w:val="24"/>
          <w:lang w:val="en-US" w:eastAsia="zh-CN"/>
        </w:rPr>
        <w:t>2</w:t>
      </w:r>
      <w:r>
        <w:rPr>
          <w:rFonts w:hAnsi="宋体"/>
          <w:color w:val="auto"/>
          <w:sz w:val="24"/>
        </w:rPr>
        <w:t xml:space="preserve">  最后报价一览表</w:t>
      </w:r>
      <w:r>
        <w:rPr>
          <w:rFonts w:hAnsi="宋体"/>
          <w:b/>
          <w:bCs/>
          <w:color w:val="auto"/>
          <w:sz w:val="24"/>
        </w:rPr>
        <w:t>（磋商</w:t>
      </w:r>
      <w:r>
        <w:rPr>
          <w:rFonts w:hint="eastAsia" w:hAnsi="宋体"/>
          <w:b/>
          <w:bCs/>
          <w:color w:val="auto"/>
          <w:sz w:val="24"/>
          <w:lang w:val="en-US" w:eastAsia="zh-CN"/>
        </w:rPr>
        <w:t>时</w:t>
      </w:r>
      <w:r>
        <w:rPr>
          <w:rFonts w:hAnsi="宋体"/>
          <w:b/>
          <w:bCs/>
          <w:color w:val="auto"/>
          <w:sz w:val="24"/>
        </w:rPr>
        <w:t>提交）</w:t>
      </w:r>
    </w:p>
    <w:p w14:paraId="64D89A03">
      <w:pPr>
        <w:widowControl/>
        <w:rPr>
          <w:rFonts w:hAnsi="宋体"/>
          <w:color w:val="auto"/>
          <w:sz w:val="24"/>
          <w:szCs w:val="20"/>
        </w:rPr>
      </w:pPr>
    </w:p>
    <w:p w14:paraId="7DB85D3E">
      <w:pPr>
        <w:spacing w:line="360" w:lineRule="auto"/>
        <w:ind w:firstLine="720"/>
        <w:jc w:val="center"/>
        <w:rPr>
          <w:rFonts w:hAnsi="宋体"/>
          <w:b/>
          <w:color w:val="auto"/>
          <w:sz w:val="36"/>
          <w:szCs w:val="36"/>
        </w:rPr>
      </w:pPr>
      <w:r>
        <w:rPr>
          <w:rFonts w:hint="eastAsia" w:hAnsi="宋体"/>
          <w:b/>
          <w:color w:val="auto"/>
          <w:sz w:val="36"/>
          <w:szCs w:val="36"/>
        </w:rPr>
        <w:t>最后报价一览表</w:t>
      </w:r>
    </w:p>
    <w:p w14:paraId="4E1FE737">
      <w:pPr>
        <w:tabs>
          <w:tab w:val="left" w:pos="1800"/>
          <w:tab w:val="left" w:pos="5580"/>
        </w:tabs>
        <w:spacing w:line="360" w:lineRule="auto"/>
        <w:rPr>
          <w:rFonts w:hAnsi="宋体"/>
          <w:color w:val="auto"/>
          <w:sz w:val="24"/>
        </w:rPr>
      </w:pPr>
    </w:p>
    <w:p w14:paraId="414DF25D">
      <w:pPr>
        <w:tabs>
          <w:tab w:val="left" w:pos="1800"/>
          <w:tab w:val="left" w:pos="5580"/>
        </w:tabs>
        <w:spacing w:line="360" w:lineRule="auto"/>
        <w:ind w:firstLine="360" w:firstLineChars="150"/>
        <w:rPr>
          <w:rFonts w:hAnsi="宋体"/>
          <w:color w:val="auto"/>
          <w:sz w:val="24"/>
          <w:lang w:val="zh-CN"/>
        </w:rPr>
      </w:pPr>
      <w:r>
        <w:rPr>
          <w:rFonts w:hAnsi="宋体"/>
          <w:color w:val="auto"/>
          <w:sz w:val="24"/>
        </w:rPr>
        <w:t>项目编号/包号：_______________     项目名称：_______________</w:t>
      </w:r>
    </w:p>
    <w:tbl>
      <w:tblPr>
        <w:tblStyle w:val="43"/>
        <w:tblW w:w="9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9"/>
        <w:gridCol w:w="2667"/>
        <w:gridCol w:w="1899"/>
        <w:gridCol w:w="2453"/>
        <w:gridCol w:w="2322"/>
      </w:tblGrid>
      <w:tr w14:paraId="37DA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49" w:type="dxa"/>
            <w:vMerge w:val="restart"/>
            <w:vAlign w:val="center"/>
          </w:tcPr>
          <w:p w14:paraId="28706BDD">
            <w:pPr>
              <w:tabs>
                <w:tab w:val="left" w:pos="5580"/>
              </w:tabs>
              <w:jc w:val="center"/>
              <w:rPr>
                <w:b/>
                <w:color w:val="auto"/>
                <w:sz w:val="24"/>
              </w:rPr>
            </w:pPr>
            <w:r>
              <w:rPr>
                <w:b/>
                <w:color w:val="auto"/>
                <w:sz w:val="24"/>
              </w:rPr>
              <w:t>序号</w:t>
            </w:r>
          </w:p>
        </w:tc>
        <w:tc>
          <w:tcPr>
            <w:tcW w:w="2667" w:type="dxa"/>
            <w:vMerge w:val="restart"/>
            <w:vAlign w:val="center"/>
          </w:tcPr>
          <w:p w14:paraId="124D417F">
            <w:pPr>
              <w:tabs>
                <w:tab w:val="left" w:pos="5580"/>
              </w:tabs>
              <w:jc w:val="center"/>
              <w:rPr>
                <w:b/>
                <w:color w:val="auto"/>
                <w:sz w:val="24"/>
              </w:rPr>
            </w:pPr>
            <w:r>
              <w:rPr>
                <w:rFonts w:hint="eastAsia"/>
                <w:b/>
                <w:color w:val="auto"/>
                <w:sz w:val="24"/>
              </w:rPr>
              <w:t>供应商</w:t>
            </w:r>
            <w:r>
              <w:rPr>
                <w:b/>
                <w:color w:val="auto"/>
                <w:sz w:val="24"/>
              </w:rPr>
              <w:t>名称</w:t>
            </w:r>
          </w:p>
        </w:tc>
        <w:tc>
          <w:tcPr>
            <w:tcW w:w="4352" w:type="dxa"/>
            <w:gridSpan w:val="2"/>
            <w:vAlign w:val="center"/>
          </w:tcPr>
          <w:p w14:paraId="3C5AB0F9">
            <w:pPr>
              <w:tabs>
                <w:tab w:val="left" w:pos="5580"/>
              </w:tabs>
              <w:jc w:val="center"/>
              <w:rPr>
                <w:b/>
                <w:color w:val="auto"/>
                <w:sz w:val="24"/>
              </w:rPr>
            </w:pPr>
            <w:r>
              <w:rPr>
                <w:rFonts w:hint="eastAsia"/>
                <w:b/>
                <w:color w:val="auto"/>
                <w:sz w:val="24"/>
              </w:rPr>
              <w:t>磋商</w:t>
            </w:r>
            <w:r>
              <w:rPr>
                <w:b/>
                <w:color w:val="auto"/>
                <w:sz w:val="24"/>
              </w:rPr>
              <w:t>报价</w:t>
            </w:r>
          </w:p>
        </w:tc>
        <w:tc>
          <w:tcPr>
            <w:tcW w:w="2322" w:type="dxa"/>
            <w:vMerge w:val="restart"/>
            <w:vAlign w:val="center"/>
          </w:tcPr>
          <w:p w14:paraId="18F5A44D">
            <w:pPr>
              <w:tabs>
                <w:tab w:val="left" w:pos="5580"/>
              </w:tabs>
              <w:jc w:val="center"/>
              <w:rPr>
                <w:rFonts w:hint="eastAsia" w:eastAsia="宋体"/>
                <w:b/>
                <w:color w:val="auto"/>
                <w:sz w:val="24"/>
                <w:lang w:eastAsia="zh-CN"/>
              </w:rPr>
            </w:pPr>
            <w:r>
              <w:rPr>
                <w:rFonts w:hint="eastAsia"/>
                <w:b/>
                <w:color w:val="auto"/>
                <w:sz w:val="24"/>
                <w:lang w:eastAsia="zh-CN"/>
              </w:rPr>
              <w:t>合同履行期限</w:t>
            </w:r>
          </w:p>
        </w:tc>
      </w:tr>
      <w:tr w14:paraId="1EBA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549" w:type="dxa"/>
            <w:vMerge w:val="continue"/>
            <w:vAlign w:val="center"/>
          </w:tcPr>
          <w:p w14:paraId="65C6F1D8">
            <w:pPr>
              <w:tabs>
                <w:tab w:val="left" w:pos="5580"/>
              </w:tabs>
              <w:jc w:val="center"/>
              <w:rPr>
                <w:color w:val="auto"/>
                <w:sz w:val="24"/>
              </w:rPr>
            </w:pPr>
          </w:p>
        </w:tc>
        <w:tc>
          <w:tcPr>
            <w:tcW w:w="2667" w:type="dxa"/>
            <w:vMerge w:val="continue"/>
            <w:vAlign w:val="center"/>
          </w:tcPr>
          <w:p w14:paraId="38A30885">
            <w:pPr>
              <w:tabs>
                <w:tab w:val="left" w:pos="5580"/>
              </w:tabs>
              <w:jc w:val="center"/>
              <w:rPr>
                <w:color w:val="auto"/>
                <w:sz w:val="24"/>
              </w:rPr>
            </w:pPr>
          </w:p>
        </w:tc>
        <w:tc>
          <w:tcPr>
            <w:tcW w:w="1899" w:type="dxa"/>
            <w:vAlign w:val="center"/>
          </w:tcPr>
          <w:p w14:paraId="4757C0AD">
            <w:pPr>
              <w:tabs>
                <w:tab w:val="left" w:pos="5580"/>
              </w:tabs>
              <w:jc w:val="center"/>
              <w:rPr>
                <w:b/>
                <w:color w:val="auto"/>
                <w:sz w:val="24"/>
              </w:rPr>
            </w:pPr>
            <w:r>
              <w:rPr>
                <w:b/>
                <w:color w:val="auto"/>
                <w:sz w:val="24"/>
              </w:rPr>
              <w:t>大写</w:t>
            </w:r>
          </w:p>
        </w:tc>
        <w:tc>
          <w:tcPr>
            <w:tcW w:w="2453" w:type="dxa"/>
            <w:vAlign w:val="center"/>
          </w:tcPr>
          <w:p w14:paraId="4DDB8232">
            <w:pPr>
              <w:tabs>
                <w:tab w:val="left" w:pos="5580"/>
              </w:tabs>
              <w:jc w:val="center"/>
              <w:rPr>
                <w:b/>
                <w:color w:val="auto"/>
                <w:sz w:val="24"/>
              </w:rPr>
            </w:pPr>
            <w:r>
              <w:rPr>
                <w:b/>
                <w:color w:val="auto"/>
                <w:sz w:val="24"/>
              </w:rPr>
              <w:t>小写</w:t>
            </w:r>
          </w:p>
        </w:tc>
        <w:tc>
          <w:tcPr>
            <w:tcW w:w="2322" w:type="dxa"/>
            <w:vMerge w:val="continue"/>
            <w:vAlign w:val="center"/>
          </w:tcPr>
          <w:p w14:paraId="59E36765">
            <w:pPr>
              <w:tabs>
                <w:tab w:val="left" w:pos="5580"/>
              </w:tabs>
              <w:jc w:val="center"/>
              <w:rPr>
                <w:b/>
                <w:color w:val="auto"/>
                <w:sz w:val="24"/>
              </w:rPr>
            </w:pPr>
          </w:p>
        </w:tc>
      </w:tr>
      <w:tr w14:paraId="2BC3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49" w:type="dxa"/>
            <w:vAlign w:val="center"/>
          </w:tcPr>
          <w:p w14:paraId="6462EB7E">
            <w:pPr>
              <w:tabs>
                <w:tab w:val="left" w:pos="5580"/>
              </w:tabs>
              <w:jc w:val="center"/>
              <w:rPr>
                <w:color w:val="auto"/>
                <w:sz w:val="24"/>
              </w:rPr>
            </w:pPr>
          </w:p>
        </w:tc>
        <w:tc>
          <w:tcPr>
            <w:tcW w:w="2667" w:type="dxa"/>
            <w:vAlign w:val="center"/>
          </w:tcPr>
          <w:p w14:paraId="4C517905">
            <w:pPr>
              <w:tabs>
                <w:tab w:val="left" w:pos="5580"/>
              </w:tabs>
              <w:jc w:val="center"/>
              <w:rPr>
                <w:color w:val="auto"/>
                <w:sz w:val="24"/>
              </w:rPr>
            </w:pPr>
          </w:p>
        </w:tc>
        <w:tc>
          <w:tcPr>
            <w:tcW w:w="1899" w:type="dxa"/>
            <w:vAlign w:val="center"/>
          </w:tcPr>
          <w:p w14:paraId="7E8E06F1">
            <w:pPr>
              <w:tabs>
                <w:tab w:val="left" w:pos="5580"/>
              </w:tabs>
              <w:jc w:val="center"/>
              <w:rPr>
                <w:color w:val="auto"/>
                <w:sz w:val="24"/>
              </w:rPr>
            </w:pPr>
          </w:p>
        </w:tc>
        <w:tc>
          <w:tcPr>
            <w:tcW w:w="2453" w:type="dxa"/>
            <w:vAlign w:val="center"/>
          </w:tcPr>
          <w:p w14:paraId="378FDF4F">
            <w:pPr>
              <w:tabs>
                <w:tab w:val="left" w:pos="5580"/>
              </w:tabs>
              <w:jc w:val="center"/>
              <w:rPr>
                <w:color w:val="auto"/>
                <w:sz w:val="24"/>
              </w:rPr>
            </w:pPr>
          </w:p>
        </w:tc>
        <w:tc>
          <w:tcPr>
            <w:tcW w:w="2322" w:type="dxa"/>
            <w:vAlign w:val="center"/>
          </w:tcPr>
          <w:p w14:paraId="5F52DC78">
            <w:pPr>
              <w:tabs>
                <w:tab w:val="left" w:pos="5580"/>
              </w:tabs>
              <w:jc w:val="center"/>
              <w:rPr>
                <w:color w:val="auto"/>
                <w:sz w:val="24"/>
              </w:rPr>
            </w:pPr>
            <w:r>
              <w:rPr>
                <w:rFonts w:hint="eastAsia" w:hAnsi="宋体"/>
                <w:color w:val="auto"/>
                <w:highlight w:val="none"/>
                <w:lang w:eastAsia="zh-CN"/>
              </w:rPr>
              <w:t>自签订合同之日起</w:t>
            </w:r>
            <w:r>
              <w:rPr>
                <w:rFonts w:hint="eastAsia" w:hAnsi="宋体"/>
                <w:color w:val="auto"/>
                <w:highlight w:val="none"/>
                <w:u w:val="single"/>
                <w:lang w:val="en-US" w:eastAsia="zh-CN"/>
              </w:rPr>
              <w:t xml:space="preserve">  </w:t>
            </w:r>
            <w:r>
              <w:rPr>
                <w:rFonts w:hint="eastAsia" w:hAnsi="宋体"/>
                <w:color w:val="auto"/>
                <w:highlight w:val="none"/>
                <w:lang w:val="en-US" w:eastAsia="zh-CN"/>
              </w:rPr>
              <w:t>年</w:t>
            </w:r>
          </w:p>
        </w:tc>
      </w:tr>
    </w:tbl>
    <w:p w14:paraId="0045F06F">
      <w:pPr>
        <w:spacing w:beforeLines="0" w:afterLines="0"/>
        <w:jc w:val="left"/>
        <w:rPr>
          <w:rFonts w:hAnsi="宋体"/>
          <w:color w:val="auto"/>
          <w:sz w:val="24"/>
          <w:lang w:val="zh-CN"/>
        </w:rPr>
      </w:pPr>
      <w:r>
        <w:rPr>
          <w:rFonts w:hAnsi="宋体"/>
          <w:color w:val="auto"/>
          <w:sz w:val="24"/>
          <w:lang w:val="zh-CN"/>
        </w:rPr>
        <w:t xml:space="preserve">  </w:t>
      </w:r>
    </w:p>
    <w:p w14:paraId="59810328">
      <w:pPr>
        <w:spacing w:beforeLines="0" w:afterLines="0"/>
        <w:ind w:firstLine="240" w:firstLineChars="100"/>
        <w:jc w:val="left"/>
        <w:rPr>
          <w:rFonts w:hint="eastAsia" w:ascii="宋体" w:hAnsi="宋体" w:eastAsia="宋体"/>
          <w:color w:val="auto"/>
          <w:sz w:val="24"/>
          <w:szCs w:val="24"/>
        </w:rPr>
      </w:pPr>
      <w:r>
        <w:rPr>
          <w:rFonts w:hint="eastAsia" w:ascii="宋体" w:hAnsi="宋体" w:eastAsia="宋体"/>
          <w:color w:val="auto"/>
          <w:sz w:val="24"/>
          <w:szCs w:val="24"/>
        </w:rPr>
        <w:t>注：</w:t>
      </w:r>
      <w:r>
        <w:rPr>
          <w:rFonts w:hint="eastAsia" w:hAnsi="宋体"/>
          <w:color w:val="auto"/>
          <w:sz w:val="24"/>
          <w:szCs w:val="24"/>
          <w:lang w:val="en-US" w:eastAsia="zh-CN"/>
        </w:rPr>
        <w:t>1</w:t>
      </w:r>
      <w:r>
        <w:rPr>
          <w:rFonts w:hint="eastAsia" w:ascii="宋体" w:hAnsi="宋体" w:eastAsia="宋体"/>
          <w:color w:val="auto"/>
          <w:sz w:val="24"/>
          <w:szCs w:val="24"/>
        </w:rPr>
        <w:t>.本表必须按包分别填写。</w:t>
      </w:r>
    </w:p>
    <w:p w14:paraId="63E49DEB">
      <w:pPr>
        <w:snapToGrid w:val="0"/>
        <w:spacing w:before="25" w:after="25" w:line="360" w:lineRule="auto"/>
        <w:ind w:firstLine="720" w:firstLineChars="300"/>
        <w:rPr>
          <w:rFonts w:hAnsi="宋体"/>
          <w:color w:val="auto"/>
          <w:sz w:val="24"/>
          <w:lang w:val="zh-CN"/>
        </w:rPr>
      </w:pPr>
      <w:r>
        <w:rPr>
          <w:rFonts w:hint="eastAsia" w:hAnsi="宋体"/>
          <w:color w:val="auto"/>
          <w:sz w:val="24"/>
          <w:szCs w:val="24"/>
          <w:lang w:val="en-US" w:eastAsia="zh-CN"/>
        </w:rPr>
        <w:t>2</w:t>
      </w:r>
      <w:r>
        <w:rPr>
          <w:rFonts w:hint="eastAsia" w:ascii="宋体" w:hAnsi="宋体" w:eastAsia="宋体"/>
          <w:color w:val="auto"/>
          <w:sz w:val="24"/>
          <w:szCs w:val="24"/>
        </w:rPr>
        <w:t>.此表无需在响应文件中提交，磋商后供应商按磋商小组要求提交。</w:t>
      </w:r>
      <w:r>
        <w:rPr>
          <w:rFonts w:hAnsi="宋体"/>
          <w:color w:val="auto"/>
          <w:sz w:val="24"/>
          <w:lang w:val="zh-CN"/>
        </w:rPr>
        <w:t xml:space="preserve">   </w:t>
      </w:r>
    </w:p>
    <w:p w14:paraId="7A196BE0">
      <w:pPr>
        <w:snapToGrid w:val="0"/>
        <w:spacing w:before="25" w:after="25" w:line="360" w:lineRule="auto"/>
        <w:rPr>
          <w:rFonts w:hAnsi="宋体"/>
          <w:color w:val="auto"/>
          <w:sz w:val="24"/>
          <w:lang w:val="zh-CN"/>
        </w:rPr>
      </w:pPr>
      <w:r>
        <w:rPr>
          <w:color w:val="auto"/>
          <w:sz w:val="24"/>
        </w:rPr>
        <w:t>供应商</w:t>
      </w:r>
      <w:r>
        <w:rPr>
          <w:rFonts w:hAnsi="宋体"/>
          <w:color w:val="auto"/>
          <w:sz w:val="24"/>
        </w:rPr>
        <w:t>授权代表签字（或加盖</w:t>
      </w:r>
      <w:r>
        <w:rPr>
          <w:color w:val="auto"/>
          <w:sz w:val="24"/>
        </w:rPr>
        <w:t>供应商</w:t>
      </w:r>
      <w:r>
        <w:rPr>
          <w:rFonts w:hAnsi="宋体"/>
          <w:color w:val="auto"/>
          <w:sz w:val="24"/>
        </w:rPr>
        <w:t>公章）</w:t>
      </w:r>
      <w:r>
        <w:rPr>
          <w:rFonts w:hAnsi="宋体"/>
          <w:color w:val="auto"/>
          <w:sz w:val="24"/>
          <w:lang w:val="zh-CN"/>
        </w:rPr>
        <w:t xml:space="preserve">：___________ </w:t>
      </w:r>
    </w:p>
    <w:p w14:paraId="11F2F59F">
      <w:pPr>
        <w:widowControl/>
        <w:spacing w:line="360" w:lineRule="auto"/>
        <w:rPr>
          <w:rFonts w:hAnsi="宋体"/>
          <w:color w:val="auto"/>
          <w:sz w:val="24"/>
          <w:szCs w:val="20"/>
        </w:rPr>
      </w:pPr>
      <w:r>
        <w:rPr>
          <w:rFonts w:hAnsi="宋体"/>
          <w:color w:val="auto"/>
          <w:sz w:val="24"/>
          <w:szCs w:val="20"/>
        </w:rPr>
        <w:t xml:space="preserve">日期：____年____月____日   </w:t>
      </w:r>
    </w:p>
    <w:p w14:paraId="41D45267">
      <w:pPr>
        <w:rPr>
          <w:color w:val="auto"/>
        </w:rPr>
      </w:pPr>
    </w:p>
    <w:sectPr>
      <w:headerReference r:id="rId8" w:type="default"/>
      <w:footerReference r:id="rId9" w:type="default"/>
      <w:pgSz w:w="11910" w:h="16840"/>
      <w:pgMar w:top="1340" w:right="720" w:bottom="1080" w:left="1300" w:header="879" w:footer="8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
    <w:altName w:val="Cambria"/>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64B46">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70528" behindDoc="0" locked="0" layoutInCell="0" allowOverlap="1">
              <wp:simplePos x="0" y="0"/>
              <wp:positionH relativeFrom="margin">
                <wp:align>center</wp:align>
              </wp:positionH>
              <wp:positionV relativeFrom="paragraph">
                <wp:posOffset>0</wp:posOffset>
              </wp:positionV>
              <wp:extent cx="220980" cy="158750"/>
              <wp:effectExtent l="0" t="0" r="0" b="0"/>
              <wp:wrapNone/>
              <wp:docPr id="1012105846" name="Text Box 5"/>
              <wp:cNvGraphicFramePr/>
              <a:graphic xmlns:a="http://schemas.openxmlformats.org/drawingml/2006/main">
                <a:graphicData uri="http://schemas.microsoft.com/office/word/2010/wordprocessingShape">
                  <wps:wsp>
                    <wps:cNvSpPr txBox="1">
                      <a:spLocks noChangeArrowheads="1"/>
                    </wps:cNvSpPr>
                    <wps:spPr bwMode="auto">
                      <a:xfrm>
                        <a:off x="0" y="0"/>
                        <a:ext cx="220980" cy="158750"/>
                      </a:xfrm>
                      <a:prstGeom prst="rect">
                        <a:avLst/>
                      </a:prstGeom>
                      <a:noFill/>
                      <a:ln>
                        <a:noFill/>
                      </a:ln>
                    </wps:spPr>
                    <wps:txbx>
                      <w:txbxContent>
                        <w:p w14:paraId="3912C7B9">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1</w:t>
                          </w:r>
                          <w:r>
                            <w:rPr>
                              <w:rFonts w:ascii="Arial" w:hAnsi="Arial" w:cs="Arial" w:eastAsiaTheme="minorEastAsia"/>
                              <w:w w:val="115"/>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top:0pt;height:12.5pt;width:17.4pt;mso-position-horizontal:center;mso-position-horizontal-relative:margin;z-index:251670528;mso-width-relative:page;mso-height-relative:page;" filled="f" stroked="f" coordsize="21600,21600" o:allowincell="f" o:gfxdata="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itwGY1AAAAAMBAAAPAAAAAAAAAAEAIAAAACIAAABkcnMvZG93&#10;bnJldi54bWxQSwECFAAUAAAACACHTuJAgfbmrgQCAAAMBAAADgAAAAAAAAABACAAAAAjAQAAZHJz&#10;L2Uyb0RvYy54bWxQSwUGAAAAAAYABgBZAQAAmQUAAAAA&#10;">
              <v:fill on="f" focussize="0,0"/>
              <v:stroke on="f"/>
              <v:imagedata o:title=""/>
              <o:lock v:ext="edit" aspectratio="f"/>
              <v:textbox inset="0mm,0mm,0mm,0mm">
                <w:txbxContent>
                  <w:p w14:paraId="3912C7B9">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1</w:t>
                    </w:r>
                    <w:r>
                      <w:rPr>
                        <w:rFonts w:ascii="Arial" w:hAnsi="Arial" w:cs="Arial" w:eastAsiaTheme="minorEastAsia"/>
                        <w:w w:val="115"/>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F2322">
    <w:pPr>
      <w:pStyle w:val="28"/>
      <w:jc w:val="cen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2E154">
                          <w:pPr>
                            <w:pStyle w:val="28"/>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3B2E154">
                    <w:pPr>
                      <w:pStyle w:val="28"/>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B9153">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73600" behindDoc="0" locked="0" layoutInCell="0" allowOverlap="1">
              <wp:simplePos x="0" y="0"/>
              <wp:positionH relativeFrom="margin">
                <wp:align>center</wp:align>
              </wp:positionH>
              <wp:positionV relativeFrom="paragraph">
                <wp:posOffset>0</wp:posOffset>
              </wp:positionV>
              <wp:extent cx="220980" cy="158750"/>
              <wp:effectExtent l="0" t="0" r="0" b="0"/>
              <wp:wrapNone/>
              <wp:docPr id="1126144330" name="Text Box 8"/>
              <wp:cNvGraphicFramePr/>
              <a:graphic xmlns:a="http://schemas.openxmlformats.org/drawingml/2006/main">
                <a:graphicData uri="http://schemas.microsoft.com/office/word/2010/wordprocessingShape">
                  <wps:wsp>
                    <wps:cNvSpPr txBox="1">
                      <a:spLocks noChangeArrowheads="1"/>
                    </wps:cNvSpPr>
                    <wps:spPr bwMode="auto">
                      <a:xfrm>
                        <a:off x="0" y="0"/>
                        <a:ext cx="220980" cy="158750"/>
                      </a:xfrm>
                      <a:prstGeom prst="rect">
                        <a:avLst/>
                      </a:prstGeom>
                      <a:noFill/>
                      <a:ln>
                        <a:noFill/>
                      </a:ln>
                    </wps:spPr>
                    <wps:txbx>
                      <w:txbxContent>
                        <w:p w14:paraId="036506EB">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55</w:t>
                          </w:r>
                          <w:r>
                            <w:rPr>
                              <w:rFonts w:ascii="Arial" w:hAnsi="Arial" w:cs="Arial" w:eastAsiaTheme="minorEastAsia"/>
                              <w:w w:val="115"/>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top:0pt;height:12.5pt;width:17.4pt;mso-position-horizontal:center;mso-position-horizontal-relative:margin;z-index:251673600;mso-width-relative:page;mso-height-relative:page;" filled="f" stroked="f" coordsize="21600,21600" o:allowincell="f" o:gfxdata="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itwGY1AAAAAMBAAAPAAAAAAAAAAEAIAAAACIAAABkcnMvZG93&#10;bnJldi54bWxQSwECFAAUAAAACACHTuJA6GXTIQQCAAAMBAAADgAAAAAAAAABACAAAAAjAQAAZHJz&#10;L2Uyb0RvYy54bWxQSwUGAAAAAAYABgBZAQAAmQUAAAAA&#10;">
              <v:fill on="f" focussize="0,0"/>
              <v:stroke on="f"/>
              <v:imagedata o:title=""/>
              <o:lock v:ext="edit" aspectratio="f"/>
              <v:textbox inset="0mm,0mm,0mm,0mm">
                <w:txbxContent>
                  <w:p w14:paraId="036506EB">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55</w:t>
                    </w:r>
                    <w:r>
                      <w:rPr>
                        <w:rFonts w:ascii="Arial" w:hAnsi="Arial" w:cs="Arial" w:eastAsiaTheme="minorEastAsia"/>
                        <w:w w:val="115"/>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A2828">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76672" behindDoc="0" locked="0" layoutInCell="0" allowOverlap="1">
              <wp:simplePos x="0" y="0"/>
              <wp:positionH relativeFrom="margin">
                <wp:align>center</wp:align>
              </wp:positionH>
              <wp:positionV relativeFrom="paragraph">
                <wp:posOffset>0</wp:posOffset>
              </wp:positionV>
              <wp:extent cx="456565" cy="210185"/>
              <wp:effectExtent l="0" t="0" r="0" b="0"/>
              <wp:wrapNone/>
              <wp:docPr id="609717844" name="Text Box 11"/>
              <wp:cNvGraphicFramePr/>
              <a:graphic xmlns:a="http://schemas.openxmlformats.org/drawingml/2006/main">
                <a:graphicData uri="http://schemas.microsoft.com/office/word/2010/wordprocessingShape">
                  <wps:wsp>
                    <wps:cNvSpPr txBox="1">
                      <a:spLocks noChangeArrowheads="1"/>
                    </wps:cNvSpPr>
                    <wps:spPr bwMode="auto">
                      <a:xfrm>
                        <a:off x="0" y="0"/>
                        <a:ext cx="456565" cy="210185"/>
                      </a:xfrm>
                      <a:prstGeom prst="rect">
                        <a:avLst/>
                      </a:prstGeom>
                      <a:noFill/>
                      <a:ln>
                        <a:noFill/>
                      </a:ln>
                    </wps:spPr>
                    <wps:txbx>
                      <w:txbxContent>
                        <w:p w14:paraId="3499E60C">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62</w:t>
                          </w:r>
                          <w:r>
                            <w:rPr>
                              <w:rFonts w:ascii="Arial" w:hAnsi="Arial" w:cs="Arial" w:eastAsiaTheme="minorEastAsia"/>
                              <w:w w:val="115"/>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top:0pt;height:16.55pt;width:35.95pt;mso-position-horizontal:center;mso-position-horizontal-relative:margin;z-index:251676672;mso-width-relative:page;mso-height-relative:page;" filled="f" stroked="f" coordsize="21600,21600" o:allowincell="f" o:gfxdata="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hZmmrUAAAAAwEAAA8AAAAAAAAAAQAgAAAAIgAAAGRycy9kb3du&#10;cmV2LnhtbFBLAQIUABQAAAAIAIdO4kCd6fn6AwIAAAwEAAAOAAAAAAAAAAEAIAAAACMBAABkcnMv&#10;ZTJvRG9jLnhtbFBLBQYAAAAABgAGAFkBAACYBQAAAAA=&#10;">
              <v:fill on="f" focussize="0,0"/>
              <v:stroke on="f"/>
              <v:imagedata o:title=""/>
              <o:lock v:ext="edit" aspectratio="f"/>
              <v:textbox inset="0mm,0mm,0mm,0mm">
                <w:txbxContent>
                  <w:p w14:paraId="3499E60C">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62</w:t>
                    </w:r>
                    <w:r>
                      <w:rPr>
                        <w:rFonts w:ascii="Arial" w:hAnsi="Arial" w:cs="Arial" w:eastAsiaTheme="minorEastAsia"/>
                        <w:w w:val="115"/>
                        <w:sz w:val="18"/>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AD71A">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68480" behindDoc="1" locked="0" layoutInCell="0" allowOverlap="1">
              <wp:simplePos x="0" y="0"/>
              <wp:positionH relativeFrom="page">
                <wp:posOffset>1079500</wp:posOffset>
              </wp:positionH>
              <wp:positionV relativeFrom="page">
                <wp:posOffset>702945</wp:posOffset>
              </wp:positionV>
              <wp:extent cx="5761355" cy="12700"/>
              <wp:effectExtent l="0" t="0" r="0" b="0"/>
              <wp:wrapNone/>
              <wp:docPr id="651392195" name="Freeform 3"/>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pt;margin-top:55.35pt;height:1pt;width:453.65pt;mso-position-horizontal-relative:page;mso-position-vertical-relative:page;z-index:-251648000;mso-width-relative:page;mso-height-relative:page;" filled="f" stroked="t" coordsize="9073,20" o:allowincell="f" o:gfxdata="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Ir1QPfWAAAADAEAAA8AAAAAAAAAAQAgAAAAIgAAAGRycy9kb3ducmV2Lnht&#10;bFBLAQIUABQAAAAIAIdO4kAi3GnGpgIAAMkFAAAOAAAAAAAAAAEAIAAAACUBAABkcnMvZTJvRG9j&#10;LnhtbFBLBQYAAAAABgAGAFkBAAA9BgAAAAA=&#10;" path="m0,0l9072,0e">
              <v:path o:connectlocs="0,0;5760720,0" o:connectangles="0,0"/>
              <v:fill on="f" focussize="0,0"/>
              <v:stroke weight="0.48pt" color="#000000" joinstyle="round"/>
              <v:imagedata o:title=""/>
              <o:lock v:ext="edit" aspectratio="f"/>
            </v:shape>
          </w:pict>
        </mc:Fallback>
      </mc:AlternateContent>
    </w:r>
    <w:r>
      <mc:AlternateContent>
        <mc:Choice Requires="wps">
          <w:drawing>
            <wp:anchor distT="0" distB="0" distL="114300" distR="114300" simplePos="0" relativeHeight="251669504" behindDoc="1" locked="0" layoutInCell="0" allowOverlap="1">
              <wp:simplePos x="0" y="0"/>
              <wp:positionH relativeFrom="page">
                <wp:posOffset>4542155</wp:posOffset>
              </wp:positionH>
              <wp:positionV relativeFrom="page">
                <wp:posOffset>545465</wp:posOffset>
              </wp:positionV>
              <wp:extent cx="2312035" cy="139700"/>
              <wp:effectExtent l="0" t="0" r="0" b="0"/>
              <wp:wrapNone/>
              <wp:docPr id="1089782023" name="Text Box 4"/>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14:paraId="6ED4309F">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357.65pt;margin-top:42.95pt;height:11pt;width:182.05pt;mso-position-horizontal-relative:page;mso-position-vertical-relative:page;z-index:-251646976;mso-width-relative:page;mso-height-relative:page;" filled="f" stroked="f" coordsize="21600,21600" o:allowincell="f"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MCPzdkAAAALAQAADwAAAAAAAAABACAAAAAiAAAA&#10;ZHJzL2Rvd25yZXYueG1sUEsBAhQAFAAAAAgAh07iQNv+I90GAgAADQQAAA4AAAAAAAAAAQAgAAAA&#10;KAEAAGRycy9lMm9Eb2MueG1sUEsFBgAAAAAGAAYAWQEAAKAFAAAAAA==&#10;">
              <v:fill on="f" focussize="0,0"/>
              <v:stroke on="f"/>
              <v:imagedata o:title=""/>
              <o:lock v:ext="edit" aspectratio="f"/>
              <v:textbox inset="0mm,0mm,0mm,0mm">
                <w:txbxContent>
                  <w:p w14:paraId="6ED4309F">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ED156">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71552"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1439511267" name="Freeform 6"/>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6" o:spid="_x0000_s1026" o:spt="100" style="position:absolute;left:0pt;margin-left:85pt;margin-top:55.5pt;height:1pt;width:453.65pt;mso-position-horizontal-relative:page;mso-position-vertical-relative:page;z-index:-251644928;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ElNM3DYAAAADAEAAA8AAAAAAAAAAQAgAAAAIgAAAGRycy9kb3ducmV2Lnht&#10;bFBLAQIUABQAAAAIAIdO4kD8fdCopAIAAMoFAAAOAAAAAAAAAAEAIAAAACcBAABkcnMvZTJvRG9j&#10;LnhtbFBLBQYAAAAABgAGAFkBAAA9Bg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72576" behindDoc="1" locked="0" layoutInCell="0" allowOverlap="1">
              <wp:simplePos x="0" y="0"/>
              <wp:positionH relativeFrom="page">
                <wp:posOffset>4542155</wp:posOffset>
              </wp:positionH>
              <wp:positionV relativeFrom="page">
                <wp:posOffset>545465</wp:posOffset>
              </wp:positionV>
              <wp:extent cx="2312035" cy="139700"/>
              <wp:effectExtent l="0" t="0" r="0" b="0"/>
              <wp:wrapNone/>
              <wp:docPr id="1498920792" name="Text Box 7"/>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14:paraId="23D1426C">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7" o:spid="_x0000_s1026" o:spt="202" type="#_x0000_t202" style="position:absolute;left:0pt;margin-left:357.65pt;margin-top:42.95pt;height:11pt;width:182.05pt;mso-position-horizontal-relative:page;mso-position-vertical-relative:page;z-index:-251643904;mso-width-relative:page;mso-height-relative:page;" filled="f" stroked="f" coordsize="21600,21600" o:allowincell="f"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MCPzdkAAAALAQAADwAAAAAAAAABACAAAAAiAAAA&#10;ZHJzL2Rvd25yZXYueG1sUEsBAhQAFAAAAAgAh07iQD2XIAEGAgAADQQAAA4AAAAAAAAAAQAgAAAA&#10;KAEAAGRycy9lMm9Eb2MueG1sUEsFBgAAAAAGAAYAWQEAAKAFAAAAAA==&#10;">
              <v:fill on="f" focussize="0,0"/>
              <v:stroke on="f"/>
              <v:imagedata o:title=""/>
              <o:lock v:ext="edit" aspectratio="f"/>
              <v:textbox inset="0mm,0mm,0mm,0mm">
                <w:txbxContent>
                  <w:p w14:paraId="23D1426C">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76573">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74624"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137254730" name="Freeform 9"/>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9" o:spid="_x0000_s1026" o:spt="100" style="position:absolute;left:0pt;margin-left:85pt;margin-top:55.5pt;height:1pt;width:453.65pt;mso-position-horizontal-relative:page;mso-position-vertical-relative:page;z-index:-251641856;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SU0zcNgAAAAMAQAADwAAAAAAAAABACAAAAAiAAAAZHJzL2Rvd25yZXYueG1s&#10;UEsBAhQAFAAAAAgAh07iQOoR0eKjAgAAyQUAAA4AAAAAAAAAAQAgAAAAJwEAAGRycy9lMm9Eb2Mu&#10;eG1sUEsFBgAAAAAGAAYAWQEAADwGA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75648" behindDoc="1" locked="0" layoutInCell="0" allowOverlap="1">
              <wp:simplePos x="0" y="0"/>
              <wp:positionH relativeFrom="page">
                <wp:posOffset>4542155</wp:posOffset>
              </wp:positionH>
              <wp:positionV relativeFrom="page">
                <wp:posOffset>545465</wp:posOffset>
              </wp:positionV>
              <wp:extent cx="2312035" cy="139700"/>
              <wp:effectExtent l="0" t="0" r="0" b="0"/>
              <wp:wrapNone/>
              <wp:docPr id="328760746"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14:paraId="45AD3C63">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357.65pt;margin-top:42.95pt;height:11pt;width:182.05pt;mso-position-horizontal-relative:page;mso-position-vertical-relative:page;z-index:-251640832;mso-width-relative:page;mso-height-relative:page;" filled="f" stroked="f" coordsize="21600,21600" o:allowincell="f"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zAj83ZAAAACwEAAA8AAAAAAAAAAQAgAAAAIgAA&#10;AGRycy9kb3ducmV2LnhtbFBLAQIUABQAAAAIAIdO4kBD83zVBwIAAA0EAAAOAAAAAAAAAAEAIAAA&#10;ACgBAABkcnMvZTJvRG9jLnhtbFBLBQYAAAAABgAGAFkBAAChBQAAAAA=&#10;">
              <v:fill on="f" focussize="0,0"/>
              <v:stroke on="f"/>
              <v:imagedata o:title=""/>
              <o:lock v:ext="edit" aspectratio="f"/>
              <v:textbox inset="0mm,0mm,0mm,0mm">
                <w:txbxContent>
                  <w:p w14:paraId="45AD3C63">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27516"/>
    <w:multiLevelType w:val="singleLevel"/>
    <w:tmpl w:val="8A527516"/>
    <w:lvl w:ilvl="0" w:tentative="0">
      <w:start w:val="6"/>
      <w:numFmt w:val="decimal"/>
      <w:lvlText w:val="%1."/>
      <w:lvlJc w:val="left"/>
      <w:pPr>
        <w:tabs>
          <w:tab w:val="left" w:pos="312"/>
        </w:tabs>
      </w:pPr>
    </w:lvl>
  </w:abstractNum>
  <w:abstractNum w:abstractNumId="1">
    <w:nsid w:val="F6122F57"/>
    <w:multiLevelType w:val="multilevel"/>
    <w:tmpl w:val="F6122F57"/>
    <w:lvl w:ilvl="0" w:tentative="0">
      <w:start w:val="1"/>
      <w:numFmt w:val="japaneseCounting"/>
      <w:suff w:val="nothing"/>
      <w:lvlText w:val="%1、"/>
      <w:lvlJc w:val="left"/>
      <w:pPr>
        <w:ind w:left="500" w:hanging="50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000000A"/>
    <w:multiLevelType w:val="multilevel"/>
    <w:tmpl w:val="0000000A"/>
    <w:lvl w:ilvl="0" w:tentative="0">
      <w:start w:val="1"/>
      <w:numFmt w:val="decimal"/>
      <w:pStyle w:val="119"/>
      <w:lvlText w:val="%1."/>
      <w:lvlJc w:val="left"/>
      <w:pPr>
        <w:ind w:left="420" w:hanging="420"/>
      </w:pPr>
      <w:rPr>
        <w:rFonts w:cs="Times New Roman"/>
      </w:rPr>
    </w:lvl>
    <w:lvl w:ilvl="1" w:tentative="0">
      <w:start w:val="1"/>
      <w:numFmt w:val="decimal"/>
      <w:lvlText w:val="（%2）"/>
      <w:lvlJc w:val="left"/>
      <w:pPr>
        <w:tabs>
          <w:tab w:val="left" w:pos="1140"/>
        </w:tabs>
        <w:ind w:left="1140" w:hanging="7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0000000D"/>
    <w:multiLevelType w:val="multilevel"/>
    <w:tmpl w:val="0000000D"/>
    <w:lvl w:ilvl="0" w:tentative="0">
      <w:start w:val="1"/>
      <w:numFmt w:val="lowerLetter"/>
      <w:pStyle w:val="193"/>
      <w:lvlText w:val="%1)"/>
      <w:lvlJc w:val="left"/>
      <w:pPr>
        <w:ind w:left="902" w:hanging="420"/>
      </w:pPr>
      <w:rPr>
        <w:rFonts w:cs="Times New Roman"/>
        <w:color w:val="auto"/>
      </w:rPr>
    </w:lvl>
    <w:lvl w:ilvl="1" w:tentative="0">
      <w:start w:val="1"/>
      <w:numFmt w:val="lowerLetter"/>
      <w:lvlText w:val="%2)"/>
      <w:lvlJc w:val="left"/>
      <w:pPr>
        <w:ind w:left="1322" w:hanging="420"/>
      </w:pPr>
      <w:rPr>
        <w:rFonts w:cs="Times New Roman"/>
      </w:rPr>
    </w:lvl>
    <w:lvl w:ilvl="2" w:tentative="0">
      <w:start w:val="1"/>
      <w:numFmt w:val="lowerRoman"/>
      <w:lvlText w:val="%3."/>
      <w:lvlJc w:val="right"/>
      <w:pPr>
        <w:ind w:left="1742" w:hanging="420"/>
      </w:pPr>
      <w:rPr>
        <w:rFonts w:cs="Times New Roman"/>
      </w:rPr>
    </w:lvl>
    <w:lvl w:ilvl="3" w:tentative="0">
      <w:start w:val="1"/>
      <w:numFmt w:val="decimal"/>
      <w:lvlText w:val="%4."/>
      <w:lvlJc w:val="left"/>
      <w:pPr>
        <w:ind w:left="2162" w:hanging="420"/>
      </w:pPr>
      <w:rPr>
        <w:rFonts w:cs="Times New Roman"/>
      </w:rPr>
    </w:lvl>
    <w:lvl w:ilvl="4" w:tentative="0">
      <w:start w:val="1"/>
      <w:numFmt w:val="lowerLetter"/>
      <w:lvlText w:val="%5)"/>
      <w:lvlJc w:val="left"/>
      <w:pPr>
        <w:ind w:left="2582" w:hanging="420"/>
      </w:pPr>
      <w:rPr>
        <w:rFonts w:cs="Times New Roman"/>
      </w:rPr>
    </w:lvl>
    <w:lvl w:ilvl="5" w:tentative="0">
      <w:start w:val="1"/>
      <w:numFmt w:val="lowerRoman"/>
      <w:lvlText w:val="%6."/>
      <w:lvlJc w:val="right"/>
      <w:pPr>
        <w:ind w:left="3002" w:hanging="420"/>
      </w:pPr>
      <w:rPr>
        <w:rFonts w:cs="Times New Roman"/>
      </w:rPr>
    </w:lvl>
    <w:lvl w:ilvl="6" w:tentative="0">
      <w:start w:val="1"/>
      <w:numFmt w:val="decimal"/>
      <w:lvlText w:val="%7."/>
      <w:lvlJc w:val="left"/>
      <w:pPr>
        <w:ind w:left="3422" w:hanging="420"/>
      </w:pPr>
      <w:rPr>
        <w:rFonts w:cs="Times New Roman"/>
      </w:rPr>
    </w:lvl>
    <w:lvl w:ilvl="7" w:tentative="0">
      <w:start w:val="1"/>
      <w:numFmt w:val="lowerLetter"/>
      <w:lvlText w:val="%8)"/>
      <w:lvlJc w:val="left"/>
      <w:pPr>
        <w:ind w:left="3842" w:hanging="420"/>
      </w:pPr>
      <w:rPr>
        <w:rFonts w:cs="Times New Roman"/>
      </w:rPr>
    </w:lvl>
    <w:lvl w:ilvl="8" w:tentative="0">
      <w:start w:val="1"/>
      <w:numFmt w:val="lowerRoman"/>
      <w:lvlText w:val="%9."/>
      <w:lvlJc w:val="right"/>
      <w:pPr>
        <w:ind w:left="4262" w:hanging="420"/>
      </w:pPr>
      <w:rPr>
        <w:rFonts w:cs="Times New Roman"/>
      </w:rPr>
    </w:lvl>
  </w:abstractNum>
  <w:abstractNum w:abstractNumId="4">
    <w:nsid w:val="00000013"/>
    <w:multiLevelType w:val="singleLevel"/>
    <w:tmpl w:val="00000013"/>
    <w:lvl w:ilvl="0" w:tentative="0">
      <w:start w:val="1"/>
      <w:numFmt w:val="decimal"/>
      <w:pStyle w:val="164"/>
      <w:lvlText w:val="%1."/>
      <w:lvlJc w:val="left"/>
      <w:pPr>
        <w:tabs>
          <w:tab w:val="left" w:pos="360"/>
        </w:tabs>
        <w:ind w:left="360" w:hanging="360"/>
      </w:pPr>
      <w:rPr>
        <w:rFonts w:hint="default" w:cs="Times New Roman"/>
      </w:rPr>
    </w:lvl>
  </w:abstractNum>
  <w:abstractNum w:abstractNumId="5">
    <w:nsid w:val="00000026"/>
    <w:multiLevelType w:val="multilevel"/>
    <w:tmpl w:val="00000026"/>
    <w:lvl w:ilvl="0" w:tentative="0">
      <w:start w:val="1"/>
      <w:numFmt w:val="decimal"/>
      <w:pStyle w:val="113"/>
      <w:isLgl/>
      <w:suff w:val="nothing"/>
      <w:lvlText w:val="%1　"/>
      <w:lvlJc w:val="left"/>
      <w:pPr>
        <w:ind w:left="-25"/>
      </w:pPr>
      <w:rPr>
        <w:rFonts w:hint="default" w:ascii="Times New Roman" w:hAnsi="Times New Roman" w:eastAsia="宋体" w:cs="Times New Roman"/>
        <w:b/>
        <w:i w:val="0"/>
        <w:color w:val="auto"/>
        <w:sz w:val="28"/>
        <w:u w:val="none"/>
      </w:rPr>
    </w:lvl>
    <w:lvl w:ilvl="1" w:tentative="0">
      <w:start w:val="1"/>
      <w:numFmt w:val="decimal"/>
      <w:pStyle w:val="112"/>
      <w:isLgl/>
      <w:suff w:val="nothing"/>
      <w:lvlText w:val="%1.%2　"/>
      <w:lvlJc w:val="left"/>
      <w:pPr>
        <w:ind w:left="-25"/>
      </w:pPr>
      <w:rPr>
        <w:rFonts w:hint="default" w:ascii="Times New Roman" w:hAnsi="Times New Roman" w:eastAsia="宋体" w:cs="Times New Roman"/>
        <w:b/>
        <w:i w:val="0"/>
        <w:snapToGrid/>
        <w:color w:val="auto"/>
        <w:spacing w:val="0"/>
        <w:w w:val="100"/>
        <w:kern w:val="21"/>
        <w:sz w:val="28"/>
        <w:u w:val="none"/>
      </w:rPr>
    </w:lvl>
    <w:lvl w:ilvl="2" w:tentative="0">
      <w:start w:val="1"/>
      <w:numFmt w:val="decimal"/>
      <w:isLgl/>
      <w:suff w:val="nothing"/>
      <w:lvlText w:val="%1.%2.%3　"/>
      <w:lvlJc w:val="left"/>
      <w:pPr>
        <w:ind w:left="-25"/>
      </w:pPr>
      <w:rPr>
        <w:rFonts w:hint="default" w:ascii="Times New Roman" w:hAnsi="Times New Roman" w:eastAsia="黑体" w:cs="Times New Roman"/>
        <w:b/>
        <w:i w:val="0"/>
        <w:sz w:val="28"/>
      </w:rPr>
    </w:lvl>
    <w:lvl w:ilvl="3" w:tentative="0">
      <w:start w:val="1"/>
      <w:numFmt w:val="decimal"/>
      <w:pStyle w:val="149"/>
      <w:isLgl/>
      <w:suff w:val="nothing"/>
      <w:lvlText w:val="%1.%2.%3.%4　"/>
      <w:lvlJc w:val="left"/>
      <w:pPr>
        <w:ind w:left="-25"/>
      </w:pPr>
      <w:rPr>
        <w:rFonts w:hint="default" w:ascii="Times New Roman" w:hAnsi="Times New Roman" w:eastAsia="宋体" w:cs="Times New Roman"/>
        <w:b/>
        <w:i w:val="0"/>
        <w:color w:val="auto"/>
        <w:sz w:val="28"/>
        <w:u w:val="none"/>
      </w:rPr>
    </w:lvl>
    <w:lvl w:ilvl="4" w:tentative="0">
      <w:start w:val="1"/>
      <w:numFmt w:val="decimal"/>
      <w:pStyle w:val="148"/>
      <w:isLgl/>
      <w:suff w:val="nothing"/>
      <w:lvlText w:val="%1.%2.%3.%4.%5　"/>
      <w:lvlJc w:val="left"/>
      <w:pPr>
        <w:ind w:left="-25"/>
      </w:pPr>
      <w:rPr>
        <w:rFonts w:hint="default" w:ascii="Times New Roman" w:hAnsi="Times New Roman" w:eastAsia="宋体" w:cs="Times New Roman"/>
        <w:b/>
        <w:i w:val="0"/>
        <w:color w:val="auto"/>
        <w:sz w:val="28"/>
        <w:u w:val="none"/>
      </w:rPr>
    </w:lvl>
    <w:lvl w:ilvl="5" w:tentative="0">
      <w:start w:val="1"/>
      <w:numFmt w:val="decimal"/>
      <w:pStyle w:val="157"/>
      <w:isLgl/>
      <w:suff w:val="nothing"/>
      <w:lvlText w:val="%1.%2.%3.%4.%5.%6　"/>
      <w:lvlJc w:val="left"/>
      <w:pPr>
        <w:ind w:left="-25"/>
      </w:pPr>
      <w:rPr>
        <w:rFonts w:hint="default" w:ascii="Times New Roman" w:hAnsi="Times New Roman" w:eastAsia="宋体" w:cs="Times New Roman"/>
        <w:b/>
        <w:i w:val="0"/>
        <w:sz w:val="28"/>
      </w:rPr>
    </w:lvl>
    <w:lvl w:ilvl="6" w:tentative="0">
      <w:start w:val="1"/>
      <w:numFmt w:val="lowerLetter"/>
      <w:pStyle w:val="170"/>
      <w:lvlText w:val="%7) "/>
      <w:lvlJc w:val="left"/>
      <w:pPr>
        <w:tabs>
          <w:tab w:val="left" w:pos="635"/>
        </w:tabs>
        <w:ind w:left="-125" w:firstLine="400"/>
      </w:pPr>
      <w:rPr>
        <w:rFonts w:hint="default" w:ascii="Times New Roman" w:hAnsi="Times New Roman" w:eastAsia="宋体" w:cs="Times New Roman"/>
        <w:b/>
        <w:i w:val="0"/>
        <w:color w:val="auto"/>
        <w:sz w:val="28"/>
        <w:u w:val="none"/>
      </w:rPr>
    </w:lvl>
    <w:lvl w:ilvl="7" w:tentative="0">
      <w:start w:val="1"/>
      <w:numFmt w:val="decimal"/>
      <w:pStyle w:val="133"/>
      <w:lvlText w:val="%8) "/>
      <w:lvlJc w:val="left"/>
      <w:pPr>
        <w:tabs>
          <w:tab w:val="left" w:pos="860"/>
        </w:tabs>
        <w:ind w:left="500"/>
      </w:pPr>
      <w:rPr>
        <w:rFonts w:hint="default" w:ascii="Times New Roman" w:hAnsi="Times New Roman" w:eastAsia="宋体" w:cs="Times New Roman"/>
        <w:b/>
        <w:i w:val="0"/>
        <w:color w:val="auto"/>
        <w:sz w:val="28"/>
        <w:u w:val="none"/>
      </w:rPr>
    </w:lvl>
    <w:lvl w:ilvl="8" w:tentative="0">
      <w:start w:val="1"/>
      <w:numFmt w:val="none"/>
      <w:lvlText w:val="%9"/>
      <w:lvlJc w:val="left"/>
      <w:pPr>
        <w:tabs>
          <w:tab w:val="left" w:pos="860"/>
        </w:tabs>
        <w:ind w:left="500"/>
      </w:pPr>
      <w:rPr>
        <w:rFonts w:hint="eastAsia" w:ascii="宋体" w:eastAsia="宋体" w:cs="Times New Roman"/>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cs="Times New Roman"/>
      </w:rPr>
    </w:lvl>
    <w:lvl w:ilvl="1" w:tentative="0">
      <w:start w:val="1"/>
      <w:numFmt w:val="decimal"/>
      <w:pStyle w:val="151"/>
      <w:lvlText w:val="%2、"/>
      <w:lvlJc w:val="left"/>
      <w:pPr>
        <w:tabs>
          <w:tab w:val="left" w:pos="1188"/>
        </w:tabs>
        <w:ind w:left="1188" w:hanging="360"/>
      </w:pPr>
      <w:rPr>
        <w:rFonts w:hint="eastAsia" w:cs="Times New Roman"/>
      </w:rPr>
    </w:lvl>
    <w:lvl w:ilvl="2" w:tentative="0">
      <w:start w:val="1"/>
      <w:numFmt w:val="decimal"/>
      <w:lvlText w:val="（%3）"/>
      <w:lvlJc w:val="left"/>
      <w:pPr>
        <w:tabs>
          <w:tab w:val="left" w:pos="1968"/>
        </w:tabs>
        <w:ind w:left="1968" w:hanging="720"/>
      </w:pPr>
      <w:rPr>
        <w:rFonts w:hint="eastAsia" w:cs="Times New Roman"/>
        <w:u w:val="none"/>
      </w:rPr>
    </w:lvl>
    <w:lvl w:ilvl="3" w:tentative="0">
      <w:start w:val="1"/>
      <w:numFmt w:val="decimal"/>
      <w:lvlText w:val="%4."/>
      <w:lvlJc w:val="left"/>
      <w:pPr>
        <w:tabs>
          <w:tab w:val="left" w:pos="2088"/>
        </w:tabs>
        <w:ind w:left="2088" w:hanging="420"/>
      </w:pPr>
      <w:rPr>
        <w:rFonts w:cs="Times New Roman"/>
      </w:rPr>
    </w:lvl>
    <w:lvl w:ilvl="4" w:tentative="0">
      <w:start w:val="1"/>
      <w:numFmt w:val="lowerLetter"/>
      <w:lvlText w:val="%5)"/>
      <w:lvlJc w:val="left"/>
      <w:pPr>
        <w:tabs>
          <w:tab w:val="left" w:pos="2508"/>
        </w:tabs>
        <w:ind w:left="2508" w:hanging="420"/>
      </w:pPr>
      <w:rPr>
        <w:rFonts w:cs="Times New Roman"/>
      </w:rPr>
    </w:lvl>
    <w:lvl w:ilvl="5" w:tentative="0">
      <w:start w:val="1"/>
      <w:numFmt w:val="lowerRoman"/>
      <w:lvlText w:val="%6."/>
      <w:lvlJc w:val="right"/>
      <w:pPr>
        <w:tabs>
          <w:tab w:val="left" w:pos="2928"/>
        </w:tabs>
        <w:ind w:left="2928" w:hanging="420"/>
      </w:pPr>
      <w:rPr>
        <w:rFonts w:cs="Times New Roman"/>
      </w:rPr>
    </w:lvl>
    <w:lvl w:ilvl="6" w:tentative="0">
      <w:start w:val="1"/>
      <w:numFmt w:val="decimal"/>
      <w:lvlText w:val="%7."/>
      <w:lvlJc w:val="left"/>
      <w:pPr>
        <w:tabs>
          <w:tab w:val="left" w:pos="3348"/>
        </w:tabs>
        <w:ind w:left="3348" w:hanging="420"/>
      </w:pPr>
      <w:rPr>
        <w:rFonts w:cs="Times New Roman"/>
      </w:rPr>
    </w:lvl>
    <w:lvl w:ilvl="7" w:tentative="0">
      <w:start w:val="1"/>
      <w:numFmt w:val="lowerLetter"/>
      <w:lvlText w:val="%8)"/>
      <w:lvlJc w:val="left"/>
      <w:pPr>
        <w:tabs>
          <w:tab w:val="left" w:pos="3768"/>
        </w:tabs>
        <w:ind w:left="3768" w:hanging="420"/>
      </w:pPr>
      <w:rPr>
        <w:rFonts w:cs="Times New Roman"/>
      </w:rPr>
    </w:lvl>
    <w:lvl w:ilvl="8" w:tentative="0">
      <w:start w:val="1"/>
      <w:numFmt w:val="lowerRoman"/>
      <w:lvlText w:val="%9."/>
      <w:lvlJc w:val="right"/>
      <w:pPr>
        <w:tabs>
          <w:tab w:val="left" w:pos="4188"/>
        </w:tabs>
        <w:ind w:left="4188" w:hanging="420"/>
      </w:pPr>
      <w:rPr>
        <w:rFonts w:cs="Times New Roman"/>
      </w:rPr>
    </w:lvl>
  </w:abstractNum>
  <w:abstractNum w:abstractNumId="7">
    <w:nsid w:val="0000002F"/>
    <w:multiLevelType w:val="multilevel"/>
    <w:tmpl w:val="0000002F"/>
    <w:lvl w:ilvl="0" w:tentative="0">
      <w:start w:val="1"/>
      <w:numFmt w:val="decimal"/>
      <w:pStyle w:val="118"/>
      <w:lvlText w:val="%1)"/>
      <w:lvlJc w:val="left"/>
      <w:pPr>
        <w:ind w:left="420" w:hanging="4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8">
    <w:nsid w:val="00000403"/>
    <w:multiLevelType w:val="multilevel"/>
    <w:tmpl w:val="00000403"/>
    <w:lvl w:ilvl="0" w:tentative="0">
      <w:start w:val="1"/>
      <w:numFmt w:val="decimal"/>
      <w:lvlText w:val="%1."/>
      <w:lvlJc w:val="left"/>
      <w:pPr>
        <w:ind w:left="1221" w:hanging="229"/>
      </w:pPr>
      <w:rPr>
        <w:rFonts w:ascii="Arial" w:hAnsi="Arial" w:cs="Arial"/>
        <w:b w:val="0"/>
        <w:bCs w:val="0"/>
        <w:spacing w:val="-2"/>
        <w:w w:val="114"/>
        <w:sz w:val="22"/>
        <w:szCs w:val="22"/>
      </w:rPr>
    </w:lvl>
    <w:lvl w:ilvl="1" w:tentative="0">
      <w:start w:val="1"/>
      <w:numFmt w:val="decimal"/>
      <w:lvlText w:val="%1.%2"/>
      <w:lvlJc w:val="left"/>
      <w:pPr>
        <w:ind w:left="1520" w:hanging="500"/>
      </w:pPr>
      <w:rPr>
        <w:rFonts w:ascii="Arial" w:hAnsi="Arial" w:cs="Arial"/>
        <w:b w:val="0"/>
        <w:bCs w:val="0"/>
        <w:spacing w:val="-2"/>
        <w:w w:val="114"/>
        <w:sz w:val="24"/>
        <w:szCs w:val="24"/>
      </w:rPr>
    </w:lvl>
    <w:lvl w:ilvl="2" w:tentative="0">
      <w:start w:val="0"/>
      <w:numFmt w:val="bullet"/>
      <w:lvlText w:val="•"/>
      <w:lvlJc w:val="left"/>
      <w:pPr>
        <w:ind w:left="1520" w:hanging="500"/>
      </w:pPr>
    </w:lvl>
    <w:lvl w:ilvl="3" w:tentative="0">
      <w:start w:val="0"/>
      <w:numFmt w:val="bullet"/>
      <w:lvlText w:val="•"/>
      <w:lvlJc w:val="left"/>
      <w:pPr>
        <w:ind w:left="2603" w:hanging="500"/>
      </w:pPr>
    </w:lvl>
    <w:lvl w:ilvl="4" w:tentative="0">
      <w:start w:val="0"/>
      <w:numFmt w:val="bullet"/>
      <w:lvlText w:val="•"/>
      <w:lvlJc w:val="left"/>
      <w:pPr>
        <w:ind w:left="3686" w:hanging="500"/>
      </w:pPr>
    </w:lvl>
    <w:lvl w:ilvl="5" w:tentative="0">
      <w:start w:val="0"/>
      <w:numFmt w:val="bullet"/>
      <w:lvlText w:val="•"/>
      <w:lvlJc w:val="left"/>
      <w:pPr>
        <w:ind w:left="4770" w:hanging="500"/>
      </w:pPr>
    </w:lvl>
    <w:lvl w:ilvl="6" w:tentative="0">
      <w:start w:val="0"/>
      <w:numFmt w:val="bullet"/>
      <w:lvlText w:val="•"/>
      <w:lvlJc w:val="left"/>
      <w:pPr>
        <w:ind w:left="5853" w:hanging="500"/>
      </w:pPr>
    </w:lvl>
    <w:lvl w:ilvl="7" w:tentative="0">
      <w:start w:val="0"/>
      <w:numFmt w:val="bullet"/>
      <w:lvlText w:val="•"/>
      <w:lvlJc w:val="left"/>
      <w:pPr>
        <w:ind w:left="6936" w:hanging="500"/>
      </w:pPr>
    </w:lvl>
    <w:lvl w:ilvl="8" w:tentative="0">
      <w:start w:val="0"/>
      <w:numFmt w:val="bullet"/>
      <w:lvlText w:val="•"/>
      <w:lvlJc w:val="left"/>
      <w:pPr>
        <w:ind w:left="8020" w:hanging="500"/>
      </w:pPr>
    </w:lvl>
  </w:abstractNum>
  <w:abstractNum w:abstractNumId="9">
    <w:nsid w:val="00000407"/>
    <w:multiLevelType w:val="multilevel"/>
    <w:tmpl w:val="00000407"/>
    <w:lvl w:ilvl="0" w:tentative="0">
      <w:start w:val="1"/>
      <w:numFmt w:val="decimal"/>
      <w:lvlText w:val="%1"/>
      <w:lvlJc w:val="left"/>
      <w:pPr>
        <w:ind w:left="796" w:hanging="356"/>
      </w:pPr>
      <w:rPr>
        <w:rFonts w:ascii="Arial" w:hAnsi="Arial" w:cs="Arial"/>
        <w:b w:val="0"/>
        <w:bCs w:val="0"/>
        <w:w w:val="114"/>
        <w:sz w:val="24"/>
        <w:szCs w:val="24"/>
      </w:rPr>
    </w:lvl>
    <w:lvl w:ilvl="1" w:tentative="0">
      <w:start w:val="1"/>
      <w:numFmt w:val="decimal"/>
      <w:lvlText w:val="%1.%2"/>
      <w:lvlJc w:val="left"/>
      <w:pPr>
        <w:ind w:left="1621" w:hanging="720"/>
      </w:pPr>
      <w:rPr>
        <w:rFonts w:ascii="Arial" w:hAnsi="Arial" w:cs="Arial"/>
        <w:b w:val="0"/>
        <w:bCs w:val="0"/>
        <w:spacing w:val="-2"/>
        <w:w w:val="114"/>
        <w:sz w:val="24"/>
        <w:szCs w:val="24"/>
      </w:rPr>
    </w:lvl>
    <w:lvl w:ilvl="2" w:tentative="0">
      <w:start w:val="1"/>
      <w:numFmt w:val="decimal"/>
      <w:lvlText w:val="%1.%2.%3"/>
      <w:lvlJc w:val="left"/>
      <w:pPr>
        <w:ind w:left="2521" w:hanging="900"/>
      </w:pPr>
      <w:rPr>
        <w:rFonts w:ascii="Arial" w:hAnsi="Arial" w:cs="Arial"/>
        <w:b w:val="0"/>
        <w:bCs w:val="0"/>
        <w:spacing w:val="-2"/>
        <w:w w:val="114"/>
        <w:sz w:val="24"/>
        <w:szCs w:val="24"/>
      </w:rPr>
    </w:lvl>
    <w:lvl w:ilvl="3" w:tentative="0">
      <w:start w:val="1"/>
      <w:numFmt w:val="decimal"/>
      <w:lvlText w:val="%1.%2.%3.%4"/>
      <w:lvlJc w:val="left"/>
      <w:pPr>
        <w:ind w:left="3426" w:hanging="900"/>
      </w:pPr>
      <w:rPr>
        <w:rFonts w:ascii="Arial" w:hAnsi="Arial" w:cs="Arial"/>
        <w:b w:val="0"/>
        <w:bCs w:val="0"/>
        <w:spacing w:val="-2"/>
        <w:w w:val="114"/>
        <w:sz w:val="24"/>
        <w:szCs w:val="24"/>
      </w:rPr>
    </w:lvl>
    <w:lvl w:ilvl="4" w:tentative="0">
      <w:start w:val="1"/>
      <w:numFmt w:val="decimal"/>
      <w:lvlText w:val="（%5）"/>
      <w:lvlJc w:val="left"/>
      <w:pPr>
        <w:ind w:left="3375" w:hanging="641"/>
      </w:pPr>
      <w:rPr>
        <w:rFonts w:ascii="宋体" w:eastAsia="宋体" w:cs="宋体"/>
        <w:b w:val="0"/>
        <w:bCs w:val="0"/>
        <w:spacing w:val="2"/>
        <w:w w:val="100"/>
        <w:sz w:val="22"/>
        <w:szCs w:val="22"/>
      </w:rPr>
    </w:lvl>
    <w:lvl w:ilvl="5" w:tentative="0">
      <w:start w:val="0"/>
      <w:numFmt w:val="bullet"/>
      <w:lvlText w:val="•"/>
      <w:lvlJc w:val="left"/>
      <w:pPr>
        <w:ind w:left="3380" w:hanging="641"/>
      </w:pPr>
    </w:lvl>
    <w:lvl w:ilvl="6" w:tentative="0">
      <w:start w:val="0"/>
      <w:numFmt w:val="bullet"/>
      <w:lvlText w:val="•"/>
      <w:lvlJc w:val="left"/>
      <w:pPr>
        <w:ind w:left="3420" w:hanging="641"/>
      </w:pPr>
    </w:lvl>
    <w:lvl w:ilvl="7" w:tentative="0">
      <w:start w:val="0"/>
      <w:numFmt w:val="bullet"/>
      <w:lvlText w:val="•"/>
      <w:lvlJc w:val="left"/>
      <w:pPr>
        <w:ind w:left="5111" w:hanging="641"/>
      </w:pPr>
    </w:lvl>
    <w:lvl w:ilvl="8" w:tentative="0">
      <w:start w:val="0"/>
      <w:numFmt w:val="bullet"/>
      <w:lvlText w:val="•"/>
      <w:lvlJc w:val="left"/>
      <w:pPr>
        <w:ind w:left="6803" w:hanging="641"/>
      </w:pPr>
    </w:lvl>
  </w:abstractNum>
  <w:abstractNum w:abstractNumId="10">
    <w:nsid w:val="00000408"/>
    <w:multiLevelType w:val="multilevel"/>
    <w:tmpl w:val="00000408"/>
    <w:lvl w:ilvl="0" w:tentative="0">
      <w:start w:val="1"/>
      <w:numFmt w:val="decimal"/>
      <w:lvlText w:val="%1"/>
      <w:lvlJc w:val="left"/>
      <w:pPr>
        <w:ind w:left="901" w:hanging="360"/>
      </w:pPr>
      <w:rPr>
        <w:rFonts w:ascii="Arial" w:hAnsi="Arial" w:cs="Arial"/>
        <w:b w:val="0"/>
        <w:bCs w:val="0"/>
        <w:w w:val="114"/>
        <w:sz w:val="24"/>
        <w:szCs w:val="24"/>
      </w:rPr>
    </w:lvl>
    <w:lvl w:ilvl="1" w:tentative="0">
      <w:start w:val="1"/>
      <w:numFmt w:val="decimal"/>
      <w:lvlText w:val="%1.%2"/>
      <w:lvlJc w:val="left"/>
      <w:pPr>
        <w:ind w:left="1616" w:hanging="720"/>
      </w:pPr>
      <w:rPr>
        <w:rFonts w:ascii="Arial" w:hAnsi="Arial" w:cs="Arial"/>
        <w:b w:val="0"/>
        <w:bCs w:val="0"/>
        <w:spacing w:val="-2"/>
        <w:w w:val="114"/>
        <w:sz w:val="24"/>
        <w:szCs w:val="24"/>
      </w:rPr>
    </w:lvl>
    <w:lvl w:ilvl="2" w:tentative="0">
      <w:start w:val="1"/>
      <w:numFmt w:val="decimal"/>
      <w:lvlText w:val="%1.%2.%3"/>
      <w:lvlJc w:val="left"/>
      <w:pPr>
        <w:ind w:left="2521" w:hanging="900"/>
      </w:pPr>
      <w:rPr>
        <w:rFonts w:ascii="Arial" w:hAnsi="Arial" w:cs="Arial"/>
        <w:b w:val="0"/>
        <w:bCs w:val="0"/>
        <w:spacing w:val="-2"/>
        <w:w w:val="114"/>
        <w:sz w:val="24"/>
        <w:szCs w:val="24"/>
      </w:rPr>
    </w:lvl>
    <w:lvl w:ilvl="3" w:tentative="0">
      <w:start w:val="0"/>
      <w:numFmt w:val="bullet"/>
      <w:lvlText w:val="•"/>
      <w:lvlJc w:val="left"/>
      <w:pPr>
        <w:ind w:left="3478" w:hanging="900"/>
      </w:pPr>
    </w:lvl>
    <w:lvl w:ilvl="4" w:tentative="0">
      <w:start w:val="0"/>
      <w:numFmt w:val="bullet"/>
      <w:lvlText w:val="•"/>
      <w:lvlJc w:val="left"/>
      <w:pPr>
        <w:ind w:left="4436" w:hanging="900"/>
      </w:pPr>
    </w:lvl>
    <w:lvl w:ilvl="5" w:tentative="0">
      <w:start w:val="0"/>
      <w:numFmt w:val="bullet"/>
      <w:lvlText w:val="•"/>
      <w:lvlJc w:val="left"/>
      <w:pPr>
        <w:ind w:left="5395" w:hanging="900"/>
      </w:pPr>
    </w:lvl>
    <w:lvl w:ilvl="6" w:tentative="0">
      <w:start w:val="0"/>
      <w:numFmt w:val="bullet"/>
      <w:lvlText w:val="•"/>
      <w:lvlJc w:val="left"/>
      <w:pPr>
        <w:ind w:left="6353" w:hanging="900"/>
      </w:pPr>
    </w:lvl>
    <w:lvl w:ilvl="7" w:tentative="0">
      <w:start w:val="0"/>
      <w:numFmt w:val="bullet"/>
      <w:lvlText w:val="•"/>
      <w:lvlJc w:val="left"/>
      <w:pPr>
        <w:ind w:left="7311" w:hanging="900"/>
      </w:pPr>
    </w:lvl>
    <w:lvl w:ilvl="8" w:tentative="0">
      <w:start w:val="0"/>
      <w:numFmt w:val="bullet"/>
      <w:lvlText w:val="•"/>
      <w:lvlJc w:val="left"/>
      <w:pPr>
        <w:ind w:left="8270" w:hanging="900"/>
      </w:pPr>
    </w:lvl>
  </w:abstractNum>
  <w:abstractNum w:abstractNumId="11">
    <w:nsid w:val="0000040E"/>
    <w:multiLevelType w:val="multilevel"/>
    <w:tmpl w:val="0000040E"/>
    <w:lvl w:ilvl="0" w:tentative="0">
      <w:start w:val="1"/>
      <w:numFmt w:val="decimal"/>
      <w:lvlText w:val="%1"/>
      <w:lvlJc w:val="left"/>
      <w:pPr>
        <w:ind w:left="812" w:hanging="272"/>
      </w:pPr>
      <w:rPr>
        <w:rFonts w:ascii="Arial" w:hAnsi="Arial" w:cs="Arial"/>
        <w:b w:val="0"/>
        <w:bCs w:val="0"/>
        <w:w w:val="114"/>
        <w:sz w:val="24"/>
        <w:szCs w:val="24"/>
      </w:rPr>
    </w:lvl>
    <w:lvl w:ilvl="1" w:tentative="0">
      <w:start w:val="1"/>
      <w:numFmt w:val="decimal"/>
      <w:lvlText w:val="%1-%2"/>
      <w:lvlJc w:val="left"/>
      <w:pPr>
        <w:ind w:left="1052" w:hanging="512"/>
      </w:pPr>
      <w:rPr>
        <w:rFonts w:ascii="Arial" w:hAnsi="Arial" w:cs="Arial"/>
        <w:b w:val="0"/>
        <w:bCs w:val="0"/>
        <w:spacing w:val="-2"/>
        <w:w w:val="112"/>
        <w:sz w:val="24"/>
        <w:szCs w:val="24"/>
      </w:rPr>
    </w:lvl>
    <w:lvl w:ilvl="2" w:tentative="0">
      <w:start w:val="0"/>
      <w:numFmt w:val="bullet"/>
      <w:lvlText w:val="•"/>
      <w:lvlJc w:val="left"/>
      <w:pPr>
        <w:ind w:left="2074" w:hanging="512"/>
      </w:pPr>
    </w:lvl>
    <w:lvl w:ilvl="3" w:tentative="0">
      <w:start w:val="0"/>
      <w:numFmt w:val="bullet"/>
      <w:lvlText w:val="•"/>
      <w:lvlJc w:val="left"/>
      <w:pPr>
        <w:ind w:left="3088" w:hanging="512"/>
      </w:pPr>
    </w:lvl>
    <w:lvl w:ilvl="4" w:tentative="0">
      <w:start w:val="0"/>
      <w:numFmt w:val="bullet"/>
      <w:lvlText w:val="•"/>
      <w:lvlJc w:val="left"/>
      <w:pPr>
        <w:ind w:left="4102" w:hanging="512"/>
      </w:pPr>
    </w:lvl>
    <w:lvl w:ilvl="5" w:tentative="0">
      <w:start w:val="0"/>
      <w:numFmt w:val="bullet"/>
      <w:lvlText w:val="•"/>
      <w:lvlJc w:val="left"/>
      <w:pPr>
        <w:ind w:left="5116" w:hanging="512"/>
      </w:pPr>
    </w:lvl>
    <w:lvl w:ilvl="6" w:tentative="0">
      <w:start w:val="0"/>
      <w:numFmt w:val="bullet"/>
      <w:lvlText w:val="•"/>
      <w:lvlJc w:val="left"/>
      <w:pPr>
        <w:ind w:left="6130" w:hanging="512"/>
      </w:pPr>
    </w:lvl>
    <w:lvl w:ilvl="7" w:tentative="0">
      <w:start w:val="0"/>
      <w:numFmt w:val="bullet"/>
      <w:lvlText w:val="•"/>
      <w:lvlJc w:val="left"/>
      <w:pPr>
        <w:ind w:left="7144" w:hanging="512"/>
      </w:pPr>
    </w:lvl>
    <w:lvl w:ilvl="8" w:tentative="0">
      <w:start w:val="0"/>
      <w:numFmt w:val="bullet"/>
      <w:lvlText w:val="•"/>
      <w:lvlJc w:val="left"/>
      <w:pPr>
        <w:ind w:left="8158" w:hanging="512"/>
      </w:pPr>
    </w:lvl>
  </w:abstractNum>
  <w:abstractNum w:abstractNumId="12">
    <w:nsid w:val="00000410"/>
    <w:multiLevelType w:val="multilevel"/>
    <w:tmpl w:val="00000410"/>
    <w:lvl w:ilvl="0" w:tentative="0">
      <w:start w:val="1"/>
      <w:numFmt w:val="decimal"/>
      <w:lvlText w:val="（%1）"/>
      <w:lvlJc w:val="left"/>
      <w:pPr>
        <w:ind w:left="541" w:hanging="635"/>
      </w:pPr>
      <w:rPr>
        <w:rFonts w:ascii="宋体" w:eastAsia="宋体" w:cs="宋体"/>
        <w:b w:val="0"/>
        <w:bCs w:val="0"/>
        <w:spacing w:val="-1"/>
        <w:w w:val="100"/>
        <w:sz w:val="22"/>
        <w:szCs w:val="22"/>
      </w:rPr>
    </w:lvl>
    <w:lvl w:ilvl="1" w:tentative="0">
      <w:start w:val="0"/>
      <w:numFmt w:val="bullet"/>
      <w:lvlText w:val="•"/>
      <w:lvlJc w:val="left"/>
      <w:pPr>
        <w:ind w:left="1504" w:hanging="635"/>
      </w:pPr>
    </w:lvl>
    <w:lvl w:ilvl="2" w:tentative="0">
      <w:start w:val="0"/>
      <w:numFmt w:val="bullet"/>
      <w:lvlText w:val="•"/>
      <w:lvlJc w:val="left"/>
      <w:pPr>
        <w:ind w:left="2469" w:hanging="635"/>
      </w:pPr>
    </w:lvl>
    <w:lvl w:ilvl="3" w:tentative="0">
      <w:start w:val="0"/>
      <w:numFmt w:val="bullet"/>
      <w:lvlText w:val="•"/>
      <w:lvlJc w:val="left"/>
      <w:pPr>
        <w:ind w:left="3434" w:hanging="635"/>
      </w:pPr>
    </w:lvl>
    <w:lvl w:ilvl="4" w:tentative="0">
      <w:start w:val="0"/>
      <w:numFmt w:val="bullet"/>
      <w:lvlText w:val="•"/>
      <w:lvlJc w:val="left"/>
      <w:pPr>
        <w:ind w:left="4398" w:hanging="635"/>
      </w:pPr>
    </w:lvl>
    <w:lvl w:ilvl="5" w:tentative="0">
      <w:start w:val="0"/>
      <w:numFmt w:val="bullet"/>
      <w:lvlText w:val="•"/>
      <w:lvlJc w:val="left"/>
      <w:pPr>
        <w:ind w:left="5363" w:hanging="635"/>
      </w:pPr>
    </w:lvl>
    <w:lvl w:ilvl="6" w:tentative="0">
      <w:start w:val="0"/>
      <w:numFmt w:val="bullet"/>
      <w:lvlText w:val="•"/>
      <w:lvlJc w:val="left"/>
      <w:pPr>
        <w:ind w:left="6328" w:hanging="635"/>
      </w:pPr>
    </w:lvl>
    <w:lvl w:ilvl="7" w:tentative="0">
      <w:start w:val="0"/>
      <w:numFmt w:val="bullet"/>
      <w:lvlText w:val="•"/>
      <w:lvlJc w:val="left"/>
      <w:pPr>
        <w:ind w:left="7292" w:hanging="635"/>
      </w:pPr>
    </w:lvl>
    <w:lvl w:ilvl="8" w:tentative="0">
      <w:start w:val="0"/>
      <w:numFmt w:val="bullet"/>
      <w:lvlText w:val="•"/>
      <w:lvlJc w:val="left"/>
      <w:pPr>
        <w:ind w:left="8257" w:hanging="635"/>
      </w:pPr>
    </w:lvl>
  </w:abstractNum>
  <w:abstractNum w:abstractNumId="13">
    <w:nsid w:val="00000411"/>
    <w:multiLevelType w:val="multilevel"/>
    <w:tmpl w:val="00000411"/>
    <w:lvl w:ilvl="0" w:tentative="0">
      <w:start w:val="2"/>
      <w:numFmt w:val="decimal"/>
      <w:lvlText w:val="%1）"/>
      <w:lvlJc w:val="left"/>
      <w:pPr>
        <w:ind w:left="541" w:hanging="393"/>
      </w:pPr>
      <w:rPr>
        <w:rFonts w:ascii="Arial" w:hAnsi="Arial" w:cs="Arial"/>
        <w:b w:val="0"/>
        <w:bCs w:val="0"/>
        <w:spacing w:val="-2"/>
        <w:w w:val="100"/>
        <w:sz w:val="22"/>
        <w:szCs w:val="22"/>
      </w:rPr>
    </w:lvl>
    <w:lvl w:ilvl="1" w:tentative="0">
      <w:start w:val="0"/>
      <w:numFmt w:val="bullet"/>
      <w:lvlText w:val="•"/>
      <w:lvlJc w:val="left"/>
      <w:pPr>
        <w:ind w:left="1504" w:hanging="393"/>
      </w:pPr>
    </w:lvl>
    <w:lvl w:ilvl="2" w:tentative="0">
      <w:start w:val="0"/>
      <w:numFmt w:val="bullet"/>
      <w:lvlText w:val="•"/>
      <w:lvlJc w:val="left"/>
      <w:pPr>
        <w:ind w:left="2469" w:hanging="393"/>
      </w:pPr>
    </w:lvl>
    <w:lvl w:ilvl="3" w:tentative="0">
      <w:start w:val="0"/>
      <w:numFmt w:val="bullet"/>
      <w:lvlText w:val="•"/>
      <w:lvlJc w:val="left"/>
      <w:pPr>
        <w:ind w:left="3434" w:hanging="393"/>
      </w:pPr>
    </w:lvl>
    <w:lvl w:ilvl="4" w:tentative="0">
      <w:start w:val="0"/>
      <w:numFmt w:val="bullet"/>
      <w:lvlText w:val="•"/>
      <w:lvlJc w:val="left"/>
      <w:pPr>
        <w:ind w:left="4398" w:hanging="393"/>
      </w:pPr>
    </w:lvl>
    <w:lvl w:ilvl="5" w:tentative="0">
      <w:start w:val="0"/>
      <w:numFmt w:val="bullet"/>
      <w:lvlText w:val="•"/>
      <w:lvlJc w:val="left"/>
      <w:pPr>
        <w:ind w:left="5363" w:hanging="393"/>
      </w:pPr>
    </w:lvl>
    <w:lvl w:ilvl="6" w:tentative="0">
      <w:start w:val="0"/>
      <w:numFmt w:val="bullet"/>
      <w:lvlText w:val="•"/>
      <w:lvlJc w:val="left"/>
      <w:pPr>
        <w:ind w:left="6328" w:hanging="393"/>
      </w:pPr>
    </w:lvl>
    <w:lvl w:ilvl="7" w:tentative="0">
      <w:start w:val="0"/>
      <w:numFmt w:val="bullet"/>
      <w:lvlText w:val="•"/>
      <w:lvlJc w:val="left"/>
      <w:pPr>
        <w:ind w:left="7292" w:hanging="393"/>
      </w:pPr>
    </w:lvl>
    <w:lvl w:ilvl="8" w:tentative="0">
      <w:start w:val="0"/>
      <w:numFmt w:val="bullet"/>
      <w:lvlText w:val="•"/>
      <w:lvlJc w:val="left"/>
      <w:pPr>
        <w:ind w:left="8257" w:hanging="393"/>
      </w:pPr>
    </w:lvl>
  </w:abstractNum>
  <w:abstractNum w:abstractNumId="14">
    <w:nsid w:val="00000412"/>
    <w:multiLevelType w:val="multilevel"/>
    <w:tmpl w:val="00000412"/>
    <w:lvl w:ilvl="0" w:tentative="0">
      <w:start w:val="1"/>
      <w:numFmt w:val="decimal"/>
      <w:lvlText w:val="%1."/>
      <w:lvlJc w:val="left"/>
      <w:pPr>
        <w:ind w:left="541" w:hanging="240"/>
      </w:pPr>
      <w:rPr>
        <w:rFonts w:ascii="Arial" w:hAnsi="Arial" w:cs="Arial"/>
        <w:b w:val="0"/>
        <w:bCs w:val="0"/>
        <w:spacing w:val="4"/>
        <w:w w:val="114"/>
        <w:sz w:val="22"/>
        <w:szCs w:val="22"/>
      </w:rPr>
    </w:lvl>
    <w:lvl w:ilvl="1" w:tentative="0">
      <w:start w:val="0"/>
      <w:numFmt w:val="bullet"/>
      <w:lvlText w:val="•"/>
      <w:lvlJc w:val="left"/>
      <w:pPr>
        <w:ind w:left="1504" w:hanging="240"/>
      </w:pPr>
    </w:lvl>
    <w:lvl w:ilvl="2" w:tentative="0">
      <w:start w:val="0"/>
      <w:numFmt w:val="bullet"/>
      <w:lvlText w:val="•"/>
      <w:lvlJc w:val="left"/>
      <w:pPr>
        <w:ind w:left="2469" w:hanging="240"/>
      </w:pPr>
    </w:lvl>
    <w:lvl w:ilvl="3" w:tentative="0">
      <w:start w:val="0"/>
      <w:numFmt w:val="bullet"/>
      <w:lvlText w:val="•"/>
      <w:lvlJc w:val="left"/>
      <w:pPr>
        <w:ind w:left="3434" w:hanging="240"/>
      </w:pPr>
    </w:lvl>
    <w:lvl w:ilvl="4" w:tentative="0">
      <w:start w:val="0"/>
      <w:numFmt w:val="bullet"/>
      <w:lvlText w:val="•"/>
      <w:lvlJc w:val="left"/>
      <w:pPr>
        <w:ind w:left="4398" w:hanging="240"/>
      </w:pPr>
    </w:lvl>
    <w:lvl w:ilvl="5" w:tentative="0">
      <w:start w:val="0"/>
      <w:numFmt w:val="bullet"/>
      <w:lvlText w:val="•"/>
      <w:lvlJc w:val="left"/>
      <w:pPr>
        <w:ind w:left="5363" w:hanging="240"/>
      </w:pPr>
    </w:lvl>
    <w:lvl w:ilvl="6" w:tentative="0">
      <w:start w:val="0"/>
      <w:numFmt w:val="bullet"/>
      <w:lvlText w:val="•"/>
      <w:lvlJc w:val="left"/>
      <w:pPr>
        <w:ind w:left="6328" w:hanging="240"/>
      </w:pPr>
    </w:lvl>
    <w:lvl w:ilvl="7" w:tentative="0">
      <w:start w:val="0"/>
      <w:numFmt w:val="bullet"/>
      <w:lvlText w:val="•"/>
      <w:lvlJc w:val="left"/>
      <w:pPr>
        <w:ind w:left="7292" w:hanging="240"/>
      </w:pPr>
    </w:lvl>
    <w:lvl w:ilvl="8" w:tentative="0">
      <w:start w:val="0"/>
      <w:numFmt w:val="bullet"/>
      <w:lvlText w:val="•"/>
      <w:lvlJc w:val="left"/>
      <w:pPr>
        <w:ind w:left="8257" w:hanging="240"/>
      </w:pPr>
    </w:lvl>
  </w:abstractNum>
  <w:abstractNum w:abstractNumId="15">
    <w:nsid w:val="00000413"/>
    <w:multiLevelType w:val="multilevel"/>
    <w:tmpl w:val="00000413"/>
    <w:lvl w:ilvl="0" w:tentative="0">
      <w:start w:val="1"/>
      <w:numFmt w:val="decimal"/>
      <w:lvlText w:val="（%1）"/>
      <w:lvlJc w:val="left"/>
      <w:pPr>
        <w:ind w:left="1173" w:hanging="633"/>
      </w:pPr>
      <w:rPr>
        <w:rFonts w:ascii="宋体" w:eastAsia="宋体" w:cs="宋体"/>
        <w:b w:val="0"/>
        <w:bCs w:val="0"/>
        <w:spacing w:val="-120"/>
        <w:w w:val="100"/>
        <w:sz w:val="22"/>
        <w:szCs w:val="22"/>
      </w:rPr>
    </w:lvl>
    <w:lvl w:ilvl="1" w:tentative="0">
      <w:start w:val="1"/>
      <w:numFmt w:val="upperLetter"/>
      <w:lvlText w:val="%2."/>
      <w:lvlJc w:val="left"/>
      <w:pPr>
        <w:ind w:left="1108" w:hanging="356"/>
      </w:pPr>
      <w:rPr>
        <w:rFonts w:ascii="Arial" w:hAnsi="Arial" w:cs="Arial"/>
        <w:b w:val="0"/>
        <w:bCs w:val="0"/>
        <w:spacing w:val="-6"/>
        <w:w w:val="102"/>
        <w:sz w:val="24"/>
        <w:szCs w:val="24"/>
      </w:rPr>
    </w:lvl>
    <w:lvl w:ilvl="2" w:tentative="0">
      <w:start w:val="0"/>
      <w:numFmt w:val="bullet"/>
      <w:lvlText w:val="•"/>
      <w:lvlJc w:val="left"/>
      <w:pPr>
        <w:ind w:left="2180" w:hanging="356"/>
      </w:pPr>
    </w:lvl>
    <w:lvl w:ilvl="3" w:tentative="0">
      <w:start w:val="0"/>
      <w:numFmt w:val="bullet"/>
      <w:lvlText w:val="•"/>
      <w:lvlJc w:val="left"/>
      <w:pPr>
        <w:ind w:left="3181" w:hanging="356"/>
      </w:pPr>
    </w:lvl>
    <w:lvl w:ilvl="4" w:tentative="0">
      <w:start w:val="0"/>
      <w:numFmt w:val="bullet"/>
      <w:lvlText w:val="•"/>
      <w:lvlJc w:val="left"/>
      <w:pPr>
        <w:ind w:left="4182" w:hanging="356"/>
      </w:pPr>
    </w:lvl>
    <w:lvl w:ilvl="5" w:tentative="0">
      <w:start w:val="0"/>
      <w:numFmt w:val="bullet"/>
      <w:lvlText w:val="•"/>
      <w:lvlJc w:val="left"/>
      <w:pPr>
        <w:ind w:left="5183" w:hanging="356"/>
      </w:pPr>
    </w:lvl>
    <w:lvl w:ilvl="6" w:tentative="0">
      <w:start w:val="0"/>
      <w:numFmt w:val="bullet"/>
      <w:lvlText w:val="•"/>
      <w:lvlJc w:val="left"/>
      <w:pPr>
        <w:ind w:left="6183" w:hanging="356"/>
      </w:pPr>
    </w:lvl>
    <w:lvl w:ilvl="7" w:tentative="0">
      <w:start w:val="0"/>
      <w:numFmt w:val="bullet"/>
      <w:lvlText w:val="•"/>
      <w:lvlJc w:val="left"/>
      <w:pPr>
        <w:ind w:left="7184" w:hanging="356"/>
      </w:pPr>
    </w:lvl>
    <w:lvl w:ilvl="8" w:tentative="0">
      <w:start w:val="0"/>
      <w:numFmt w:val="bullet"/>
      <w:lvlText w:val="•"/>
      <w:lvlJc w:val="left"/>
      <w:pPr>
        <w:ind w:left="8185" w:hanging="356"/>
      </w:pPr>
    </w:lvl>
  </w:abstractNum>
  <w:abstractNum w:abstractNumId="16">
    <w:nsid w:val="00000414"/>
    <w:multiLevelType w:val="multilevel"/>
    <w:tmpl w:val="00000414"/>
    <w:lvl w:ilvl="0" w:tentative="0">
      <w:start w:val="1"/>
      <w:numFmt w:val="decimal"/>
      <w:lvlText w:val="（%1）"/>
      <w:lvlJc w:val="left"/>
      <w:pPr>
        <w:ind w:left="541" w:hanging="633"/>
      </w:pPr>
      <w:rPr>
        <w:rFonts w:ascii="宋体" w:eastAsia="宋体" w:cs="宋体"/>
        <w:b w:val="0"/>
        <w:bCs w:val="0"/>
        <w:spacing w:val="-120"/>
        <w:w w:val="100"/>
        <w:sz w:val="22"/>
        <w:szCs w:val="22"/>
      </w:rPr>
    </w:lvl>
    <w:lvl w:ilvl="1" w:tentative="0">
      <w:start w:val="1"/>
      <w:numFmt w:val="decimal"/>
      <w:lvlText w:val="%2."/>
      <w:lvlJc w:val="left"/>
      <w:pPr>
        <w:ind w:left="1250" w:hanging="229"/>
      </w:pPr>
      <w:rPr>
        <w:rFonts w:ascii="Arial" w:hAnsi="Arial" w:cs="Arial"/>
        <w:b w:val="0"/>
        <w:bCs w:val="0"/>
        <w:spacing w:val="-2"/>
        <w:w w:val="114"/>
        <w:sz w:val="22"/>
        <w:szCs w:val="22"/>
      </w:rPr>
    </w:lvl>
    <w:lvl w:ilvl="2" w:tentative="0">
      <w:start w:val="0"/>
      <w:numFmt w:val="bullet"/>
      <w:lvlText w:val="•"/>
      <w:lvlJc w:val="left"/>
      <w:pPr>
        <w:ind w:left="2251" w:hanging="229"/>
      </w:pPr>
    </w:lvl>
    <w:lvl w:ilvl="3" w:tentative="0">
      <w:start w:val="0"/>
      <w:numFmt w:val="bullet"/>
      <w:lvlText w:val="•"/>
      <w:lvlJc w:val="left"/>
      <w:pPr>
        <w:ind w:left="3243" w:hanging="229"/>
      </w:pPr>
    </w:lvl>
    <w:lvl w:ilvl="4" w:tentative="0">
      <w:start w:val="0"/>
      <w:numFmt w:val="bullet"/>
      <w:lvlText w:val="•"/>
      <w:lvlJc w:val="left"/>
      <w:pPr>
        <w:ind w:left="4235" w:hanging="229"/>
      </w:pPr>
    </w:lvl>
    <w:lvl w:ilvl="5" w:tentative="0">
      <w:start w:val="0"/>
      <w:numFmt w:val="bullet"/>
      <w:lvlText w:val="•"/>
      <w:lvlJc w:val="left"/>
      <w:pPr>
        <w:ind w:left="5227" w:hanging="229"/>
      </w:pPr>
    </w:lvl>
    <w:lvl w:ilvl="6" w:tentative="0">
      <w:start w:val="0"/>
      <w:numFmt w:val="bullet"/>
      <w:lvlText w:val="•"/>
      <w:lvlJc w:val="left"/>
      <w:pPr>
        <w:ind w:left="6219" w:hanging="229"/>
      </w:pPr>
    </w:lvl>
    <w:lvl w:ilvl="7" w:tentative="0">
      <w:start w:val="0"/>
      <w:numFmt w:val="bullet"/>
      <w:lvlText w:val="•"/>
      <w:lvlJc w:val="left"/>
      <w:pPr>
        <w:ind w:left="7211" w:hanging="229"/>
      </w:pPr>
    </w:lvl>
    <w:lvl w:ilvl="8" w:tentative="0">
      <w:start w:val="0"/>
      <w:numFmt w:val="bullet"/>
      <w:lvlText w:val="•"/>
      <w:lvlJc w:val="left"/>
      <w:pPr>
        <w:ind w:left="8203" w:hanging="229"/>
      </w:pPr>
    </w:lvl>
  </w:abstractNum>
  <w:abstractNum w:abstractNumId="17">
    <w:nsid w:val="00000415"/>
    <w:multiLevelType w:val="multilevel"/>
    <w:tmpl w:val="00000415"/>
    <w:lvl w:ilvl="0" w:tentative="0">
      <w:start w:val="1"/>
      <w:numFmt w:val="decimal"/>
      <w:lvlText w:val="（%1）"/>
      <w:lvlJc w:val="left"/>
      <w:pPr>
        <w:ind w:left="541" w:hanging="633"/>
      </w:pPr>
      <w:rPr>
        <w:rFonts w:ascii="宋体" w:eastAsia="宋体" w:cs="宋体"/>
        <w:b w:val="0"/>
        <w:bCs w:val="0"/>
        <w:spacing w:val="-20"/>
        <w:w w:val="100"/>
        <w:sz w:val="22"/>
        <w:szCs w:val="22"/>
      </w:rPr>
    </w:lvl>
    <w:lvl w:ilvl="1" w:tentative="0">
      <w:start w:val="0"/>
      <w:numFmt w:val="bullet"/>
      <w:lvlText w:val="•"/>
      <w:lvlJc w:val="left"/>
      <w:pPr>
        <w:ind w:left="1504" w:hanging="633"/>
      </w:pPr>
    </w:lvl>
    <w:lvl w:ilvl="2" w:tentative="0">
      <w:start w:val="0"/>
      <w:numFmt w:val="bullet"/>
      <w:lvlText w:val="•"/>
      <w:lvlJc w:val="left"/>
      <w:pPr>
        <w:ind w:left="2469" w:hanging="633"/>
      </w:pPr>
    </w:lvl>
    <w:lvl w:ilvl="3" w:tentative="0">
      <w:start w:val="0"/>
      <w:numFmt w:val="bullet"/>
      <w:lvlText w:val="•"/>
      <w:lvlJc w:val="left"/>
      <w:pPr>
        <w:ind w:left="3434" w:hanging="633"/>
      </w:pPr>
    </w:lvl>
    <w:lvl w:ilvl="4" w:tentative="0">
      <w:start w:val="0"/>
      <w:numFmt w:val="bullet"/>
      <w:lvlText w:val="•"/>
      <w:lvlJc w:val="left"/>
      <w:pPr>
        <w:ind w:left="4398" w:hanging="633"/>
      </w:pPr>
    </w:lvl>
    <w:lvl w:ilvl="5" w:tentative="0">
      <w:start w:val="0"/>
      <w:numFmt w:val="bullet"/>
      <w:lvlText w:val="•"/>
      <w:lvlJc w:val="left"/>
      <w:pPr>
        <w:ind w:left="5363" w:hanging="633"/>
      </w:pPr>
    </w:lvl>
    <w:lvl w:ilvl="6" w:tentative="0">
      <w:start w:val="0"/>
      <w:numFmt w:val="bullet"/>
      <w:lvlText w:val="•"/>
      <w:lvlJc w:val="left"/>
      <w:pPr>
        <w:ind w:left="6328" w:hanging="633"/>
      </w:pPr>
    </w:lvl>
    <w:lvl w:ilvl="7" w:tentative="0">
      <w:start w:val="0"/>
      <w:numFmt w:val="bullet"/>
      <w:lvlText w:val="•"/>
      <w:lvlJc w:val="left"/>
      <w:pPr>
        <w:ind w:left="7292" w:hanging="633"/>
      </w:pPr>
    </w:lvl>
    <w:lvl w:ilvl="8" w:tentative="0">
      <w:start w:val="0"/>
      <w:numFmt w:val="bullet"/>
      <w:lvlText w:val="•"/>
      <w:lvlJc w:val="left"/>
      <w:pPr>
        <w:ind w:left="8257" w:hanging="633"/>
      </w:pPr>
    </w:lvl>
  </w:abstractNum>
  <w:abstractNum w:abstractNumId="18">
    <w:nsid w:val="00000416"/>
    <w:multiLevelType w:val="multilevel"/>
    <w:tmpl w:val="00000416"/>
    <w:lvl w:ilvl="0" w:tentative="0">
      <w:start w:val="3"/>
      <w:numFmt w:val="decimal"/>
      <w:lvlText w:val="%1"/>
      <w:lvlJc w:val="left"/>
      <w:pPr>
        <w:ind w:left="1052" w:hanging="512"/>
      </w:pPr>
      <w:rPr>
        <w:rFonts w:cs="Times New Roman"/>
      </w:rPr>
    </w:lvl>
    <w:lvl w:ilvl="1" w:tentative="0">
      <w:start w:val="1"/>
      <w:numFmt w:val="decimal"/>
      <w:lvlText w:val="%1-%2"/>
      <w:lvlJc w:val="left"/>
      <w:pPr>
        <w:ind w:left="1052" w:hanging="512"/>
      </w:pPr>
      <w:rPr>
        <w:rFonts w:ascii="Arial" w:hAnsi="Arial" w:cs="Arial"/>
        <w:b w:val="0"/>
        <w:bCs w:val="0"/>
        <w:spacing w:val="-2"/>
        <w:w w:val="112"/>
        <w:sz w:val="24"/>
        <w:szCs w:val="24"/>
      </w:rPr>
    </w:lvl>
    <w:lvl w:ilvl="2" w:tentative="0">
      <w:start w:val="1"/>
      <w:numFmt w:val="decimal"/>
      <w:lvlText w:val="（%3）"/>
      <w:lvlJc w:val="left"/>
      <w:pPr>
        <w:ind w:left="1391" w:hanging="635"/>
      </w:pPr>
      <w:rPr>
        <w:rFonts w:ascii="宋体" w:eastAsia="宋体" w:cs="宋体"/>
        <w:b w:val="0"/>
        <w:bCs w:val="0"/>
        <w:spacing w:val="-15"/>
        <w:w w:val="100"/>
        <w:sz w:val="22"/>
        <w:szCs w:val="22"/>
      </w:rPr>
    </w:lvl>
    <w:lvl w:ilvl="3" w:tentative="0">
      <w:start w:val="0"/>
      <w:numFmt w:val="bullet"/>
      <w:lvlText w:val="•"/>
      <w:lvlJc w:val="left"/>
      <w:pPr>
        <w:ind w:left="3352" w:hanging="635"/>
      </w:pPr>
    </w:lvl>
    <w:lvl w:ilvl="4" w:tentative="0">
      <w:start w:val="0"/>
      <w:numFmt w:val="bullet"/>
      <w:lvlText w:val="•"/>
      <w:lvlJc w:val="left"/>
      <w:pPr>
        <w:ind w:left="4329" w:hanging="635"/>
      </w:pPr>
    </w:lvl>
    <w:lvl w:ilvl="5" w:tentative="0">
      <w:start w:val="0"/>
      <w:numFmt w:val="bullet"/>
      <w:lvlText w:val="•"/>
      <w:lvlJc w:val="left"/>
      <w:pPr>
        <w:ind w:left="5305" w:hanging="635"/>
      </w:pPr>
    </w:lvl>
    <w:lvl w:ilvl="6" w:tentative="0">
      <w:start w:val="0"/>
      <w:numFmt w:val="bullet"/>
      <w:lvlText w:val="•"/>
      <w:lvlJc w:val="left"/>
      <w:pPr>
        <w:ind w:left="6281" w:hanging="635"/>
      </w:pPr>
    </w:lvl>
    <w:lvl w:ilvl="7" w:tentative="0">
      <w:start w:val="0"/>
      <w:numFmt w:val="bullet"/>
      <w:lvlText w:val="•"/>
      <w:lvlJc w:val="left"/>
      <w:pPr>
        <w:ind w:left="7258" w:hanging="635"/>
      </w:pPr>
    </w:lvl>
    <w:lvl w:ilvl="8" w:tentative="0">
      <w:start w:val="0"/>
      <w:numFmt w:val="bullet"/>
      <w:lvlText w:val="•"/>
      <w:lvlJc w:val="left"/>
      <w:pPr>
        <w:ind w:left="8234" w:hanging="635"/>
      </w:pPr>
    </w:lvl>
  </w:abstractNum>
  <w:abstractNum w:abstractNumId="19">
    <w:nsid w:val="00000417"/>
    <w:multiLevelType w:val="multilevel"/>
    <w:tmpl w:val="00000417"/>
    <w:lvl w:ilvl="0" w:tentative="0">
      <w:start w:val="1"/>
      <w:numFmt w:val="decimal"/>
      <w:lvlText w:val="%1."/>
      <w:lvlJc w:val="left"/>
      <w:pPr>
        <w:ind w:left="1259" w:hanging="353"/>
      </w:pPr>
      <w:rPr>
        <w:rFonts w:ascii="Arial" w:hAnsi="Arial" w:cs="Arial"/>
        <w:b w:val="0"/>
        <w:bCs w:val="0"/>
        <w:spacing w:val="-2"/>
        <w:w w:val="114"/>
        <w:sz w:val="24"/>
        <w:szCs w:val="24"/>
      </w:rPr>
    </w:lvl>
    <w:lvl w:ilvl="1" w:tentative="0">
      <w:start w:val="0"/>
      <w:numFmt w:val="bullet"/>
      <w:lvlText w:val="•"/>
      <w:lvlJc w:val="left"/>
      <w:pPr>
        <w:ind w:left="2152" w:hanging="353"/>
      </w:pPr>
    </w:lvl>
    <w:lvl w:ilvl="2" w:tentative="0">
      <w:start w:val="0"/>
      <w:numFmt w:val="bullet"/>
      <w:lvlText w:val="•"/>
      <w:lvlJc w:val="left"/>
      <w:pPr>
        <w:ind w:left="3045" w:hanging="353"/>
      </w:pPr>
    </w:lvl>
    <w:lvl w:ilvl="3" w:tentative="0">
      <w:start w:val="0"/>
      <w:numFmt w:val="bullet"/>
      <w:lvlText w:val="•"/>
      <w:lvlJc w:val="left"/>
      <w:pPr>
        <w:ind w:left="3938" w:hanging="353"/>
      </w:pPr>
    </w:lvl>
    <w:lvl w:ilvl="4" w:tentative="0">
      <w:start w:val="0"/>
      <w:numFmt w:val="bullet"/>
      <w:lvlText w:val="•"/>
      <w:lvlJc w:val="left"/>
      <w:pPr>
        <w:ind w:left="4830" w:hanging="353"/>
      </w:pPr>
    </w:lvl>
    <w:lvl w:ilvl="5" w:tentative="0">
      <w:start w:val="0"/>
      <w:numFmt w:val="bullet"/>
      <w:lvlText w:val="•"/>
      <w:lvlJc w:val="left"/>
      <w:pPr>
        <w:ind w:left="5723" w:hanging="353"/>
      </w:pPr>
    </w:lvl>
    <w:lvl w:ilvl="6" w:tentative="0">
      <w:start w:val="0"/>
      <w:numFmt w:val="bullet"/>
      <w:lvlText w:val="•"/>
      <w:lvlJc w:val="left"/>
      <w:pPr>
        <w:ind w:left="6616" w:hanging="353"/>
      </w:pPr>
    </w:lvl>
    <w:lvl w:ilvl="7" w:tentative="0">
      <w:start w:val="0"/>
      <w:numFmt w:val="bullet"/>
      <w:lvlText w:val="•"/>
      <w:lvlJc w:val="left"/>
      <w:pPr>
        <w:ind w:left="7508" w:hanging="353"/>
      </w:pPr>
    </w:lvl>
    <w:lvl w:ilvl="8" w:tentative="0">
      <w:start w:val="0"/>
      <w:numFmt w:val="bullet"/>
      <w:lvlText w:val="•"/>
      <w:lvlJc w:val="left"/>
      <w:pPr>
        <w:ind w:left="8401" w:hanging="353"/>
      </w:pPr>
    </w:lvl>
  </w:abstractNum>
  <w:abstractNum w:abstractNumId="20">
    <w:nsid w:val="00000418"/>
    <w:multiLevelType w:val="multilevel"/>
    <w:tmpl w:val="00000418"/>
    <w:lvl w:ilvl="0" w:tentative="0">
      <w:start w:val="1"/>
      <w:numFmt w:val="decimal"/>
      <w:lvlText w:val="%1."/>
      <w:lvlJc w:val="left"/>
      <w:pPr>
        <w:ind w:left="1297" w:hanging="348"/>
      </w:pPr>
      <w:rPr>
        <w:rFonts w:ascii="Arial" w:hAnsi="Arial" w:cs="Arial"/>
        <w:b w:val="0"/>
        <w:bCs w:val="0"/>
        <w:spacing w:val="-2"/>
        <w:w w:val="114"/>
        <w:sz w:val="24"/>
        <w:szCs w:val="24"/>
      </w:rPr>
    </w:lvl>
    <w:lvl w:ilvl="1" w:tentative="0">
      <w:start w:val="0"/>
      <w:numFmt w:val="bullet"/>
      <w:lvlText w:val="•"/>
      <w:lvlJc w:val="left"/>
      <w:pPr>
        <w:ind w:left="2188" w:hanging="348"/>
      </w:pPr>
    </w:lvl>
    <w:lvl w:ilvl="2" w:tentative="0">
      <w:start w:val="0"/>
      <w:numFmt w:val="bullet"/>
      <w:lvlText w:val="•"/>
      <w:lvlJc w:val="left"/>
      <w:pPr>
        <w:ind w:left="3077" w:hanging="348"/>
      </w:pPr>
    </w:lvl>
    <w:lvl w:ilvl="3" w:tentative="0">
      <w:start w:val="0"/>
      <w:numFmt w:val="bullet"/>
      <w:lvlText w:val="•"/>
      <w:lvlJc w:val="left"/>
      <w:pPr>
        <w:ind w:left="3966" w:hanging="348"/>
      </w:pPr>
    </w:lvl>
    <w:lvl w:ilvl="4" w:tentative="0">
      <w:start w:val="0"/>
      <w:numFmt w:val="bullet"/>
      <w:lvlText w:val="•"/>
      <w:lvlJc w:val="left"/>
      <w:pPr>
        <w:ind w:left="4854" w:hanging="348"/>
      </w:pPr>
    </w:lvl>
    <w:lvl w:ilvl="5" w:tentative="0">
      <w:start w:val="0"/>
      <w:numFmt w:val="bullet"/>
      <w:lvlText w:val="•"/>
      <w:lvlJc w:val="left"/>
      <w:pPr>
        <w:ind w:left="5743" w:hanging="348"/>
      </w:pPr>
    </w:lvl>
    <w:lvl w:ilvl="6" w:tentative="0">
      <w:start w:val="0"/>
      <w:numFmt w:val="bullet"/>
      <w:lvlText w:val="•"/>
      <w:lvlJc w:val="left"/>
      <w:pPr>
        <w:ind w:left="6632" w:hanging="348"/>
      </w:pPr>
    </w:lvl>
    <w:lvl w:ilvl="7" w:tentative="0">
      <w:start w:val="0"/>
      <w:numFmt w:val="bullet"/>
      <w:lvlText w:val="•"/>
      <w:lvlJc w:val="left"/>
      <w:pPr>
        <w:ind w:left="7520" w:hanging="348"/>
      </w:pPr>
    </w:lvl>
    <w:lvl w:ilvl="8" w:tentative="0">
      <w:start w:val="0"/>
      <w:numFmt w:val="bullet"/>
      <w:lvlText w:val="•"/>
      <w:lvlJc w:val="left"/>
      <w:pPr>
        <w:ind w:left="8409" w:hanging="348"/>
      </w:pPr>
    </w:lvl>
  </w:abstractNum>
  <w:abstractNum w:abstractNumId="21">
    <w:nsid w:val="00000419"/>
    <w:multiLevelType w:val="multilevel"/>
    <w:tmpl w:val="00000419"/>
    <w:lvl w:ilvl="0" w:tentative="0">
      <w:start w:val="1"/>
      <w:numFmt w:val="decimal"/>
      <w:lvlText w:val="（%1）"/>
      <w:lvlJc w:val="left"/>
      <w:pPr>
        <w:ind w:left="1605" w:hanging="633"/>
      </w:pPr>
      <w:rPr>
        <w:rFonts w:ascii="宋体" w:eastAsia="宋体" w:cs="宋体"/>
        <w:b w:val="0"/>
        <w:bCs w:val="0"/>
        <w:spacing w:val="-2"/>
        <w:w w:val="100"/>
        <w:sz w:val="22"/>
        <w:szCs w:val="22"/>
      </w:rPr>
    </w:lvl>
    <w:lvl w:ilvl="1" w:tentative="0">
      <w:start w:val="0"/>
      <w:numFmt w:val="bullet"/>
      <w:lvlText w:val="•"/>
      <w:lvlJc w:val="left"/>
      <w:pPr>
        <w:ind w:left="2458" w:hanging="633"/>
      </w:pPr>
    </w:lvl>
    <w:lvl w:ilvl="2" w:tentative="0">
      <w:start w:val="0"/>
      <w:numFmt w:val="bullet"/>
      <w:lvlText w:val="•"/>
      <w:lvlJc w:val="left"/>
      <w:pPr>
        <w:ind w:left="3317" w:hanging="633"/>
      </w:pPr>
    </w:lvl>
    <w:lvl w:ilvl="3" w:tentative="0">
      <w:start w:val="0"/>
      <w:numFmt w:val="bullet"/>
      <w:lvlText w:val="•"/>
      <w:lvlJc w:val="left"/>
      <w:pPr>
        <w:ind w:left="4176" w:hanging="633"/>
      </w:pPr>
    </w:lvl>
    <w:lvl w:ilvl="4" w:tentative="0">
      <w:start w:val="0"/>
      <w:numFmt w:val="bullet"/>
      <w:lvlText w:val="•"/>
      <w:lvlJc w:val="left"/>
      <w:pPr>
        <w:ind w:left="5034" w:hanging="633"/>
      </w:pPr>
    </w:lvl>
    <w:lvl w:ilvl="5" w:tentative="0">
      <w:start w:val="0"/>
      <w:numFmt w:val="bullet"/>
      <w:lvlText w:val="•"/>
      <w:lvlJc w:val="left"/>
      <w:pPr>
        <w:ind w:left="5893" w:hanging="633"/>
      </w:pPr>
    </w:lvl>
    <w:lvl w:ilvl="6" w:tentative="0">
      <w:start w:val="0"/>
      <w:numFmt w:val="bullet"/>
      <w:lvlText w:val="•"/>
      <w:lvlJc w:val="left"/>
      <w:pPr>
        <w:ind w:left="6752" w:hanging="633"/>
      </w:pPr>
    </w:lvl>
    <w:lvl w:ilvl="7" w:tentative="0">
      <w:start w:val="0"/>
      <w:numFmt w:val="bullet"/>
      <w:lvlText w:val="•"/>
      <w:lvlJc w:val="left"/>
      <w:pPr>
        <w:ind w:left="7610" w:hanging="633"/>
      </w:pPr>
    </w:lvl>
    <w:lvl w:ilvl="8" w:tentative="0">
      <w:start w:val="0"/>
      <w:numFmt w:val="bullet"/>
      <w:lvlText w:val="•"/>
      <w:lvlJc w:val="left"/>
      <w:pPr>
        <w:ind w:left="8469" w:hanging="633"/>
      </w:pPr>
    </w:lvl>
  </w:abstractNum>
  <w:abstractNum w:abstractNumId="22">
    <w:nsid w:val="0000041A"/>
    <w:multiLevelType w:val="multilevel"/>
    <w:tmpl w:val="0000041A"/>
    <w:lvl w:ilvl="0" w:tentative="0">
      <w:start w:val="1"/>
      <w:numFmt w:val="decimal"/>
      <w:lvlText w:val="%1."/>
      <w:lvlJc w:val="left"/>
      <w:pPr>
        <w:ind w:left="541" w:hanging="229"/>
      </w:pPr>
      <w:rPr>
        <w:rFonts w:ascii="Arial" w:hAnsi="Arial" w:cs="Arial"/>
        <w:b w:val="0"/>
        <w:bCs w:val="0"/>
        <w:spacing w:val="-2"/>
        <w:w w:val="114"/>
        <w:sz w:val="22"/>
        <w:szCs w:val="22"/>
      </w:rPr>
    </w:lvl>
    <w:lvl w:ilvl="1" w:tentative="0">
      <w:start w:val="2"/>
      <w:numFmt w:val="decimal"/>
      <w:lvlText w:val="%2."/>
      <w:lvlJc w:val="left"/>
      <w:pPr>
        <w:ind w:left="1110" w:hanging="229"/>
      </w:pPr>
      <w:rPr>
        <w:rFonts w:ascii="Arial" w:hAnsi="Arial" w:cs="Arial"/>
        <w:b w:val="0"/>
        <w:bCs w:val="0"/>
        <w:spacing w:val="-2"/>
        <w:w w:val="114"/>
        <w:sz w:val="22"/>
        <w:szCs w:val="22"/>
      </w:rPr>
    </w:lvl>
    <w:lvl w:ilvl="2" w:tentative="0">
      <w:start w:val="0"/>
      <w:numFmt w:val="bullet"/>
      <w:lvlText w:val="•"/>
      <w:lvlJc w:val="left"/>
      <w:pPr>
        <w:ind w:left="1260" w:hanging="229"/>
      </w:pPr>
    </w:lvl>
    <w:lvl w:ilvl="3" w:tentative="0">
      <w:start w:val="0"/>
      <w:numFmt w:val="bullet"/>
      <w:lvlText w:val="•"/>
      <w:lvlJc w:val="left"/>
      <w:pPr>
        <w:ind w:left="2338" w:hanging="229"/>
      </w:pPr>
    </w:lvl>
    <w:lvl w:ilvl="4" w:tentative="0">
      <w:start w:val="0"/>
      <w:numFmt w:val="bullet"/>
      <w:lvlText w:val="•"/>
      <w:lvlJc w:val="left"/>
      <w:pPr>
        <w:ind w:left="3416" w:hanging="229"/>
      </w:pPr>
    </w:lvl>
    <w:lvl w:ilvl="5" w:tentative="0">
      <w:start w:val="0"/>
      <w:numFmt w:val="bullet"/>
      <w:lvlText w:val="•"/>
      <w:lvlJc w:val="left"/>
      <w:pPr>
        <w:ind w:left="4495" w:hanging="229"/>
      </w:pPr>
    </w:lvl>
    <w:lvl w:ilvl="6" w:tentative="0">
      <w:start w:val="0"/>
      <w:numFmt w:val="bullet"/>
      <w:lvlText w:val="•"/>
      <w:lvlJc w:val="left"/>
      <w:pPr>
        <w:ind w:left="5573" w:hanging="229"/>
      </w:pPr>
    </w:lvl>
    <w:lvl w:ilvl="7" w:tentative="0">
      <w:start w:val="0"/>
      <w:numFmt w:val="bullet"/>
      <w:lvlText w:val="•"/>
      <w:lvlJc w:val="left"/>
      <w:pPr>
        <w:ind w:left="6651" w:hanging="229"/>
      </w:pPr>
    </w:lvl>
    <w:lvl w:ilvl="8" w:tentative="0">
      <w:start w:val="0"/>
      <w:numFmt w:val="bullet"/>
      <w:lvlText w:val="•"/>
      <w:lvlJc w:val="left"/>
      <w:pPr>
        <w:ind w:left="7730" w:hanging="229"/>
      </w:pPr>
    </w:lvl>
  </w:abstractNum>
  <w:abstractNum w:abstractNumId="23">
    <w:nsid w:val="081C6073"/>
    <w:multiLevelType w:val="singleLevel"/>
    <w:tmpl w:val="081C6073"/>
    <w:lvl w:ilvl="0" w:tentative="0">
      <w:start w:val="4"/>
      <w:numFmt w:val="chineseCounting"/>
      <w:lvlText w:val="第%1章"/>
      <w:lvlJc w:val="left"/>
      <w:rPr>
        <w:rFonts w:hint="eastAsia"/>
      </w:rPr>
    </w:lvl>
  </w:abstractNum>
  <w:abstractNum w:abstractNumId="24">
    <w:nsid w:val="0E230849"/>
    <w:multiLevelType w:val="multilevel"/>
    <w:tmpl w:val="0E230849"/>
    <w:lvl w:ilvl="0" w:tentative="0">
      <w:start w:val="1"/>
      <w:numFmt w:val="decimal"/>
      <w:pStyle w:val="217"/>
      <w:lvlText w:val="%1"/>
      <w:lvlJc w:val="left"/>
      <w:pPr>
        <w:ind w:left="680" w:hanging="680"/>
      </w:pPr>
      <w:rPr>
        <w:rFonts w:hint="eastAsia" w:ascii="宋体" w:hAnsi="宋体" w:eastAsia="宋体" w:cs="Times New Roman"/>
      </w:rPr>
    </w:lvl>
    <w:lvl w:ilvl="1" w:tentative="0">
      <w:start w:val="1"/>
      <w:numFmt w:val="decimal"/>
      <w:pStyle w:val="218"/>
      <w:lvlText w:val="%1.%2"/>
      <w:lvlJc w:val="left"/>
      <w:pPr>
        <w:ind w:left="851" w:hanging="851"/>
      </w:pPr>
      <w:rPr>
        <w:rFonts w:hint="eastAsia" w:ascii="宋体" w:hAnsi="宋体" w:eastAsia="宋体" w:cs="Times New Roman"/>
        <w:color w:val="auto"/>
      </w:rPr>
    </w:lvl>
    <w:lvl w:ilvl="2" w:tentative="0">
      <w:start w:val="1"/>
      <w:numFmt w:val="decimal"/>
      <w:pStyle w:val="219"/>
      <w:lvlText w:val="%1.%2.%3"/>
      <w:lvlJc w:val="left"/>
      <w:pPr>
        <w:ind w:left="851" w:hanging="851"/>
      </w:pPr>
      <w:rPr>
        <w:rFonts w:hint="eastAsia" w:cs="Times New Roman"/>
      </w:rPr>
    </w:lvl>
    <w:lvl w:ilvl="3" w:tentative="0">
      <w:start w:val="1"/>
      <w:numFmt w:val="decimal"/>
      <w:lvlText w:val="%1.%2.%3.%4"/>
      <w:lvlJc w:val="left"/>
      <w:pPr>
        <w:ind w:left="680" w:hanging="680"/>
      </w:pPr>
      <w:rPr>
        <w:rFonts w:hint="eastAsia" w:cs="Times New Roman"/>
      </w:rPr>
    </w:lvl>
    <w:lvl w:ilvl="4" w:tentative="0">
      <w:start w:val="1"/>
      <w:numFmt w:val="decimal"/>
      <w:lvlText w:val="%1.%2.%3.%4.%5"/>
      <w:lvlJc w:val="left"/>
      <w:pPr>
        <w:ind w:left="680" w:hanging="680"/>
      </w:pPr>
      <w:rPr>
        <w:rFonts w:hint="eastAsia" w:cs="Times New Roman"/>
      </w:rPr>
    </w:lvl>
    <w:lvl w:ilvl="5" w:tentative="0">
      <w:start w:val="1"/>
      <w:numFmt w:val="decimal"/>
      <w:lvlText w:val="%1.%2.%3.%4.%5.%6"/>
      <w:lvlJc w:val="left"/>
      <w:pPr>
        <w:ind w:left="680" w:hanging="680"/>
      </w:pPr>
      <w:rPr>
        <w:rFonts w:hint="eastAsia" w:cs="Times New Roman"/>
      </w:rPr>
    </w:lvl>
    <w:lvl w:ilvl="6" w:tentative="0">
      <w:start w:val="1"/>
      <w:numFmt w:val="decimal"/>
      <w:lvlText w:val="%1.%2.%3.%4.%5.%6.%7"/>
      <w:lvlJc w:val="left"/>
      <w:pPr>
        <w:ind w:left="680" w:hanging="680"/>
      </w:pPr>
      <w:rPr>
        <w:rFonts w:hint="eastAsia" w:cs="Times New Roman"/>
      </w:rPr>
    </w:lvl>
    <w:lvl w:ilvl="7" w:tentative="0">
      <w:start w:val="1"/>
      <w:numFmt w:val="decimal"/>
      <w:lvlText w:val="%1.%2.%3.%4.%5.%6.%7.%8"/>
      <w:lvlJc w:val="left"/>
      <w:pPr>
        <w:ind w:left="680" w:hanging="680"/>
      </w:pPr>
      <w:rPr>
        <w:rFonts w:hint="eastAsia" w:cs="Times New Roman"/>
      </w:rPr>
    </w:lvl>
    <w:lvl w:ilvl="8" w:tentative="0">
      <w:start w:val="1"/>
      <w:numFmt w:val="decimal"/>
      <w:lvlText w:val="%1.%2.%3.%4.%5.%6.%7.%8.%9"/>
      <w:lvlJc w:val="left"/>
      <w:pPr>
        <w:ind w:left="680" w:hanging="680"/>
      </w:pPr>
      <w:rPr>
        <w:rFonts w:hint="eastAsia" w:cs="Times New Roman"/>
      </w:rPr>
    </w:lvl>
  </w:abstractNum>
  <w:abstractNum w:abstractNumId="25">
    <w:nsid w:val="728D67AB"/>
    <w:multiLevelType w:val="multilevel"/>
    <w:tmpl w:val="728D67AB"/>
    <w:lvl w:ilvl="0" w:tentative="0">
      <w:start w:val="2"/>
      <w:numFmt w:val="decimal"/>
      <w:lvlText w:val="%1"/>
      <w:lvlJc w:val="left"/>
      <w:pPr>
        <w:ind w:left="540" w:hanging="540"/>
      </w:pPr>
      <w:rPr>
        <w:rFonts w:hint="default" w:cs="宋体"/>
        <w:color w:val="auto"/>
      </w:rPr>
    </w:lvl>
    <w:lvl w:ilvl="1" w:tentative="0">
      <w:start w:val="1"/>
      <w:numFmt w:val="decimal"/>
      <w:lvlText w:val="%1-%2"/>
      <w:lvlJc w:val="left"/>
      <w:pPr>
        <w:ind w:left="540" w:hanging="540"/>
      </w:pPr>
      <w:rPr>
        <w:rFonts w:hint="default" w:cs="宋体"/>
        <w:color w:val="auto"/>
      </w:rPr>
    </w:lvl>
    <w:lvl w:ilvl="2" w:tentative="0">
      <w:start w:val="2"/>
      <w:numFmt w:val="decimal"/>
      <w:lvlText w:val="%1-%2-%3"/>
      <w:lvlJc w:val="left"/>
      <w:pPr>
        <w:ind w:left="720" w:hanging="720"/>
      </w:pPr>
      <w:rPr>
        <w:rFonts w:hint="default" w:cs="宋体"/>
        <w:color w:val="auto"/>
      </w:rPr>
    </w:lvl>
    <w:lvl w:ilvl="3" w:tentative="0">
      <w:start w:val="1"/>
      <w:numFmt w:val="decimal"/>
      <w:lvlText w:val="%1-%2-%3.%4"/>
      <w:lvlJc w:val="left"/>
      <w:pPr>
        <w:ind w:left="1080" w:hanging="1080"/>
      </w:pPr>
      <w:rPr>
        <w:rFonts w:hint="default" w:cs="宋体"/>
        <w:color w:val="auto"/>
      </w:rPr>
    </w:lvl>
    <w:lvl w:ilvl="4" w:tentative="0">
      <w:start w:val="1"/>
      <w:numFmt w:val="decimal"/>
      <w:lvlText w:val="%1-%2-%3.%4.%5"/>
      <w:lvlJc w:val="left"/>
      <w:pPr>
        <w:ind w:left="1080" w:hanging="1080"/>
      </w:pPr>
      <w:rPr>
        <w:rFonts w:hint="default" w:cs="宋体"/>
        <w:color w:val="auto"/>
      </w:rPr>
    </w:lvl>
    <w:lvl w:ilvl="5" w:tentative="0">
      <w:start w:val="1"/>
      <w:numFmt w:val="decimal"/>
      <w:lvlText w:val="%1-%2-%3.%4.%5.%6"/>
      <w:lvlJc w:val="left"/>
      <w:pPr>
        <w:ind w:left="1440" w:hanging="1440"/>
      </w:pPr>
      <w:rPr>
        <w:rFonts w:hint="default" w:cs="宋体"/>
        <w:color w:val="auto"/>
      </w:rPr>
    </w:lvl>
    <w:lvl w:ilvl="6" w:tentative="0">
      <w:start w:val="1"/>
      <w:numFmt w:val="decimal"/>
      <w:lvlText w:val="%1-%2-%3.%4.%5.%6.%7"/>
      <w:lvlJc w:val="left"/>
      <w:pPr>
        <w:ind w:left="1440" w:hanging="1440"/>
      </w:pPr>
      <w:rPr>
        <w:rFonts w:hint="default" w:cs="宋体"/>
        <w:color w:val="auto"/>
      </w:rPr>
    </w:lvl>
    <w:lvl w:ilvl="7" w:tentative="0">
      <w:start w:val="1"/>
      <w:numFmt w:val="decimal"/>
      <w:lvlText w:val="%1-%2-%3.%4.%5.%6.%7.%8"/>
      <w:lvlJc w:val="left"/>
      <w:pPr>
        <w:ind w:left="1800" w:hanging="1800"/>
      </w:pPr>
      <w:rPr>
        <w:rFonts w:hint="default" w:cs="宋体"/>
        <w:color w:val="auto"/>
      </w:rPr>
    </w:lvl>
    <w:lvl w:ilvl="8" w:tentative="0">
      <w:start w:val="1"/>
      <w:numFmt w:val="decimal"/>
      <w:lvlText w:val="%1-%2-%3.%4.%5.%6.%7.%8.%9"/>
      <w:lvlJc w:val="left"/>
      <w:pPr>
        <w:ind w:left="2160" w:hanging="2160"/>
      </w:pPr>
      <w:rPr>
        <w:rFonts w:hint="default" w:cs="宋体"/>
        <w:color w:val="auto"/>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24"/>
  </w:num>
  <w:num w:numId="8">
    <w:abstractNumId w:val="0"/>
  </w:num>
  <w:num w:numId="9">
    <w:abstractNumId w:val="8"/>
  </w:num>
  <w:num w:numId="10">
    <w:abstractNumId w:val="9"/>
  </w:num>
  <w:num w:numId="11">
    <w:abstractNumId w:val="10"/>
  </w:num>
  <w:num w:numId="12">
    <w:abstractNumId w:val="23"/>
  </w:num>
  <w:num w:numId="13">
    <w:abstractNumId w:val="1"/>
  </w:num>
  <w:num w:numId="14">
    <w:abstractNumId w:val="11"/>
  </w:num>
  <w:num w:numId="15">
    <w:abstractNumId w:val="12"/>
  </w:num>
  <w:num w:numId="16">
    <w:abstractNumId w:val="13"/>
  </w:num>
  <w:num w:numId="17">
    <w:abstractNumId w:val="14"/>
  </w:num>
  <w:num w:numId="18">
    <w:abstractNumId w:val="25"/>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doNotCompress"/>
  <w:doNotValidateAgainstSchema/>
  <w:doNotDemarcateInvalidXml/>
  <w:compat>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172A27"/>
    <w:rsid w:val="0000484E"/>
    <w:rsid w:val="00005F06"/>
    <w:rsid w:val="000761B6"/>
    <w:rsid w:val="0008726B"/>
    <w:rsid w:val="00091156"/>
    <w:rsid w:val="000A39B9"/>
    <w:rsid w:val="000A4FEF"/>
    <w:rsid w:val="000C7C2D"/>
    <w:rsid w:val="000D34BE"/>
    <w:rsid w:val="000F1377"/>
    <w:rsid w:val="00166FB7"/>
    <w:rsid w:val="00174A3A"/>
    <w:rsid w:val="001C28CF"/>
    <w:rsid w:val="001E01D4"/>
    <w:rsid w:val="001F5063"/>
    <w:rsid w:val="00202DBC"/>
    <w:rsid w:val="002134C4"/>
    <w:rsid w:val="00252549"/>
    <w:rsid w:val="00252C76"/>
    <w:rsid w:val="00255866"/>
    <w:rsid w:val="002558AF"/>
    <w:rsid w:val="00267C8B"/>
    <w:rsid w:val="00271FDE"/>
    <w:rsid w:val="00276731"/>
    <w:rsid w:val="00284A98"/>
    <w:rsid w:val="00286A3C"/>
    <w:rsid w:val="00295E70"/>
    <w:rsid w:val="00295FE5"/>
    <w:rsid w:val="002E0EA1"/>
    <w:rsid w:val="002E672A"/>
    <w:rsid w:val="002F2A10"/>
    <w:rsid w:val="0030177D"/>
    <w:rsid w:val="00303A95"/>
    <w:rsid w:val="00327832"/>
    <w:rsid w:val="0033535E"/>
    <w:rsid w:val="003B13B0"/>
    <w:rsid w:val="003C0A86"/>
    <w:rsid w:val="003C1D85"/>
    <w:rsid w:val="003F0F95"/>
    <w:rsid w:val="00404D42"/>
    <w:rsid w:val="00432AD9"/>
    <w:rsid w:val="00497AA4"/>
    <w:rsid w:val="004C114E"/>
    <w:rsid w:val="004F2224"/>
    <w:rsid w:val="005134F9"/>
    <w:rsid w:val="00553A7B"/>
    <w:rsid w:val="0057695D"/>
    <w:rsid w:val="00577CD8"/>
    <w:rsid w:val="005D3C1F"/>
    <w:rsid w:val="005D63F0"/>
    <w:rsid w:val="006006D5"/>
    <w:rsid w:val="0060293D"/>
    <w:rsid w:val="00611761"/>
    <w:rsid w:val="00617604"/>
    <w:rsid w:val="00617F4C"/>
    <w:rsid w:val="006470A6"/>
    <w:rsid w:val="006555EA"/>
    <w:rsid w:val="00665BAD"/>
    <w:rsid w:val="00681BE8"/>
    <w:rsid w:val="006C7AB8"/>
    <w:rsid w:val="006E5863"/>
    <w:rsid w:val="00701732"/>
    <w:rsid w:val="00770CAB"/>
    <w:rsid w:val="00775D40"/>
    <w:rsid w:val="007A0CF7"/>
    <w:rsid w:val="007D1C5F"/>
    <w:rsid w:val="00800AA2"/>
    <w:rsid w:val="008100AA"/>
    <w:rsid w:val="00866D05"/>
    <w:rsid w:val="008A06E6"/>
    <w:rsid w:val="008E7A30"/>
    <w:rsid w:val="008F7E1B"/>
    <w:rsid w:val="0091739D"/>
    <w:rsid w:val="00924A61"/>
    <w:rsid w:val="009364DC"/>
    <w:rsid w:val="009374D3"/>
    <w:rsid w:val="00943E3F"/>
    <w:rsid w:val="00961320"/>
    <w:rsid w:val="009A140E"/>
    <w:rsid w:val="009B66BE"/>
    <w:rsid w:val="009D0041"/>
    <w:rsid w:val="00A0473C"/>
    <w:rsid w:val="00A36B5B"/>
    <w:rsid w:val="00A7163A"/>
    <w:rsid w:val="00AD167B"/>
    <w:rsid w:val="00AD222F"/>
    <w:rsid w:val="00AD471F"/>
    <w:rsid w:val="00B06799"/>
    <w:rsid w:val="00B253CC"/>
    <w:rsid w:val="00B35E3A"/>
    <w:rsid w:val="00B42A4C"/>
    <w:rsid w:val="00B81BFF"/>
    <w:rsid w:val="00B9127A"/>
    <w:rsid w:val="00BC0515"/>
    <w:rsid w:val="00BE1277"/>
    <w:rsid w:val="00C419E1"/>
    <w:rsid w:val="00C423FA"/>
    <w:rsid w:val="00C9579B"/>
    <w:rsid w:val="00CA423C"/>
    <w:rsid w:val="00CB3A79"/>
    <w:rsid w:val="00D070E5"/>
    <w:rsid w:val="00D3627A"/>
    <w:rsid w:val="00D628C2"/>
    <w:rsid w:val="00D712B8"/>
    <w:rsid w:val="00D917CC"/>
    <w:rsid w:val="00D951B8"/>
    <w:rsid w:val="00E138EB"/>
    <w:rsid w:val="00E1547A"/>
    <w:rsid w:val="00E1770C"/>
    <w:rsid w:val="00E33D4E"/>
    <w:rsid w:val="00E43B8D"/>
    <w:rsid w:val="00E44231"/>
    <w:rsid w:val="00E7503B"/>
    <w:rsid w:val="00EC0014"/>
    <w:rsid w:val="00EE3CB0"/>
    <w:rsid w:val="00F37153"/>
    <w:rsid w:val="00F664E3"/>
    <w:rsid w:val="00F94F6D"/>
    <w:rsid w:val="00FA0ABD"/>
    <w:rsid w:val="00FB791D"/>
    <w:rsid w:val="00FD2CC7"/>
    <w:rsid w:val="010C3DC8"/>
    <w:rsid w:val="01541EA9"/>
    <w:rsid w:val="02337D11"/>
    <w:rsid w:val="023F763D"/>
    <w:rsid w:val="02D04297"/>
    <w:rsid w:val="02F13384"/>
    <w:rsid w:val="0337185B"/>
    <w:rsid w:val="037D28C8"/>
    <w:rsid w:val="04647342"/>
    <w:rsid w:val="04770389"/>
    <w:rsid w:val="04797CC8"/>
    <w:rsid w:val="04DB0285"/>
    <w:rsid w:val="05114CB2"/>
    <w:rsid w:val="05353DA0"/>
    <w:rsid w:val="05E47CB5"/>
    <w:rsid w:val="06385A79"/>
    <w:rsid w:val="07740AAE"/>
    <w:rsid w:val="07760F05"/>
    <w:rsid w:val="07C026FC"/>
    <w:rsid w:val="07C5765D"/>
    <w:rsid w:val="08002CBC"/>
    <w:rsid w:val="086E7B3F"/>
    <w:rsid w:val="089237AC"/>
    <w:rsid w:val="089561E9"/>
    <w:rsid w:val="08AA23AF"/>
    <w:rsid w:val="08B65FD7"/>
    <w:rsid w:val="095567BF"/>
    <w:rsid w:val="0969226A"/>
    <w:rsid w:val="096D134E"/>
    <w:rsid w:val="0A9B46A5"/>
    <w:rsid w:val="0AF34CBF"/>
    <w:rsid w:val="0B372627"/>
    <w:rsid w:val="0B54368F"/>
    <w:rsid w:val="0B803A66"/>
    <w:rsid w:val="0B86647D"/>
    <w:rsid w:val="0BE4744A"/>
    <w:rsid w:val="0C81168A"/>
    <w:rsid w:val="0C993C48"/>
    <w:rsid w:val="0CB16402"/>
    <w:rsid w:val="0D111572"/>
    <w:rsid w:val="0D4B211D"/>
    <w:rsid w:val="0D8C6527"/>
    <w:rsid w:val="0DC970F4"/>
    <w:rsid w:val="0EB2020F"/>
    <w:rsid w:val="0EEC1973"/>
    <w:rsid w:val="0F0373B1"/>
    <w:rsid w:val="0F130CAE"/>
    <w:rsid w:val="0F40581B"/>
    <w:rsid w:val="0F6E63D4"/>
    <w:rsid w:val="10037932"/>
    <w:rsid w:val="10AD5B42"/>
    <w:rsid w:val="10AF2C58"/>
    <w:rsid w:val="10E67A68"/>
    <w:rsid w:val="11056CD7"/>
    <w:rsid w:val="111F4B90"/>
    <w:rsid w:val="11423597"/>
    <w:rsid w:val="117404B8"/>
    <w:rsid w:val="117E448B"/>
    <w:rsid w:val="11B40E99"/>
    <w:rsid w:val="11CC6919"/>
    <w:rsid w:val="11D04F45"/>
    <w:rsid w:val="11DD2029"/>
    <w:rsid w:val="12163CF3"/>
    <w:rsid w:val="122A4C8C"/>
    <w:rsid w:val="12745F08"/>
    <w:rsid w:val="127D1BE6"/>
    <w:rsid w:val="137D6EAF"/>
    <w:rsid w:val="13BE5D58"/>
    <w:rsid w:val="14162C01"/>
    <w:rsid w:val="145B75D5"/>
    <w:rsid w:val="146C5ADE"/>
    <w:rsid w:val="148257B3"/>
    <w:rsid w:val="14C65A67"/>
    <w:rsid w:val="14EA08EA"/>
    <w:rsid w:val="158F3058"/>
    <w:rsid w:val="15BA32B2"/>
    <w:rsid w:val="16184DFC"/>
    <w:rsid w:val="16CD208A"/>
    <w:rsid w:val="16FC296F"/>
    <w:rsid w:val="172241C2"/>
    <w:rsid w:val="172577D0"/>
    <w:rsid w:val="173E6AE4"/>
    <w:rsid w:val="177862A0"/>
    <w:rsid w:val="179505D8"/>
    <w:rsid w:val="17B73663"/>
    <w:rsid w:val="17B82277"/>
    <w:rsid w:val="17D02F59"/>
    <w:rsid w:val="182061EA"/>
    <w:rsid w:val="190F3329"/>
    <w:rsid w:val="196A3BC0"/>
    <w:rsid w:val="19FB6F0E"/>
    <w:rsid w:val="1AA13D10"/>
    <w:rsid w:val="1AED7B97"/>
    <w:rsid w:val="1B0F0EC3"/>
    <w:rsid w:val="1B703008"/>
    <w:rsid w:val="1C022402"/>
    <w:rsid w:val="1C6E1C1A"/>
    <w:rsid w:val="1CAE2016"/>
    <w:rsid w:val="1D6923E1"/>
    <w:rsid w:val="1D980B85"/>
    <w:rsid w:val="1DCF6AD8"/>
    <w:rsid w:val="1DDE2DCF"/>
    <w:rsid w:val="1E65281E"/>
    <w:rsid w:val="1E917E41"/>
    <w:rsid w:val="1E9D102A"/>
    <w:rsid w:val="1ED65E2B"/>
    <w:rsid w:val="1F2B5FC9"/>
    <w:rsid w:val="1F657590"/>
    <w:rsid w:val="1FD61FB0"/>
    <w:rsid w:val="1FF6107E"/>
    <w:rsid w:val="205904EB"/>
    <w:rsid w:val="206F5F60"/>
    <w:rsid w:val="20AA343C"/>
    <w:rsid w:val="20E22BD6"/>
    <w:rsid w:val="214F7D29"/>
    <w:rsid w:val="21C422DC"/>
    <w:rsid w:val="21F94FCB"/>
    <w:rsid w:val="23292D62"/>
    <w:rsid w:val="233139A1"/>
    <w:rsid w:val="233F60BE"/>
    <w:rsid w:val="235002CB"/>
    <w:rsid w:val="240B5FA0"/>
    <w:rsid w:val="24516668"/>
    <w:rsid w:val="245B6D34"/>
    <w:rsid w:val="246C4042"/>
    <w:rsid w:val="24D25A79"/>
    <w:rsid w:val="251175E6"/>
    <w:rsid w:val="257A162F"/>
    <w:rsid w:val="258424AE"/>
    <w:rsid w:val="25D565A0"/>
    <w:rsid w:val="25FF2CBA"/>
    <w:rsid w:val="26AA5F44"/>
    <w:rsid w:val="271F52BE"/>
    <w:rsid w:val="273001EC"/>
    <w:rsid w:val="27413F7A"/>
    <w:rsid w:val="282B35D4"/>
    <w:rsid w:val="287E64FF"/>
    <w:rsid w:val="289F13AD"/>
    <w:rsid w:val="28B5297E"/>
    <w:rsid w:val="28E75112"/>
    <w:rsid w:val="28F306BC"/>
    <w:rsid w:val="2927562A"/>
    <w:rsid w:val="29C21FF4"/>
    <w:rsid w:val="29E4176D"/>
    <w:rsid w:val="29FB2613"/>
    <w:rsid w:val="2A314286"/>
    <w:rsid w:val="2A5C62E9"/>
    <w:rsid w:val="2B412054"/>
    <w:rsid w:val="2B5F65B7"/>
    <w:rsid w:val="2B940F71"/>
    <w:rsid w:val="2B9920E3"/>
    <w:rsid w:val="2BCB43B2"/>
    <w:rsid w:val="2BEE4BA1"/>
    <w:rsid w:val="2C191269"/>
    <w:rsid w:val="2C844B41"/>
    <w:rsid w:val="2D091EF3"/>
    <w:rsid w:val="2D272591"/>
    <w:rsid w:val="2D3B6DC2"/>
    <w:rsid w:val="2D7B23E8"/>
    <w:rsid w:val="2D8F11E9"/>
    <w:rsid w:val="2D9964CB"/>
    <w:rsid w:val="2DC31BF6"/>
    <w:rsid w:val="2DF47AA5"/>
    <w:rsid w:val="2E674331"/>
    <w:rsid w:val="2EB021A6"/>
    <w:rsid w:val="2EB92AB6"/>
    <w:rsid w:val="2ED90DEC"/>
    <w:rsid w:val="2EDF0F65"/>
    <w:rsid w:val="2F1607B6"/>
    <w:rsid w:val="2F340AA1"/>
    <w:rsid w:val="2FD51F89"/>
    <w:rsid w:val="3075311F"/>
    <w:rsid w:val="308C4091"/>
    <w:rsid w:val="30A734F4"/>
    <w:rsid w:val="30AC731C"/>
    <w:rsid w:val="31E71DFA"/>
    <w:rsid w:val="31E85B72"/>
    <w:rsid w:val="322C384B"/>
    <w:rsid w:val="324C1F57"/>
    <w:rsid w:val="324E3046"/>
    <w:rsid w:val="32513FFD"/>
    <w:rsid w:val="326F3E4B"/>
    <w:rsid w:val="329F54EE"/>
    <w:rsid w:val="32A94520"/>
    <w:rsid w:val="33583057"/>
    <w:rsid w:val="336E5E03"/>
    <w:rsid w:val="33713891"/>
    <w:rsid w:val="33EA5BD2"/>
    <w:rsid w:val="341A3E87"/>
    <w:rsid w:val="354244AC"/>
    <w:rsid w:val="3569521C"/>
    <w:rsid w:val="35727C2D"/>
    <w:rsid w:val="358C51D3"/>
    <w:rsid w:val="36BB3856"/>
    <w:rsid w:val="36BD137C"/>
    <w:rsid w:val="36C97D20"/>
    <w:rsid w:val="3700588E"/>
    <w:rsid w:val="374B0E62"/>
    <w:rsid w:val="37702892"/>
    <w:rsid w:val="378C12B0"/>
    <w:rsid w:val="37CC1371"/>
    <w:rsid w:val="37D8392D"/>
    <w:rsid w:val="38764AB1"/>
    <w:rsid w:val="38A8605B"/>
    <w:rsid w:val="38BE57BC"/>
    <w:rsid w:val="38E84D15"/>
    <w:rsid w:val="394F0285"/>
    <w:rsid w:val="396522CF"/>
    <w:rsid w:val="3A150CD9"/>
    <w:rsid w:val="3A8D642C"/>
    <w:rsid w:val="3AB31024"/>
    <w:rsid w:val="3BA64E9A"/>
    <w:rsid w:val="3BBD597A"/>
    <w:rsid w:val="3C03621E"/>
    <w:rsid w:val="3C7E15AD"/>
    <w:rsid w:val="3D00266A"/>
    <w:rsid w:val="3D1E069A"/>
    <w:rsid w:val="3D3562F8"/>
    <w:rsid w:val="3D614D46"/>
    <w:rsid w:val="3DBF3C2B"/>
    <w:rsid w:val="3DC24056"/>
    <w:rsid w:val="3E03671E"/>
    <w:rsid w:val="3E196C21"/>
    <w:rsid w:val="3E5A74E6"/>
    <w:rsid w:val="3EE80F60"/>
    <w:rsid w:val="3F9F0CF0"/>
    <w:rsid w:val="40556AC9"/>
    <w:rsid w:val="406519B3"/>
    <w:rsid w:val="41075C9E"/>
    <w:rsid w:val="414E51B4"/>
    <w:rsid w:val="415C66C8"/>
    <w:rsid w:val="41AA4235"/>
    <w:rsid w:val="41CB027C"/>
    <w:rsid w:val="41DB1250"/>
    <w:rsid w:val="42007D1A"/>
    <w:rsid w:val="42187DAE"/>
    <w:rsid w:val="42196F8F"/>
    <w:rsid w:val="422E5267"/>
    <w:rsid w:val="42843695"/>
    <w:rsid w:val="428A31E3"/>
    <w:rsid w:val="42D80B91"/>
    <w:rsid w:val="432602A9"/>
    <w:rsid w:val="433C6F5D"/>
    <w:rsid w:val="4364489E"/>
    <w:rsid w:val="43931DE2"/>
    <w:rsid w:val="43AD09C3"/>
    <w:rsid w:val="43F62371"/>
    <w:rsid w:val="446A606E"/>
    <w:rsid w:val="44E144BE"/>
    <w:rsid w:val="4560744D"/>
    <w:rsid w:val="45742080"/>
    <w:rsid w:val="45D466E2"/>
    <w:rsid w:val="46323738"/>
    <w:rsid w:val="464A0752"/>
    <w:rsid w:val="466F1A0C"/>
    <w:rsid w:val="46761556"/>
    <w:rsid w:val="467D4684"/>
    <w:rsid w:val="468772B0"/>
    <w:rsid w:val="46ED18ED"/>
    <w:rsid w:val="46EE37D3"/>
    <w:rsid w:val="46F24B13"/>
    <w:rsid w:val="471C20EE"/>
    <w:rsid w:val="4787231A"/>
    <w:rsid w:val="47B95B8F"/>
    <w:rsid w:val="47C167F2"/>
    <w:rsid w:val="47DD3E88"/>
    <w:rsid w:val="48233009"/>
    <w:rsid w:val="49115557"/>
    <w:rsid w:val="496578AE"/>
    <w:rsid w:val="49C04C0E"/>
    <w:rsid w:val="49CD5922"/>
    <w:rsid w:val="49D3700A"/>
    <w:rsid w:val="4A765636"/>
    <w:rsid w:val="4AC43E16"/>
    <w:rsid w:val="4AD827D0"/>
    <w:rsid w:val="4B0863C3"/>
    <w:rsid w:val="4B175D1A"/>
    <w:rsid w:val="4BA44460"/>
    <w:rsid w:val="4C3B3017"/>
    <w:rsid w:val="4C612351"/>
    <w:rsid w:val="4CE143B5"/>
    <w:rsid w:val="4CF433A8"/>
    <w:rsid w:val="4DF10D6C"/>
    <w:rsid w:val="4E1C261E"/>
    <w:rsid w:val="4E4F3F5C"/>
    <w:rsid w:val="4ED107DE"/>
    <w:rsid w:val="4EEB463C"/>
    <w:rsid w:val="4F385DD5"/>
    <w:rsid w:val="4F9A7B9B"/>
    <w:rsid w:val="4FFE4A87"/>
    <w:rsid w:val="50201DEF"/>
    <w:rsid w:val="50BA02FE"/>
    <w:rsid w:val="50E41142"/>
    <w:rsid w:val="515062C0"/>
    <w:rsid w:val="51751D99"/>
    <w:rsid w:val="525F1CB4"/>
    <w:rsid w:val="52EE6661"/>
    <w:rsid w:val="53057EDB"/>
    <w:rsid w:val="537C7EB9"/>
    <w:rsid w:val="5389561A"/>
    <w:rsid w:val="538E5338"/>
    <w:rsid w:val="53A019B1"/>
    <w:rsid w:val="53C94501"/>
    <w:rsid w:val="54183203"/>
    <w:rsid w:val="54311BAF"/>
    <w:rsid w:val="544F115F"/>
    <w:rsid w:val="54680721"/>
    <w:rsid w:val="5472041A"/>
    <w:rsid w:val="54A34385"/>
    <w:rsid w:val="54C85664"/>
    <w:rsid w:val="54E83610"/>
    <w:rsid w:val="55434CEA"/>
    <w:rsid w:val="556F3D31"/>
    <w:rsid w:val="55CC3F3B"/>
    <w:rsid w:val="56705FB3"/>
    <w:rsid w:val="57160908"/>
    <w:rsid w:val="571F76F1"/>
    <w:rsid w:val="574746C0"/>
    <w:rsid w:val="57563655"/>
    <w:rsid w:val="5842711A"/>
    <w:rsid w:val="587B479B"/>
    <w:rsid w:val="58F72073"/>
    <w:rsid w:val="59251C89"/>
    <w:rsid w:val="59E24AD2"/>
    <w:rsid w:val="59EE791A"/>
    <w:rsid w:val="59F55223"/>
    <w:rsid w:val="5A220DCE"/>
    <w:rsid w:val="5A3D43FE"/>
    <w:rsid w:val="5B461BE6"/>
    <w:rsid w:val="5B5A2315"/>
    <w:rsid w:val="5B953367"/>
    <w:rsid w:val="5C2D5176"/>
    <w:rsid w:val="5C5B0FC5"/>
    <w:rsid w:val="5C5F68AD"/>
    <w:rsid w:val="5CD10E53"/>
    <w:rsid w:val="5D066D29"/>
    <w:rsid w:val="5D966A55"/>
    <w:rsid w:val="5DC80482"/>
    <w:rsid w:val="5DD16BDD"/>
    <w:rsid w:val="5DDC6E31"/>
    <w:rsid w:val="5E441B2F"/>
    <w:rsid w:val="5E44348D"/>
    <w:rsid w:val="5EC86D90"/>
    <w:rsid w:val="5EE4309A"/>
    <w:rsid w:val="5EF57055"/>
    <w:rsid w:val="5F065405"/>
    <w:rsid w:val="5F451BDC"/>
    <w:rsid w:val="5F4D1122"/>
    <w:rsid w:val="5FB82E15"/>
    <w:rsid w:val="5FE33B7B"/>
    <w:rsid w:val="5FE80968"/>
    <w:rsid w:val="60285DFF"/>
    <w:rsid w:val="60925F76"/>
    <w:rsid w:val="60C53368"/>
    <w:rsid w:val="6105554A"/>
    <w:rsid w:val="616D6A58"/>
    <w:rsid w:val="620A6FDF"/>
    <w:rsid w:val="62B92A90"/>
    <w:rsid w:val="63626C83"/>
    <w:rsid w:val="64721148"/>
    <w:rsid w:val="649F5297"/>
    <w:rsid w:val="64B11C70"/>
    <w:rsid w:val="64D66B77"/>
    <w:rsid w:val="64FB738F"/>
    <w:rsid w:val="658E5B0E"/>
    <w:rsid w:val="661B25F2"/>
    <w:rsid w:val="662B15AE"/>
    <w:rsid w:val="66716DA1"/>
    <w:rsid w:val="66803B38"/>
    <w:rsid w:val="66DB1226"/>
    <w:rsid w:val="66E8749F"/>
    <w:rsid w:val="673C3EEB"/>
    <w:rsid w:val="67582877"/>
    <w:rsid w:val="675863D3"/>
    <w:rsid w:val="6785668D"/>
    <w:rsid w:val="679979A8"/>
    <w:rsid w:val="67FF6671"/>
    <w:rsid w:val="6845219F"/>
    <w:rsid w:val="68734FC9"/>
    <w:rsid w:val="688E5B5B"/>
    <w:rsid w:val="68DC3034"/>
    <w:rsid w:val="694C1F68"/>
    <w:rsid w:val="69734B37"/>
    <w:rsid w:val="698D5FA9"/>
    <w:rsid w:val="699D6C67"/>
    <w:rsid w:val="69AA3132"/>
    <w:rsid w:val="69BC0A87"/>
    <w:rsid w:val="69C45FA2"/>
    <w:rsid w:val="69D21C1D"/>
    <w:rsid w:val="6A4454E8"/>
    <w:rsid w:val="6B5B46E4"/>
    <w:rsid w:val="6B6F1F3D"/>
    <w:rsid w:val="6B8922FC"/>
    <w:rsid w:val="6BF54B38"/>
    <w:rsid w:val="6C1E464D"/>
    <w:rsid w:val="6C327B3B"/>
    <w:rsid w:val="6C7D068A"/>
    <w:rsid w:val="6CDA3D2E"/>
    <w:rsid w:val="6D0773A5"/>
    <w:rsid w:val="6D225F63"/>
    <w:rsid w:val="6D614E67"/>
    <w:rsid w:val="6D6A6E60"/>
    <w:rsid w:val="6D7F2D43"/>
    <w:rsid w:val="6E3D27EA"/>
    <w:rsid w:val="6E661D1D"/>
    <w:rsid w:val="6F5F3A74"/>
    <w:rsid w:val="6F7F4B9C"/>
    <w:rsid w:val="6FCF2F80"/>
    <w:rsid w:val="70233051"/>
    <w:rsid w:val="70385AFA"/>
    <w:rsid w:val="705838E8"/>
    <w:rsid w:val="70770E10"/>
    <w:rsid w:val="70952446"/>
    <w:rsid w:val="70A71433"/>
    <w:rsid w:val="70F3716D"/>
    <w:rsid w:val="71133BAF"/>
    <w:rsid w:val="71C56D5B"/>
    <w:rsid w:val="720A0C12"/>
    <w:rsid w:val="72C20D55"/>
    <w:rsid w:val="72CE5D55"/>
    <w:rsid w:val="73522870"/>
    <w:rsid w:val="736F7726"/>
    <w:rsid w:val="73A744CA"/>
    <w:rsid w:val="73BE506A"/>
    <w:rsid w:val="753D7DE4"/>
    <w:rsid w:val="7590142E"/>
    <w:rsid w:val="75F61BD9"/>
    <w:rsid w:val="762D67F3"/>
    <w:rsid w:val="767B3E8C"/>
    <w:rsid w:val="76BF476C"/>
    <w:rsid w:val="775F555C"/>
    <w:rsid w:val="779F1DFC"/>
    <w:rsid w:val="77CD0717"/>
    <w:rsid w:val="78670B6C"/>
    <w:rsid w:val="78FB5758"/>
    <w:rsid w:val="792C3B64"/>
    <w:rsid w:val="79C27653"/>
    <w:rsid w:val="79D319C8"/>
    <w:rsid w:val="79E85A7D"/>
    <w:rsid w:val="79F93A46"/>
    <w:rsid w:val="79FA156C"/>
    <w:rsid w:val="7A3302EE"/>
    <w:rsid w:val="7AB3392A"/>
    <w:rsid w:val="7ACD16AF"/>
    <w:rsid w:val="7B0E125C"/>
    <w:rsid w:val="7B3D3E06"/>
    <w:rsid w:val="7B8C0E3D"/>
    <w:rsid w:val="7BB43953"/>
    <w:rsid w:val="7BD76009"/>
    <w:rsid w:val="7C1A5229"/>
    <w:rsid w:val="7D450A88"/>
    <w:rsid w:val="7D641F45"/>
    <w:rsid w:val="7E024C7D"/>
    <w:rsid w:val="7E040C0B"/>
    <w:rsid w:val="7E062BD5"/>
    <w:rsid w:val="7E2B32BC"/>
    <w:rsid w:val="7E3C03A5"/>
    <w:rsid w:val="7E786F03"/>
    <w:rsid w:val="7ED44A81"/>
    <w:rsid w:val="7EF02F3D"/>
    <w:rsid w:val="7F65224C"/>
    <w:rsid w:val="7F802513"/>
    <w:rsid w:val="7F9E0BEB"/>
    <w:rsid w:val="7FF60A2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uiPriority="99" w:name="HTML Keyboard"/>
    <w:lsdException w:qFormat="1" w:unhideWhenUsed="0" w:uiPriority="99" w:semiHidden="0" w:name="HTML Preformatted"/>
    <w:lsdException w:uiPriority="99" w:name="HTML Sample"/>
    <w:lsdException w:uiPriority="99" w:name="HTML Typewriter"/>
    <w:lsdException w:qFormat="1"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ascii="宋体" w:hAnsi="Times New Roman" w:eastAsia="宋体" w:cs="宋体"/>
      <w:sz w:val="22"/>
      <w:szCs w:val="22"/>
      <w:lang w:val="en-US" w:eastAsia="zh-CN" w:bidi="ar-SA"/>
    </w:rPr>
  </w:style>
  <w:style w:type="paragraph" w:styleId="2">
    <w:name w:val="heading 1"/>
    <w:basedOn w:val="1"/>
    <w:next w:val="1"/>
    <w:link w:val="59"/>
    <w:qFormat/>
    <w:uiPriority w:val="9"/>
    <w:pPr>
      <w:spacing w:before="73"/>
      <w:jc w:val="center"/>
      <w:outlineLvl w:val="0"/>
    </w:pPr>
    <w:rPr>
      <w:sz w:val="36"/>
      <w:szCs w:val="36"/>
    </w:rPr>
  </w:style>
  <w:style w:type="paragraph" w:styleId="3">
    <w:name w:val="heading 2"/>
    <w:basedOn w:val="1"/>
    <w:next w:val="1"/>
    <w:link w:val="60"/>
    <w:qFormat/>
    <w:uiPriority w:val="9"/>
    <w:pPr>
      <w:ind w:left="541"/>
      <w:outlineLvl w:val="1"/>
    </w:pPr>
    <w:rPr>
      <w:sz w:val="32"/>
      <w:szCs w:val="32"/>
    </w:rPr>
  </w:style>
  <w:style w:type="paragraph" w:styleId="4">
    <w:name w:val="heading 3"/>
    <w:basedOn w:val="1"/>
    <w:next w:val="1"/>
    <w:link w:val="61"/>
    <w:qFormat/>
    <w:uiPriority w:val="9"/>
    <w:pPr>
      <w:spacing w:before="62"/>
      <w:ind w:right="28"/>
      <w:jc w:val="center"/>
      <w:outlineLvl w:val="2"/>
    </w:pPr>
    <w:rPr>
      <w:sz w:val="28"/>
      <w:szCs w:val="28"/>
    </w:rPr>
  </w:style>
  <w:style w:type="paragraph" w:styleId="5">
    <w:name w:val="heading 4"/>
    <w:basedOn w:val="1"/>
    <w:next w:val="1"/>
    <w:link w:val="62"/>
    <w:qFormat/>
    <w:uiPriority w:val="9"/>
    <w:pPr>
      <w:spacing w:before="56"/>
      <w:ind w:left="208"/>
      <w:outlineLvl w:val="3"/>
    </w:pPr>
    <w:rPr>
      <w:i/>
      <w:iCs/>
      <w:sz w:val="25"/>
      <w:szCs w:val="25"/>
    </w:rPr>
  </w:style>
  <w:style w:type="paragraph" w:styleId="6">
    <w:name w:val="heading 5"/>
    <w:basedOn w:val="1"/>
    <w:next w:val="1"/>
    <w:link w:val="63"/>
    <w:qFormat/>
    <w:uiPriority w:val="9"/>
    <w:pPr>
      <w:keepNext/>
      <w:keepLines/>
      <w:autoSpaceDE/>
      <w:autoSpaceDN/>
      <w:spacing w:before="280" w:after="290" w:line="376" w:lineRule="atLeast"/>
      <w:jc w:val="both"/>
      <w:textAlignment w:val="baseline"/>
      <w:outlineLvl w:val="4"/>
    </w:pPr>
    <w:rPr>
      <w:rFonts w:ascii="Times New Roman" w:cs="Times New Roman"/>
      <w:b/>
      <w:sz w:val="28"/>
      <w:szCs w:val="20"/>
    </w:rPr>
  </w:style>
  <w:style w:type="paragraph" w:styleId="7">
    <w:name w:val="heading 6"/>
    <w:basedOn w:val="1"/>
    <w:next w:val="1"/>
    <w:link w:val="64"/>
    <w:qFormat/>
    <w:uiPriority w:val="9"/>
    <w:pPr>
      <w:keepNext/>
      <w:keepLines/>
      <w:autoSpaceDE/>
      <w:autoSpaceDN/>
      <w:spacing w:before="240" w:after="64" w:line="320" w:lineRule="atLeast"/>
      <w:jc w:val="both"/>
      <w:textAlignment w:val="baseline"/>
      <w:outlineLvl w:val="5"/>
    </w:pPr>
    <w:rPr>
      <w:rFonts w:ascii="Arial" w:hAnsi="Arial" w:eastAsia="黑体" w:cs="Times New Roman"/>
      <w:b/>
      <w:sz w:val="24"/>
      <w:szCs w:val="20"/>
    </w:rPr>
  </w:style>
  <w:style w:type="paragraph" w:styleId="8">
    <w:name w:val="heading 7"/>
    <w:basedOn w:val="1"/>
    <w:next w:val="1"/>
    <w:link w:val="65"/>
    <w:qFormat/>
    <w:uiPriority w:val="9"/>
    <w:pPr>
      <w:keepNext/>
      <w:keepLines/>
      <w:autoSpaceDE/>
      <w:autoSpaceDN/>
      <w:spacing w:before="240" w:after="64" w:line="320" w:lineRule="atLeast"/>
      <w:jc w:val="both"/>
      <w:textAlignment w:val="baseline"/>
      <w:outlineLvl w:val="6"/>
    </w:pPr>
    <w:rPr>
      <w:rFonts w:ascii="Times New Roman" w:cs="Times New Roman"/>
      <w:b/>
      <w:sz w:val="24"/>
      <w:szCs w:val="20"/>
    </w:rPr>
  </w:style>
  <w:style w:type="paragraph" w:styleId="9">
    <w:name w:val="heading 8"/>
    <w:basedOn w:val="1"/>
    <w:next w:val="1"/>
    <w:link w:val="66"/>
    <w:qFormat/>
    <w:uiPriority w:val="9"/>
    <w:pPr>
      <w:keepNext/>
      <w:keepLines/>
      <w:autoSpaceDE/>
      <w:autoSpaceDN/>
      <w:spacing w:before="240" w:after="64" w:line="320" w:lineRule="atLeast"/>
      <w:jc w:val="both"/>
      <w:textAlignment w:val="baseline"/>
      <w:outlineLvl w:val="7"/>
    </w:pPr>
    <w:rPr>
      <w:rFonts w:ascii="Arial" w:hAnsi="Arial" w:eastAsia="黑体" w:cs="Times New Roman"/>
      <w:sz w:val="24"/>
      <w:szCs w:val="20"/>
    </w:rPr>
  </w:style>
  <w:style w:type="paragraph" w:styleId="10">
    <w:name w:val="heading 9"/>
    <w:basedOn w:val="1"/>
    <w:next w:val="1"/>
    <w:link w:val="67"/>
    <w:qFormat/>
    <w:uiPriority w:val="9"/>
    <w:pPr>
      <w:keepNext/>
      <w:keepLines/>
      <w:autoSpaceDE/>
      <w:autoSpaceDN/>
      <w:spacing w:before="240" w:after="64" w:line="320" w:lineRule="atLeast"/>
      <w:jc w:val="both"/>
      <w:textAlignment w:val="baseline"/>
      <w:outlineLvl w:val="8"/>
    </w:pPr>
    <w:rPr>
      <w:rFonts w:ascii="Arial" w:hAnsi="Arial" w:eastAsia="黑体" w:cs="Times New Roman"/>
      <w:sz w:val="21"/>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autoSpaceDE/>
      <w:autoSpaceDN/>
      <w:adjustRightInd/>
      <w:ind w:left="2520" w:leftChars="1200"/>
      <w:jc w:val="both"/>
    </w:pPr>
    <w:rPr>
      <w:rFonts w:ascii="Times New Roman" w:cs="Times New Roman"/>
      <w:kern w:val="2"/>
      <w:sz w:val="21"/>
      <w:szCs w:val="24"/>
    </w:rPr>
  </w:style>
  <w:style w:type="paragraph" w:styleId="12">
    <w:name w:val="Normal Indent"/>
    <w:basedOn w:val="1"/>
    <w:next w:val="1"/>
    <w:link w:val="96"/>
    <w:qFormat/>
    <w:uiPriority w:val="99"/>
    <w:pPr>
      <w:ind w:firstLine="420"/>
    </w:pPr>
    <w:rPr>
      <w:rFonts w:cs="Times New Roman"/>
      <w:kern w:val="2"/>
      <w:sz w:val="24"/>
      <w:szCs w:val="24"/>
    </w:rPr>
  </w:style>
  <w:style w:type="paragraph" w:styleId="13">
    <w:name w:val="caption"/>
    <w:basedOn w:val="1"/>
    <w:next w:val="1"/>
    <w:qFormat/>
    <w:uiPriority w:val="35"/>
    <w:pPr>
      <w:autoSpaceDE/>
      <w:autoSpaceDN/>
      <w:adjustRightInd/>
      <w:spacing w:line="480" w:lineRule="auto"/>
      <w:jc w:val="both"/>
    </w:pPr>
    <w:rPr>
      <w:rFonts w:ascii="华文中宋" w:hAnsi="华文中宋" w:eastAsia="华文中宋" w:cs="Times New Roman"/>
      <w:kern w:val="2"/>
      <w:sz w:val="36"/>
      <w:szCs w:val="20"/>
    </w:rPr>
  </w:style>
  <w:style w:type="paragraph" w:styleId="14">
    <w:name w:val="Document Map"/>
    <w:basedOn w:val="1"/>
    <w:link w:val="77"/>
    <w:qFormat/>
    <w:uiPriority w:val="99"/>
    <w:pPr>
      <w:shd w:val="clear" w:color="auto" w:fill="000080"/>
      <w:autoSpaceDE/>
      <w:autoSpaceDN/>
      <w:adjustRightInd/>
      <w:jc w:val="both"/>
    </w:pPr>
    <w:rPr>
      <w:rFonts w:ascii="Times New Roman" w:cs="Times New Roman"/>
      <w:kern w:val="2"/>
      <w:sz w:val="21"/>
      <w:szCs w:val="24"/>
    </w:rPr>
  </w:style>
  <w:style w:type="paragraph" w:styleId="15">
    <w:name w:val="annotation text"/>
    <w:basedOn w:val="1"/>
    <w:link w:val="78"/>
    <w:qFormat/>
    <w:uiPriority w:val="99"/>
    <w:pPr>
      <w:autoSpaceDE/>
      <w:autoSpaceDN/>
      <w:adjustRightInd/>
    </w:pPr>
    <w:rPr>
      <w:rFonts w:ascii="Times New Roman" w:cs="Times New Roman"/>
      <w:kern w:val="2"/>
      <w:sz w:val="21"/>
      <w:szCs w:val="24"/>
    </w:rPr>
  </w:style>
  <w:style w:type="paragraph" w:styleId="16">
    <w:name w:val="Body Text 3"/>
    <w:basedOn w:val="1"/>
    <w:link w:val="73"/>
    <w:qFormat/>
    <w:uiPriority w:val="99"/>
    <w:pPr>
      <w:autoSpaceDE/>
      <w:autoSpaceDN/>
      <w:adjustRightInd/>
      <w:spacing w:after="120"/>
      <w:jc w:val="both"/>
    </w:pPr>
    <w:rPr>
      <w:rFonts w:ascii="Times New Roman" w:cs="Times New Roman"/>
      <w:kern w:val="2"/>
      <w:sz w:val="16"/>
      <w:szCs w:val="16"/>
    </w:rPr>
  </w:style>
  <w:style w:type="paragraph" w:styleId="17">
    <w:name w:val="Body Text"/>
    <w:basedOn w:val="1"/>
    <w:link w:val="68"/>
    <w:qFormat/>
    <w:uiPriority w:val="99"/>
    <w:rPr>
      <w:sz w:val="24"/>
      <w:szCs w:val="24"/>
    </w:rPr>
  </w:style>
  <w:style w:type="paragraph" w:styleId="18">
    <w:name w:val="Body Text Indent"/>
    <w:basedOn w:val="1"/>
    <w:link w:val="80"/>
    <w:qFormat/>
    <w:uiPriority w:val="99"/>
    <w:pPr>
      <w:autoSpaceDE/>
      <w:autoSpaceDN/>
      <w:adjustRightInd/>
      <w:spacing w:line="360" w:lineRule="auto"/>
      <w:ind w:firstLine="570"/>
      <w:jc w:val="both"/>
    </w:pPr>
    <w:rPr>
      <w:rFonts w:ascii="Times New Roman" w:cs="Times New Roman"/>
      <w:kern w:val="2"/>
      <w:sz w:val="24"/>
      <w:szCs w:val="24"/>
    </w:rPr>
  </w:style>
  <w:style w:type="paragraph" w:styleId="19">
    <w:name w:val="List 2"/>
    <w:basedOn w:val="1"/>
    <w:qFormat/>
    <w:uiPriority w:val="99"/>
    <w:pPr>
      <w:autoSpaceDE/>
      <w:autoSpaceDN/>
      <w:adjustRightInd/>
      <w:ind w:left="100" w:leftChars="200" w:hanging="200" w:hangingChars="200"/>
      <w:jc w:val="both"/>
    </w:pPr>
    <w:rPr>
      <w:rFonts w:ascii="Times New Roman" w:cs="Times New Roman"/>
      <w:kern w:val="2"/>
      <w:sz w:val="21"/>
      <w:szCs w:val="24"/>
    </w:rPr>
  </w:style>
  <w:style w:type="paragraph" w:styleId="20">
    <w:name w:val="Block Text"/>
    <w:basedOn w:val="1"/>
    <w:qFormat/>
    <w:uiPriority w:val="99"/>
    <w:pPr>
      <w:widowControl/>
      <w:autoSpaceDE/>
      <w:autoSpaceDN/>
      <w:adjustRightInd/>
      <w:ind w:left="480" w:right="-341" w:firstLine="513"/>
      <w:jc w:val="both"/>
    </w:pPr>
    <w:rPr>
      <w:rFonts w:ascii="Times New Roman" w:cs="Times New Roman"/>
      <w:sz w:val="24"/>
      <w:szCs w:val="20"/>
    </w:rPr>
  </w:style>
  <w:style w:type="paragraph" w:styleId="21">
    <w:name w:val="toc 5"/>
    <w:basedOn w:val="1"/>
    <w:next w:val="1"/>
    <w:qFormat/>
    <w:uiPriority w:val="39"/>
    <w:pPr>
      <w:autoSpaceDE/>
      <w:autoSpaceDN/>
      <w:adjustRightInd/>
      <w:ind w:left="1680" w:leftChars="800"/>
      <w:jc w:val="both"/>
    </w:pPr>
    <w:rPr>
      <w:rFonts w:ascii="Times New Roman" w:cs="Times New Roman"/>
      <w:kern w:val="2"/>
      <w:sz w:val="21"/>
      <w:szCs w:val="24"/>
    </w:rPr>
  </w:style>
  <w:style w:type="paragraph" w:styleId="22">
    <w:name w:val="toc 3"/>
    <w:basedOn w:val="1"/>
    <w:next w:val="1"/>
    <w:qFormat/>
    <w:uiPriority w:val="39"/>
    <w:pPr>
      <w:autoSpaceDE/>
      <w:autoSpaceDN/>
      <w:adjustRightInd/>
      <w:ind w:left="840" w:leftChars="400"/>
      <w:jc w:val="both"/>
    </w:pPr>
    <w:rPr>
      <w:rFonts w:ascii="Times New Roman" w:cs="Times New Roman"/>
      <w:kern w:val="2"/>
      <w:sz w:val="21"/>
      <w:szCs w:val="24"/>
    </w:rPr>
  </w:style>
  <w:style w:type="paragraph" w:styleId="23">
    <w:name w:val="Plain Text"/>
    <w:basedOn w:val="1"/>
    <w:next w:val="1"/>
    <w:link w:val="74"/>
    <w:qFormat/>
    <w:uiPriority w:val="99"/>
    <w:pPr>
      <w:autoSpaceDE/>
      <w:autoSpaceDN/>
      <w:adjustRightInd/>
      <w:jc w:val="both"/>
    </w:pPr>
    <w:rPr>
      <w:rFonts w:hAnsi="Courier New" w:cs="Times New Roman"/>
      <w:kern w:val="2"/>
      <w:sz w:val="21"/>
      <w:szCs w:val="20"/>
    </w:rPr>
  </w:style>
  <w:style w:type="paragraph" w:styleId="24">
    <w:name w:val="toc 8"/>
    <w:basedOn w:val="1"/>
    <w:next w:val="1"/>
    <w:qFormat/>
    <w:uiPriority w:val="39"/>
    <w:pPr>
      <w:autoSpaceDE/>
      <w:autoSpaceDN/>
      <w:adjustRightInd/>
      <w:ind w:left="2940" w:leftChars="1400"/>
      <w:jc w:val="both"/>
    </w:pPr>
    <w:rPr>
      <w:rFonts w:ascii="Times New Roman" w:cs="Times New Roman"/>
      <w:kern w:val="2"/>
      <w:sz w:val="21"/>
      <w:szCs w:val="24"/>
    </w:rPr>
  </w:style>
  <w:style w:type="paragraph" w:styleId="25">
    <w:name w:val="Date"/>
    <w:basedOn w:val="1"/>
    <w:next w:val="1"/>
    <w:link w:val="82"/>
    <w:qFormat/>
    <w:uiPriority w:val="99"/>
    <w:pPr>
      <w:autoSpaceDE/>
      <w:autoSpaceDN/>
      <w:adjustRightInd/>
      <w:ind w:left="100" w:leftChars="2500"/>
      <w:jc w:val="both"/>
    </w:pPr>
    <w:rPr>
      <w:rFonts w:ascii="仿宋_GB2312" w:hAnsi="宋体" w:eastAsia="仿宋_GB2312" w:cs="Times New Roman"/>
      <w:color w:val="000000"/>
      <w:kern w:val="2"/>
      <w:sz w:val="24"/>
      <w:szCs w:val="24"/>
    </w:rPr>
  </w:style>
  <w:style w:type="paragraph" w:styleId="26">
    <w:name w:val="Body Text Indent 2"/>
    <w:basedOn w:val="1"/>
    <w:link w:val="83"/>
    <w:qFormat/>
    <w:uiPriority w:val="99"/>
    <w:pPr>
      <w:autoSpaceDE/>
      <w:autoSpaceDN/>
      <w:adjustRightInd/>
      <w:ind w:firstLine="480" w:firstLineChars="200"/>
      <w:jc w:val="both"/>
    </w:pPr>
    <w:rPr>
      <w:rFonts w:ascii="仿宋_GB2312" w:eastAsia="仿宋_GB2312" w:cs="Times New Roman"/>
      <w:kern w:val="2"/>
      <w:sz w:val="24"/>
      <w:szCs w:val="24"/>
    </w:rPr>
  </w:style>
  <w:style w:type="paragraph" w:styleId="27">
    <w:name w:val="Balloon Text"/>
    <w:basedOn w:val="1"/>
    <w:link w:val="84"/>
    <w:qFormat/>
    <w:uiPriority w:val="99"/>
    <w:pPr>
      <w:autoSpaceDE/>
      <w:autoSpaceDN/>
      <w:adjustRightInd/>
      <w:jc w:val="both"/>
    </w:pPr>
    <w:rPr>
      <w:rFonts w:ascii="Times New Roman" w:cs="Times New Roman"/>
      <w:kern w:val="2"/>
      <w:sz w:val="18"/>
      <w:szCs w:val="18"/>
    </w:rPr>
  </w:style>
  <w:style w:type="paragraph" w:styleId="28">
    <w:name w:val="footer"/>
    <w:basedOn w:val="1"/>
    <w:link w:val="72"/>
    <w:unhideWhenUsed/>
    <w:qFormat/>
    <w:uiPriority w:val="99"/>
    <w:pPr>
      <w:tabs>
        <w:tab w:val="center" w:pos="4153"/>
        <w:tab w:val="right" w:pos="8306"/>
      </w:tabs>
      <w:snapToGrid w:val="0"/>
    </w:pPr>
    <w:rPr>
      <w:sz w:val="18"/>
      <w:szCs w:val="18"/>
    </w:rPr>
  </w:style>
  <w:style w:type="paragraph" w:styleId="29">
    <w:name w:val="envelope return"/>
    <w:basedOn w:val="1"/>
    <w:qFormat/>
    <w:uiPriority w:val="99"/>
    <w:pPr>
      <w:autoSpaceDE/>
      <w:autoSpaceDN/>
      <w:adjustRightInd/>
      <w:snapToGrid w:val="0"/>
      <w:jc w:val="both"/>
    </w:pPr>
    <w:rPr>
      <w:rFonts w:ascii="Arial" w:hAnsi="Arial" w:cs="Times New Roman"/>
      <w:kern w:val="2"/>
      <w:sz w:val="21"/>
      <w:szCs w:val="24"/>
    </w:rPr>
  </w:style>
  <w:style w:type="paragraph" w:styleId="30">
    <w:name w:val="header"/>
    <w:basedOn w:val="1"/>
    <w:link w:val="71"/>
    <w:unhideWhenUsed/>
    <w:qFormat/>
    <w:uiPriority w:val="99"/>
    <w:pP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autoSpaceDE/>
      <w:autoSpaceDN/>
      <w:adjustRightInd/>
      <w:spacing w:line="300" w:lineRule="auto"/>
      <w:jc w:val="both"/>
    </w:pPr>
    <w:rPr>
      <w:rFonts w:hAnsi="宋体" w:cs="Times New Roman"/>
      <w:b/>
      <w:kern w:val="2"/>
      <w:sz w:val="24"/>
      <w:szCs w:val="24"/>
    </w:rPr>
  </w:style>
  <w:style w:type="paragraph" w:styleId="32">
    <w:name w:val="toc 4"/>
    <w:basedOn w:val="1"/>
    <w:next w:val="1"/>
    <w:qFormat/>
    <w:uiPriority w:val="39"/>
    <w:pPr>
      <w:autoSpaceDE/>
      <w:autoSpaceDN/>
      <w:adjustRightInd/>
      <w:ind w:left="1260" w:leftChars="600"/>
      <w:jc w:val="both"/>
    </w:pPr>
    <w:rPr>
      <w:rFonts w:ascii="Times New Roman" w:cs="Times New Roman"/>
      <w:kern w:val="2"/>
      <w:sz w:val="21"/>
      <w:szCs w:val="24"/>
    </w:rPr>
  </w:style>
  <w:style w:type="paragraph" w:styleId="33">
    <w:name w:val="toc 6"/>
    <w:basedOn w:val="1"/>
    <w:next w:val="1"/>
    <w:qFormat/>
    <w:uiPriority w:val="39"/>
    <w:pPr>
      <w:autoSpaceDE/>
      <w:autoSpaceDN/>
      <w:adjustRightInd/>
      <w:ind w:left="2100" w:leftChars="1000"/>
      <w:jc w:val="both"/>
    </w:pPr>
    <w:rPr>
      <w:rFonts w:ascii="Times New Roman" w:cs="Times New Roman"/>
      <w:kern w:val="2"/>
      <w:sz w:val="21"/>
      <w:szCs w:val="24"/>
    </w:rPr>
  </w:style>
  <w:style w:type="paragraph" w:styleId="34">
    <w:name w:val="Body Text Indent 3"/>
    <w:basedOn w:val="1"/>
    <w:link w:val="85"/>
    <w:qFormat/>
    <w:uiPriority w:val="99"/>
    <w:pPr>
      <w:spacing w:before="120" w:line="22" w:lineRule="atLeast"/>
      <w:ind w:left="720" w:firstLine="480"/>
    </w:pPr>
    <w:rPr>
      <w:rFonts w:cs="Times New Roman"/>
      <w:sz w:val="24"/>
      <w:szCs w:val="20"/>
    </w:rPr>
  </w:style>
  <w:style w:type="paragraph" w:styleId="35">
    <w:name w:val="toc 2"/>
    <w:basedOn w:val="1"/>
    <w:next w:val="1"/>
    <w:qFormat/>
    <w:uiPriority w:val="39"/>
    <w:pPr>
      <w:tabs>
        <w:tab w:val="right" w:leader="dot" w:pos="8937"/>
      </w:tabs>
      <w:autoSpaceDE/>
      <w:autoSpaceDN/>
      <w:adjustRightInd/>
      <w:spacing w:line="312" w:lineRule="auto"/>
      <w:ind w:left="420" w:leftChars="200"/>
      <w:jc w:val="both"/>
    </w:pPr>
    <w:rPr>
      <w:rFonts w:ascii="Times New Roman" w:cs="Times New Roman"/>
      <w:kern w:val="2"/>
      <w:sz w:val="21"/>
      <w:szCs w:val="24"/>
    </w:rPr>
  </w:style>
  <w:style w:type="paragraph" w:styleId="36">
    <w:name w:val="toc 9"/>
    <w:basedOn w:val="1"/>
    <w:next w:val="1"/>
    <w:qFormat/>
    <w:uiPriority w:val="39"/>
    <w:pPr>
      <w:autoSpaceDE/>
      <w:autoSpaceDN/>
      <w:adjustRightInd/>
      <w:ind w:left="3360" w:leftChars="1600"/>
      <w:jc w:val="both"/>
    </w:pPr>
    <w:rPr>
      <w:rFonts w:ascii="Times New Roman" w:cs="Times New Roman"/>
      <w:kern w:val="2"/>
      <w:sz w:val="21"/>
      <w:szCs w:val="24"/>
    </w:rPr>
  </w:style>
  <w:style w:type="paragraph" w:styleId="37">
    <w:name w:val="HTML Preformatted"/>
    <w:basedOn w:val="1"/>
    <w:link w:val="8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hAnsi="宋体"/>
      <w:sz w:val="24"/>
      <w:szCs w:val="24"/>
    </w:rPr>
  </w:style>
  <w:style w:type="paragraph" w:styleId="38">
    <w:name w:val="Normal (Web)"/>
    <w:basedOn w:val="1"/>
    <w:unhideWhenUsed/>
    <w:qFormat/>
    <w:uiPriority w:val="99"/>
    <w:pPr>
      <w:widowControl/>
      <w:autoSpaceDE/>
      <w:autoSpaceDN/>
      <w:adjustRightInd/>
      <w:spacing w:before="100" w:beforeAutospacing="1" w:after="100" w:afterAutospacing="1"/>
    </w:pPr>
    <w:rPr>
      <w:rFonts w:hAnsi="宋体"/>
      <w:sz w:val="24"/>
      <w:szCs w:val="24"/>
    </w:rPr>
  </w:style>
  <w:style w:type="paragraph" w:styleId="39">
    <w:name w:val="index 1"/>
    <w:basedOn w:val="1"/>
    <w:next w:val="1"/>
    <w:qFormat/>
    <w:uiPriority w:val="99"/>
    <w:pPr>
      <w:autoSpaceDE/>
      <w:autoSpaceDN/>
      <w:adjustRightInd/>
      <w:jc w:val="both"/>
    </w:pPr>
    <w:rPr>
      <w:rFonts w:ascii="Times New Roman" w:cs="Times New Roman"/>
      <w:kern w:val="2"/>
      <w:sz w:val="21"/>
      <w:szCs w:val="20"/>
    </w:rPr>
  </w:style>
  <w:style w:type="paragraph" w:styleId="40">
    <w:name w:val="Title"/>
    <w:basedOn w:val="1"/>
    <w:link w:val="87"/>
    <w:qFormat/>
    <w:uiPriority w:val="10"/>
    <w:pPr>
      <w:autoSpaceDE/>
      <w:autoSpaceDN/>
      <w:adjustRightInd/>
      <w:jc w:val="center"/>
      <w:outlineLvl w:val="0"/>
    </w:pPr>
    <w:rPr>
      <w:rFonts w:ascii="Times New Roman" w:cs="Times New Roman"/>
      <w:b/>
      <w:kern w:val="2"/>
      <w:sz w:val="32"/>
      <w:szCs w:val="20"/>
    </w:rPr>
  </w:style>
  <w:style w:type="paragraph" w:styleId="41">
    <w:name w:val="annotation subject"/>
    <w:basedOn w:val="15"/>
    <w:next w:val="15"/>
    <w:link w:val="88"/>
    <w:qFormat/>
    <w:uiPriority w:val="99"/>
    <w:rPr>
      <w:b/>
      <w:bCs/>
    </w:rPr>
  </w:style>
  <w:style w:type="paragraph" w:styleId="42">
    <w:name w:val="Body Text First Indent 2"/>
    <w:basedOn w:val="18"/>
    <w:link w:val="89"/>
    <w:qFormat/>
    <w:uiPriority w:val="99"/>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67"/>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rFonts w:cs="Times New Roman"/>
        <w:b/>
        <w:bCs/>
      </w:rPr>
    </w:tblStylePr>
    <w:tblStylePr w:type="lastRow">
      <w:rPr>
        <w:rFonts w:cs="Times New Roman"/>
        <w:b/>
        <w:bCs/>
      </w:rPr>
      <w:tblPr/>
      <w:tcPr>
        <w:tcBorders>
          <w:top w:val="single" w:color="CF7B79" w:sz="1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character" w:styleId="47">
    <w:name w:val="Strong"/>
    <w:basedOn w:val="46"/>
    <w:qFormat/>
    <w:uiPriority w:val="22"/>
    <w:rPr>
      <w:rFonts w:cs="Times New Roman"/>
      <w:b/>
    </w:rPr>
  </w:style>
  <w:style w:type="character" w:styleId="48">
    <w:name w:val="page number"/>
    <w:basedOn w:val="46"/>
    <w:qFormat/>
    <w:uiPriority w:val="99"/>
    <w:rPr>
      <w:rFonts w:cs="Times New Roman"/>
    </w:rPr>
  </w:style>
  <w:style w:type="character" w:styleId="49">
    <w:name w:val="FollowedHyperlink"/>
    <w:basedOn w:val="46"/>
    <w:qFormat/>
    <w:uiPriority w:val="99"/>
    <w:rPr>
      <w:rFonts w:cs="Times New Roman"/>
      <w:color w:val="800080"/>
      <w:u w:val="single"/>
    </w:rPr>
  </w:style>
  <w:style w:type="character" w:styleId="50">
    <w:name w:val="Emphasis"/>
    <w:basedOn w:val="46"/>
    <w:qFormat/>
    <w:uiPriority w:val="20"/>
    <w:rPr>
      <w:rFonts w:cs="Times New Roman"/>
      <w:color w:val="CC0033"/>
    </w:rPr>
  </w:style>
  <w:style w:type="character" w:styleId="51">
    <w:name w:val="HTML Definition"/>
    <w:basedOn w:val="46"/>
    <w:qFormat/>
    <w:uiPriority w:val="99"/>
    <w:rPr>
      <w:rFonts w:cs="Times New Roman"/>
    </w:rPr>
  </w:style>
  <w:style w:type="character" w:styleId="52">
    <w:name w:val="HTML Acronym"/>
    <w:basedOn w:val="46"/>
    <w:qFormat/>
    <w:uiPriority w:val="99"/>
    <w:rPr>
      <w:rFonts w:cs="Times New Roman"/>
    </w:rPr>
  </w:style>
  <w:style w:type="character" w:styleId="53">
    <w:name w:val="HTML Variable"/>
    <w:basedOn w:val="46"/>
    <w:qFormat/>
    <w:uiPriority w:val="99"/>
    <w:rPr>
      <w:rFonts w:cs="Times New Roman"/>
    </w:rPr>
  </w:style>
  <w:style w:type="character" w:styleId="54">
    <w:name w:val="Hyperlink"/>
    <w:basedOn w:val="46"/>
    <w:qFormat/>
    <w:uiPriority w:val="99"/>
    <w:rPr>
      <w:rFonts w:cs="Times New Roman"/>
      <w:color w:val="0000FF"/>
      <w:u w:val="single"/>
    </w:rPr>
  </w:style>
  <w:style w:type="character" w:styleId="55">
    <w:name w:val="HTML Code"/>
    <w:basedOn w:val="46"/>
    <w:qFormat/>
    <w:uiPriority w:val="99"/>
    <w:rPr>
      <w:rFonts w:ascii="Courier New" w:hAnsi="Courier New" w:cs="Times New Roman"/>
      <w:sz w:val="20"/>
    </w:rPr>
  </w:style>
  <w:style w:type="character" w:styleId="56">
    <w:name w:val="annotation reference"/>
    <w:basedOn w:val="46"/>
    <w:qFormat/>
    <w:uiPriority w:val="99"/>
    <w:rPr>
      <w:rFonts w:cs="Times New Roman"/>
      <w:sz w:val="21"/>
    </w:rPr>
  </w:style>
  <w:style w:type="character" w:styleId="57">
    <w:name w:val="HTML Cite"/>
    <w:basedOn w:val="46"/>
    <w:qFormat/>
    <w:uiPriority w:val="99"/>
    <w:rPr>
      <w:rFonts w:cs="Times New Roman"/>
      <w:i/>
    </w:rPr>
  </w:style>
  <w:style w:type="paragraph" w:customStyle="1" w:styleId="58">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59">
    <w:name w:val="标题 1 字符"/>
    <w:basedOn w:val="46"/>
    <w:link w:val="2"/>
    <w:qFormat/>
    <w:uiPriority w:val="9"/>
    <w:rPr>
      <w:rFonts w:ascii="宋体" w:hAnsi="Times New Roman" w:eastAsia="宋体" w:cs="宋体"/>
      <w:b/>
      <w:bCs/>
      <w:kern w:val="44"/>
      <w:sz w:val="44"/>
      <w:szCs w:val="44"/>
    </w:rPr>
  </w:style>
  <w:style w:type="character" w:customStyle="1" w:styleId="60">
    <w:name w:val="标题 2 字符"/>
    <w:basedOn w:val="46"/>
    <w:link w:val="3"/>
    <w:qFormat/>
    <w:uiPriority w:val="9"/>
    <w:rPr>
      <w:rFonts w:cs="Times New Roman" w:asciiTheme="majorHAnsi" w:hAnsiTheme="majorHAnsi" w:eastAsiaTheme="majorEastAsia"/>
      <w:b/>
      <w:bCs/>
      <w:kern w:val="0"/>
      <w:sz w:val="32"/>
      <w:szCs w:val="32"/>
    </w:rPr>
  </w:style>
  <w:style w:type="character" w:customStyle="1" w:styleId="61">
    <w:name w:val="标题 3 字符"/>
    <w:basedOn w:val="46"/>
    <w:link w:val="4"/>
    <w:qFormat/>
    <w:uiPriority w:val="9"/>
    <w:rPr>
      <w:rFonts w:ascii="宋体" w:hAnsi="Times New Roman" w:eastAsia="宋体" w:cs="宋体"/>
      <w:b/>
      <w:bCs/>
      <w:kern w:val="0"/>
      <w:sz w:val="32"/>
      <w:szCs w:val="32"/>
    </w:rPr>
  </w:style>
  <w:style w:type="character" w:customStyle="1" w:styleId="62">
    <w:name w:val="标题 4 字符"/>
    <w:basedOn w:val="46"/>
    <w:link w:val="5"/>
    <w:qFormat/>
    <w:uiPriority w:val="9"/>
    <w:rPr>
      <w:rFonts w:cs="Times New Roman" w:asciiTheme="majorHAnsi" w:hAnsiTheme="majorHAnsi" w:eastAsiaTheme="majorEastAsia"/>
      <w:b/>
      <w:bCs/>
      <w:kern w:val="0"/>
      <w:sz w:val="28"/>
      <w:szCs w:val="28"/>
    </w:rPr>
  </w:style>
  <w:style w:type="character" w:customStyle="1" w:styleId="63">
    <w:name w:val="标题 5 字符"/>
    <w:basedOn w:val="46"/>
    <w:link w:val="6"/>
    <w:qFormat/>
    <w:uiPriority w:val="9"/>
    <w:rPr>
      <w:rFonts w:ascii="Times New Roman" w:hAnsi="Times New Roman" w:eastAsia="宋体" w:cs="Times New Roman"/>
      <w:b/>
      <w:kern w:val="0"/>
      <w:sz w:val="20"/>
      <w:szCs w:val="20"/>
    </w:rPr>
  </w:style>
  <w:style w:type="character" w:customStyle="1" w:styleId="64">
    <w:name w:val="标题 6 字符"/>
    <w:basedOn w:val="46"/>
    <w:link w:val="7"/>
    <w:qFormat/>
    <w:uiPriority w:val="9"/>
    <w:rPr>
      <w:rFonts w:ascii="Arial" w:hAnsi="Arial" w:eastAsia="黑体" w:cs="Times New Roman"/>
      <w:b/>
      <w:kern w:val="0"/>
      <w:sz w:val="20"/>
      <w:szCs w:val="20"/>
    </w:rPr>
  </w:style>
  <w:style w:type="character" w:customStyle="1" w:styleId="65">
    <w:name w:val="标题 7 字符"/>
    <w:basedOn w:val="46"/>
    <w:link w:val="8"/>
    <w:qFormat/>
    <w:uiPriority w:val="9"/>
    <w:rPr>
      <w:rFonts w:ascii="Times New Roman" w:hAnsi="Times New Roman" w:eastAsia="宋体" w:cs="Times New Roman"/>
      <w:b/>
      <w:kern w:val="0"/>
      <w:sz w:val="20"/>
      <w:szCs w:val="20"/>
    </w:rPr>
  </w:style>
  <w:style w:type="character" w:customStyle="1" w:styleId="66">
    <w:name w:val="标题 8 字符"/>
    <w:basedOn w:val="46"/>
    <w:link w:val="9"/>
    <w:qFormat/>
    <w:uiPriority w:val="9"/>
    <w:rPr>
      <w:rFonts w:ascii="Arial" w:hAnsi="Arial" w:eastAsia="黑体" w:cs="Times New Roman"/>
      <w:kern w:val="0"/>
      <w:sz w:val="20"/>
      <w:szCs w:val="20"/>
    </w:rPr>
  </w:style>
  <w:style w:type="character" w:customStyle="1" w:styleId="67">
    <w:name w:val="标题 9 字符"/>
    <w:basedOn w:val="46"/>
    <w:link w:val="10"/>
    <w:qFormat/>
    <w:uiPriority w:val="9"/>
    <w:rPr>
      <w:rFonts w:ascii="Arial" w:hAnsi="Arial" w:eastAsia="黑体" w:cs="Times New Roman"/>
      <w:kern w:val="0"/>
      <w:sz w:val="20"/>
      <w:szCs w:val="20"/>
    </w:rPr>
  </w:style>
  <w:style w:type="character" w:customStyle="1" w:styleId="68">
    <w:name w:val="正文文本 字符"/>
    <w:basedOn w:val="46"/>
    <w:link w:val="17"/>
    <w:qFormat/>
    <w:uiPriority w:val="99"/>
    <w:rPr>
      <w:rFonts w:ascii="宋体" w:hAnsi="Times New Roman" w:eastAsia="宋体" w:cs="宋体"/>
      <w:kern w:val="0"/>
      <w:sz w:val="22"/>
    </w:rPr>
  </w:style>
  <w:style w:type="paragraph" w:styleId="69">
    <w:name w:val="List Paragraph"/>
    <w:basedOn w:val="1"/>
    <w:link w:val="105"/>
    <w:qFormat/>
    <w:uiPriority w:val="1"/>
    <w:pPr>
      <w:ind w:left="1616" w:hanging="720"/>
    </w:pPr>
    <w:rPr>
      <w:sz w:val="24"/>
      <w:szCs w:val="24"/>
    </w:rPr>
  </w:style>
  <w:style w:type="paragraph" w:customStyle="1" w:styleId="70">
    <w:name w:val="Table Paragraph"/>
    <w:basedOn w:val="1"/>
    <w:qFormat/>
    <w:uiPriority w:val="1"/>
    <w:rPr>
      <w:sz w:val="24"/>
      <w:szCs w:val="24"/>
    </w:rPr>
  </w:style>
  <w:style w:type="character" w:customStyle="1" w:styleId="71">
    <w:name w:val="页眉 字符"/>
    <w:basedOn w:val="46"/>
    <w:link w:val="30"/>
    <w:qFormat/>
    <w:uiPriority w:val="99"/>
    <w:rPr>
      <w:rFonts w:ascii="宋体" w:hAnsi="Times New Roman" w:eastAsia="宋体" w:cs="宋体"/>
      <w:kern w:val="0"/>
      <w:sz w:val="18"/>
      <w:szCs w:val="18"/>
    </w:rPr>
  </w:style>
  <w:style w:type="character" w:customStyle="1" w:styleId="72">
    <w:name w:val="页脚 字符"/>
    <w:basedOn w:val="46"/>
    <w:link w:val="28"/>
    <w:qFormat/>
    <w:uiPriority w:val="99"/>
    <w:rPr>
      <w:rFonts w:ascii="宋体" w:hAnsi="Times New Roman" w:eastAsia="宋体" w:cs="宋体"/>
      <w:kern w:val="0"/>
      <w:sz w:val="18"/>
      <w:szCs w:val="18"/>
    </w:rPr>
  </w:style>
  <w:style w:type="character" w:customStyle="1" w:styleId="73">
    <w:name w:val="正文文本 3 字符"/>
    <w:basedOn w:val="46"/>
    <w:link w:val="16"/>
    <w:qFormat/>
    <w:uiPriority w:val="99"/>
    <w:rPr>
      <w:rFonts w:ascii="Times New Roman" w:hAnsi="Times New Roman" w:eastAsia="宋体" w:cs="Times New Roman"/>
      <w:sz w:val="16"/>
      <w:szCs w:val="16"/>
    </w:rPr>
  </w:style>
  <w:style w:type="character" w:customStyle="1" w:styleId="74">
    <w:name w:val="纯文本 字符"/>
    <w:basedOn w:val="46"/>
    <w:link w:val="23"/>
    <w:qFormat/>
    <w:uiPriority w:val="99"/>
    <w:rPr>
      <w:rFonts w:ascii="宋体" w:hAnsi="Courier New" w:eastAsia="宋体"/>
      <w:sz w:val="20"/>
    </w:rPr>
  </w:style>
  <w:style w:type="paragraph" w:customStyle="1" w:styleId="75">
    <w:name w:val="图例"/>
    <w:basedOn w:val="1"/>
    <w:qFormat/>
    <w:uiPriority w:val="0"/>
    <w:pPr>
      <w:autoSpaceDE/>
      <w:autoSpaceDN/>
      <w:adjustRightInd/>
      <w:spacing w:before="120" w:after="120" w:line="360" w:lineRule="auto"/>
      <w:jc w:val="center"/>
    </w:pPr>
    <w:rPr>
      <w:rFonts w:ascii="Times New Roman" w:eastAsia="仿宋_GB2312" w:cs="Times New Roman"/>
      <w:b/>
      <w:kern w:val="2"/>
      <w:sz w:val="24"/>
      <w:szCs w:val="20"/>
    </w:rPr>
  </w:style>
  <w:style w:type="paragraph" w:customStyle="1" w:styleId="76">
    <w:name w:val="正文 缩进2字符"/>
    <w:basedOn w:val="1"/>
    <w:qFormat/>
    <w:uiPriority w:val="0"/>
    <w:pPr>
      <w:autoSpaceDE/>
      <w:autoSpaceDN/>
      <w:adjustRightInd/>
      <w:spacing w:after="160" w:line="288" w:lineRule="auto"/>
      <w:jc w:val="both"/>
    </w:pPr>
    <w:rPr>
      <w:rFonts w:hAnsi="宋体" w:cs="Times New Roman"/>
      <w:kern w:val="2"/>
      <w:sz w:val="28"/>
      <w:szCs w:val="28"/>
    </w:rPr>
  </w:style>
  <w:style w:type="character" w:customStyle="1" w:styleId="77">
    <w:name w:val="文档结构图 字符"/>
    <w:basedOn w:val="46"/>
    <w:link w:val="14"/>
    <w:qFormat/>
    <w:uiPriority w:val="99"/>
    <w:rPr>
      <w:rFonts w:ascii="Times New Roman" w:hAnsi="Times New Roman" w:eastAsia="宋体" w:cs="Times New Roman"/>
      <w:sz w:val="24"/>
      <w:szCs w:val="24"/>
      <w:shd w:val="clear" w:color="auto" w:fill="000080"/>
    </w:rPr>
  </w:style>
  <w:style w:type="character" w:customStyle="1" w:styleId="78">
    <w:name w:val="批注文字 字符"/>
    <w:basedOn w:val="46"/>
    <w:link w:val="15"/>
    <w:qFormat/>
    <w:uiPriority w:val="99"/>
    <w:rPr>
      <w:rFonts w:ascii="Times New Roman" w:hAnsi="Times New Roman" w:eastAsia="宋体"/>
      <w:sz w:val="24"/>
    </w:rPr>
  </w:style>
  <w:style w:type="paragraph" w:customStyle="1" w:styleId="79">
    <w:name w:val="标题1-附件"/>
    <w:basedOn w:val="2"/>
    <w:qFormat/>
    <w:uiPriority w:val="0"/>
    <w:pPr>
      <w:keepNext/>
      <w:keepLines/>
      <w:spacing w:before="240" w:after="120" w:line="300" w:lineRule="auto"/>
      <w:jc w:val="left"/>
    </w:pPr>
    <w:rPr>
      <w:rFonts w:cs="Times New Roman"/>
      <w:b/>
      <w:kern w:val="44"/>
      <w:sz w:val="24"/>
      <w:szCs w:val="24"/>
    </w:rPr>
  </w:style>
  <w:style w:type="character" w:customStyle="1" w:styleId="80">
    <w:name w:val="正文文本缩进 字符"/>
    <w:basedOn w:val="46"/>
    <w:link w:val="18"/>
    <w:qFormat/>
    <w:uiPriority w:val="99"/>
    <w:rPr>
      <w:rFonts w:ascii="Times New Roman" w:hAnsi="Times New Roman" w:eastAsia="宋体" w:cs="Times New Roman"/>
      <w:sz w:val="24"/>
      <w:szCs w:val="24"/>
    </w:rPr>
  </w:style>
  <w:style w:type="paragraph" w:customStyle="1" w:styleId="8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82">
    <w:name w:val="日期 字符"/>
    <w:basedOn w:val="46"/>
    <w:link w:val="25"/>
    <w:qFormat/>
    <w:uiPriority w:val="99"/>
    <w:rPr>
      <w:rFonts w:ascii="仿宋_GB2312" w:hAnsi="宋体" w:eastAsia="仿宋_GB2312" w:cs="Times New Roman"/>
      <w:color w:val="000000"/>
      <w:sz w:val="24"/>
      <w:szCs w:val="24"/>
    </w:rPr>
  </w:style>
  <w:style w:type="character" w:customStyle="1" w:styleId="83">
    <w:name w:val="正文文本缩进 2 字符"/>
    <w:basedOn w:val="46"/>
    <w:link w:val="26"/>
    <w:qFormat/>
    <w:uiPriority w:val="99"/>
    <w:rPr>
      <w:rFonts w:ascii="仿宋_GB2312" w:hAnsi="Times New Roman" w:eastAsia="仿宋_GB2312" w:cs="Times New Roman"/>
      <w:sz w:val="24"/>
      <w:szCs w:val="24"/>
    </w:rPr>
  </w:style>
  <w:style w:type="character" w:customStyle="1" w:styleId="84">
    <w:name w:val="批注框文本 字符"/>
    <w:basedOn w:val="46"/>
    <w:link w:val="27"/>
    <w:qFormat/>
    <w:uiPriority w:val="99"/>
    <w:rPr>
      <w:rFonts w:ascii="Times New Roman" w:hAnsi="Times New Roman" w:eastAsia="宋体" w:cs="Times New Roman"/>
      <w:sz w:val="18"/>
      <w:szCs w:val="18"/>
    </w:rPr>
  </w:style>
  <w:style w:type="character" w:customStyle="1" w:styleId="85">
    <w:name w:val="正文文本缩进 3 字符"/>
    <w:basedOn w:val="46"/>
    <w:link w:val="34"/>
    <w:qFormat/>
    <w:uiPriority w:val="99"/>
    <w:rPr>
      <w:rFonts w:ascii="宋体" w:hAnsi="Times New Roman" w:eastAsia="宋体" w:cs="Times New Roman"/>
      <w:kern w:val="0"/>
      <w:sz w:val="20"/>
      <w:szCs w:val="20"/>
    </w:rPr>
  </w:style>
  <w:style w:type="character" w:customStyle="1" w:styleId="86">
    <w:name w:val="HTML 预设格式 字符"/>
    <w:basedOn w:val="46"/>
    <w:link w:val="37"/>
    <w:qFormat/>
    <w:uiPriority w:val="99"/>
    <w:rPr>
      <w:rFonts w:ascii="宋体" w:hAnsi="宋体" w:eastAsia="宋体" w:cs="宋体"/>
      <w:kern w:val="0"/>
      <w:sz w:val="24"/>
      <w:szCs w:val="24"/>
    </w:rPr>
  </w:style>
  <w:style w:type="character" w:customStyle="1" w:styleId="87">
    <w:name w:val="标题 字符"/>
    <w:basedOn w:val="46"/>
    <w:link w:val="40"/>
    <w:qFormat/>
    <w:uiPriority w:val="10"/>
    <w:rPr>
      <w:rFonts w:ascii="Times New Roman" w:hAnsi="Times New Roman" w:eastAsia="宋体" w:cs="Times New Roman"/>
      <w:b/>
      <w:sz w:val="20"/>
      <w:szCs w:val="20"/>
    </w:rPr>
  </w:style>
  <w:style w:type="character" w:customStyle="1" w:styleId="88">
    <w:name w:val="批注主题 字符"/>
    <w:link w:val="41"/>
    <w:qFormat/>
    <w:uiPriority w:val="99"/>
    <w:rPr>
      <w:rFonts w:ascii="Times New Roman" w:hAnsi="Times New Roman" w:eastAsia="宋体" w:cs="Times New Roman"/>
      <w:b/>
      <w:bCs/>
      <w:kern w:val="0"/>
      <w:sz w:val="24"/>
      <w:szCs w:val="24"/>
    </w:rPr>
  </w:style>
  <w:style w:type="character" w:customStyle="1" w:styleId="89">
    <w:name w:val="正文文本首行缩进 2 字符"/>
    <w:basedOn w:val="80"/>
    <w:link w:val="42"/>
    <w:qFormat/>
    <w:uiPriority w:val="99"/>
    <w:rPr>
      <w:rFonts w:ascii="Times New Roman" w:hAnsi="Times New Roman" w:eastAsia="宋体" w:cs="Times New Roman"/>
      <w:sz w:val="20"/>
      <w:szCs w:val="20"/>
    </w:rPr>
  </w:style>
  <w:style w:type="character" w:customStyle="1" w:styleId="90">
    <w:name w:val="c21"/>
    <w:qFormat/>
    <w:uiPriority w:val="0"/>
    <w:rPr>
      <w:rFonts w:ascii="??" w:hAnsi="??"/>
      <w:color w:val="000000"/>
      <w:sz w:val="20"/>
      <w:u w:val="none"/>
    </w:rPr>
  </w:style>
  <w:style w:type="character" w:customStyle="1" w:styleId="91">
    <w:name w:val="title4"/>
    <w:qFormat/>
    <w:uiPriority w:val="0"/>
    <w:rPr>
      <w:b/>
      <w:color w:val="1D87B3"/>
      <w:sz w:val="15"/>
    </w:rPr>
  </w:style>
  <w:style w:type="character" w:customStyle="1" w:styleId="92">
    <w:name w:val="标题 2 Char Char"/>
    <w:qFormat/>
    <w:uiPriority w:val="0"/>
    <w:rPr>
      <w:rFonts w:ascii="Arial" w:hAnsi="Arial" w:eastAsia="黑体"/>
      <w:b/>
      <w:kern w:val="2"/>
      <w:sz w:val="32"/>
      <w:lang w:val="en-US" w:eastAsia="zh-CN"/>
    </w:rPr>
  </w:style>
  <w:style w:type="character" w:customStyle="1" w:styleId="93">
    <w:name w:val="black1"/>
    <w:qFormat/>
    <w:uiPriority w:val="0"/>
    <w:rPr>
      <w:color w:val="000000"/>
    </w:rPr>
  </w:style>
  <w:style w:type="character" w:customStyle="1" w:styleId="94">
    <w:name w:val="street-address"/>
    <w:basedOn w:val="46"/>
    <w:qFormat/>
    <w:uiPriority w:val="0"/>
    <w:rPr>
      <w:rFonts w:cs="Times New Roman"/>
    </w:rPr>
  </w:style>
  <w:style w:type="character" w:customStyle="1" w:styleId="95">
    <w:name w:val="locality"/>
    <w:basedOn w:val="46"/>
    <w:qFormat/>
    <w:uiPriority w:val="0"/>
    <w:rPr>
      <w:rFonts w:cs="Times New Roman"/>
    </w:rPr>
  </w:style>
  <w:style w:type="character" w:customStyle="1" w:styleId="96">
    <w:name w:val="正文缩进 字符"/>
    <w:link w:val="12"/>
    <w:qFormat/>
    <w:uiPriority w:val="99"/>
    <w:rPr>
      <w:rFonts w:ascii="宋体" w:hAnsi="Times New Roman" w:eastAsia="宋体"/>
      <w:sz w:val="24"/>
    </w:rPr>
  </w:style>
  <w:style w:type="character" w:customStyle="1" w:styleId="97">
    <w:name w:val="正文文本缩进 Char1"/>
    <w:link w:val="98"/>
    <w:qFormat/>
    <w:uiPriority w:val="0"/>
    <w:rPr>
      <w:rFonts w:ascii="宋体" w:hAnsi="宋体" w:eastAsia="宋体"/>
      <w:sz w:val="24"/>
    </w:rPr>
  </w:style>
  <w:style w:type="paragraph" w:customStyle="1" w:styleId="98">
    <w:name w:val="正文文本缩进1"/>
    <w:basedOn w:val="1"/>
    <w:link w:val="97"/>
    <w:qFormat/>
    <w:uiPriority w:val="0"/>
    <w:pPr>
      <w:autoSpaceDE/>
      <w:autoSpaceDN/>
      <w:adjustRightInd/>
      <w:spacing w:line="480" w:lineRule="exact"/>
      <w:ind w:firstLine="480" w:firstLineChars="200"/>
      <w:jc w:val="both"/>
    </w:pPr>
    <w:rPr>
      <w:rFonts w:hAnsi="宋体" w:cs="Times New Roman"/>
      <w:kern w:val="2"/>
      <w:sz w:val="24"/>
      <w:szCs w:val="24"/>
    </w:rPr>
  </w:style>
  <w:style w:type="character" w:customStyle="1" w:styleId="99">
    <w:name w:val="Char Char11"/>
    <w:qFormat/>
    <w:uiPriority w:val="0"/>
    <w:rPr>
      <w:rFonts w:ascii="宋体" w:eastAsia="宋体"/>
      <w:b/>
      <w:sz w:val="24"/>
      <w:u w:val="single"/>
      <w:lang w:val="en-US" w:eastAsia="zh-CN"/>
    </w:rPr>
  </w:style>
  <w:style w:type="character" w:customStyle="1" w:styleId="100">
    <w:name w:val="txt"/>
    <w:basedOn w:val="46"/>
    <w:qFormat/>
    <w:uiPriority w:val="0"/>
    <w:rPr>
      <w:rFonts w:cs="Times New Roman"/>
    </w:rPr>
  </w:style>
  <w:style w:type="character" w:customStyle="1" w:styleId="101">
    <w:name w:val="正文缩进 Char Char"/>
    <w:link w:val="102"/>
    <w:qFormat/>
    <w:uiPriority w:val="0"/>
    <w:rPr>
      <w:rFonts w:ascii="宋体" w:eastAsia="宋体"/>
      <w:color w:val="000000"/>
      <w:kern w:val="28"/>
      <w:sz w:val="28"/>
    </w:rPr>
  </w:style>
  <w:style w:type="paragraph" w:customStyle="1" w:styleId="102">
    <w:name w:val="正文缩进1"/>
    <w:basedOn w:val="1"/>
    <w:link w:val="101"/>
    <w:qFormat/>
    <w:uiPriority w:val="0"/>
    <w:pPr>
      <w:widowControl/>
      <w:autoSpaceDE/>
      <w:autoSpaceDN/>
      <w:snapToGrid w:val="0"/>
      <w:spacing w:line="480" w:lineRule="exact"/>
      <w:ind w:firstLine="567"/>
      <w:jc w:val="both"/>
    </w:pPr>
    <w:rPr>
      <w:rFonts w:cs="Times New Roman" w:hAnsiTheme="minorHAnsi"/>
      <w:color w:val="000000"/>
      <w:kern w:val="28"/>
      <w:sz w:val="28"/>
    </w:rPr>
  </w:style>
  <w:style w:type="character" w:customStyle="1" w:styleId="103">
    <w:name w:val="普通文字1 Char1"/>
    <w:qFormat/>
    <w:uiPriority w:val="0"/>
    <w:rPr>
      <w:rFonts w:ascii="宋体" w:hAnsi="Courier New" w:eastAsia="宋体"/>
      <w:kern w:val="2"/>
      <w:sz w:val="21"/>
      <w:lang w:val="en-US" w:eastAsia="zh-CN"/>
    </w:rPr>
  </w:style>
  <w:style w:type="character" w:customStyle="1" w:styleId="104">
    <w:name w:val="chanpin1"/>
    <w:qFormat/>
    <w:uiPriority w:val="0"/>
    <w:rPr>
      <w:rFonts w:ascii="??" w:hAnsi="??"/>
      <w:color w:val="000000"/>
      <w:sz w:val="20"/>
      <w:u w:val="none"/>
    </w:rPr>
  </w:style>
  <w:style w:type="character" w:customStyle="1" w:styleId="105">
    <w:name w:val="列表段落 字符"/>
    <w:link w:val="69"/>
    <w:qFormat/>
    <w:uiPriority w:val="1"/>
    <w:rPr>
      <w:rFonts w:ascii="宋体" w:hAnsi="Times New Roman" w:eastAsia="宋体"/>
      <w:kern w:val="0"/>
      <w:sz w:val="24"/>
    </w:rPr>
  </w:style>
  <w:style w:type="character" w:customStyle="1" w:styleId="106">
    <w:name w:val="标题 3 Char Char"/>
    <w:qFormat/>
    <w:uiPriority w:val="0"/>
    <w:rPr>
      <w:rFonts w:eastAsia="宋体"/>
      <w:b/>
      <w:kern w:val="2"/>
      <w:sz w:val="32"/>
      <w:lang w:val="en-US" w:eastAsia="zh-CN"/>
    </w:rPr>
  </w:style>
  <w:style w:type="character" w:customStyle="1" w:styleId="107">
    <w:name w:val="段1 Char"/>
    <w:qFormat/>
    <w:uiPriority w:val="0"/>
    <w:rPr>
      <w:rFonts w:ascii="宋体" w:eastAsia="宋体"/>
      <w:sz w:val="24"/>
      <w:lang w:val="en-US" w:eastAsia="zh-CN"/>
    </w:rPr>
  </w:style>
  <w:style w:type="character" w:customStyle="1" w:styleId="108">
    <w:name w:val="chanpin拷贝"/>
    <w:basedOn w:val="46"/>
    <w:qFormat/>
    <w:uiPriority w:val="0"/>
    <w:rPr>
      <w:rFonts w:cs="Times New Roman"/>
    </w:rPr>
  </w:style>
  <w:style w:type="character" w:customStyle="1" w:styleId="109">
    <w:name w:val="纯文本 Char1"/>
    <w:qFormat/>
    <w:uiPriority w:val="0"/>
    <w:rPr>
      <w:rFonts w:ascii="宋体" w:hAnsi="Courier New" w:eastAsia="宋体"/>
      <w:kern w:val="2"/>
      <w:sz w:val="21"/>
      <w:lang w:val="en-US" w:eastAsia="zh-CN"/>
    </w:rPr>
  </w:style>
  <w:style w:type="character" w:customStyle="1" w:styleId="110">
    <w:name w:val="apple-style-span"/>
    <w:qFormat/>
    <w:uiPriority w:val="0"/>
  </w:style>
  <w:style w:type="paragraph" w:customStyle="1" w:styleId="111">
    <w:name w:val="二级条标题"/>
    <w:basedOn w:val="112"/>
    <w:next w:val="1"/>
    <w:qFormat/>
    <w:uiPriority w:val="0"/>
    <w:pPr>
      <w:numPr>
        <w:numId w:val="0"/>
      </w:numPr>
      <w:tabs>
        <w:tab w:val="left" w:pos="360"/>
        <w:tab w:val="left" w:pos="840"/>
      </w:tabs>
      <w:ind w:hanging="840"/>
      <w:outlineLvl w:val="2"/>
    </w:pPr>
    <w:rPr>
      <w:rFonts w:ascii="宋体" w:eastAsia="宋体"/>
      <w:b w:val="0"/>
    </w:rPr>
  </w:style>
  <w:style w:type="paragraph" w:customStyle="1" w:styleId="112">
    <w:name w:val="一级条标题"/>
    <w:basedOn w:val="113"/>
    <w:next w:val="1"/>
    <w:qFormat/>
    <w:uiPriority w:val="0"/>
    <w:pPr>
      <w:numPr>
        <w:ilvl w:val="1"/>
      </w:numPr>
      <w:tabs>
        <w:tab w:val="left" w:pos="360"/>
        <w:tab w:val="left" w:pos="840"/>
      </w:tabs>
      <w:ind w:hanging="840"/>
      <w:outlineLvl w:val="1"/>
    </w:pPr>
  </w:style>
  <w:style w:type="paragraph" w:customStyle="1" w:styleId="113">
    <w:name w:val="章标题"/>
    <w:next w:val="1"/>
    <w:qFormat/>
    <w:uiPriority w:val="0"/>
    <w:pPr>
      <w:numPr>
        <w:ilvl w:val="0"/>
        <w:numId w:val="1"/>
      </w:numPr>
      <w:spacing w:before="156" w:beforeLines="50" w:after="156" w:afterLines="50" w:line="460" w:lineRule="exact"/>
      <w:ind w:hanging="229"/>
      <w:jc w:val="both"/>
      <w:outlineLvl w:val="0"/>
    </w:pPr>
    <w:rPr>
      <w:rFonts w:ascii="黑体" w:hAnsi="Times New Roman" w:eastAsia="黑体" w:cs="Times New Roman"/>
      <w:b/>
      <w:sz w:val="28"/>
      <w:lang w:val="en-US" w:eastAsia="zh-CN" w:bidi="ar-SA"/>
    </w:rPr>
  </w:style>
  <w:style w:type="paragraph" w:customStyle="1" w:styleId="114">
    <w:name w:val="font7"/>
    <w:basedOn w:val="1"/>
    <w:qFormat/>
    <w:uiPriority w:val="0"/>
    <w:pPr>
      <w:widowControl/>
      <w:autoSpaceDE/>
      <w:autoSpaceDN/>
      <w:adjustRightInd/>
      <w:spacing w:before="100" w:beforeAutospacing="1" w:after="100" w:afterAutospacing="1"/>
    </w:pPr>
    <w:rPr>
      <w:rFonts w:ascii="Times New Roman" w:eastAsia="Arial Unicode MS" w:cs="Times New Roman"/>
      <w:b/>
      <w:bCs/>
      <w:color w:val="000000"/>
      <w:sz w:val="20"/>
      <w:szCs w:val="20"/>
    </w:rPr>
  </w:style>
  <w:style w:type="paragraph" w:customStyle="1" w:styleId="115">
    <w:name w:val="字元 字元"/>
    <w:basedOn w:val="1"/>
    <w:qFormat/>
    <w:uiPriority w:val="0"/>
    <w:pPr>
      <w:autoSpaceDE/>
      <w:autoSpaceDN/>
      <w:adjustRightInd/>
      <w:jc w:val="both"/>
    </w:pPr>
    <w:rPr>
      <w:rFonts w:ascii="Tahoma" w:hAnsi="Tahoma" w:cs="Times New Roman"/>
      <w:kern w:val="2"/>
      <w:sz w:val="24"/>
      <w:szCs w:val="20"/>
    </w:rPr>
  </w:style>
  <w:style w:type="paragraph" w:customStyle="1" w:styleId="116">
    <w:name w:val="Char3 Char Char Char"/>
    <w:basedOn w:val="1"/>
    <w:qFormat/>
    <w:uiPriority w:val="0"/>
    <w:pPr>
      <w:autoSpaceDE/>
      <w:autoSpaceDN/>
      <w:adjustRightInd/>
      <w:jc w:val="both"/>
    </w:pPr>
    <w:rPr>
      <w:rFonts w:ascii="Tahoma" w:hAnsi="Tahoma" w:cs="Times New Roman"/>
      <w:kern w:val="2"/>
      <w:sz w:val="24"/>
      <w:szCs w:val="20"/>
    </w:rPr>
  </w:style>
  <w:style w:type="paragraph" w:customStyle="1" w:styleId="117">
    <w:name w:val="font6"/>
    <w:basedOn w:val="1"/>
    <w:qFormat/>
    <w:uiPriority w:val="0"/>
    <w:pPr>
      <w:widowControl/>
      <w:autoSpaceDE/>
      <w:autoSpaceDN/>
      <w:adjustRightInd/>
      <w:spacing w:before="100" w:beforeAutospacing="1" w:after="100" w:afterAutospacing="1"/>
    </w:pPr>
    <w:rPr>
      <w:rFonts w:hAnsi="宋体"/>
      <w:sz w:val="20"/>
      <w:szCs w:val="20"/>
    </w:rPr>
  </w:style>
  <w:style w:type="paragraph" w:customStyle="1" w:styleId="118">
    <w:name w:val="项目编号2"/>
    <w:basedOn w:val="119"/>
    <w:qFormat/>
    <w:uiPriority w:val="0"/>
    <w:pPr>
      <w:numPr>
        <w:numId w:val="2"/>
      </w:numPr>
      <w:ind w:left="883" w:hanging="663"/>
    </w:pPr>
  </w:style>
  <w:style w:type="paragraph" w:customStyle="1" w:styleId="119">
    <w:name w:val="项目编号1"/>
    <w:basedOn w:val="1"/>
    <w:qFormat/>
    <w:uiPriority w:val="0"/>
    <w:pPr>
      <w:numPr>
        <w:ilvl w:val="0"/>
        <w:numId w:val="3"/>
      </w:numPr>
      <w:autoSpaceDE/>
      <w:autoSpaceDN/>
      <w:adjustRightInd/>
      <w:spacing w:before="100" w:beforeAutospacing="1" w:after="100" w:afterAutospacing="1" w:line="360" w:lineRule="auto"/>
      <w:ind w:left="930" w:hanging="229"/>
      <w:jc w:val="both"/>
    </w:pPr>
    <w:rPr>
      <w:rFonts w:ascii="Times New Roman" w:cs="Times New Roman"/>
      <w:kern w:val="2"/>
      <w:sz w:val="24"/>
      <w:szCs w:val="24"/>
    </w:rPr>
  </w:style>
  <w:style w:type="paragraph" w:customStyle="1" w:styleId="120">
    <w:name w:val="图中文字"/>
    <w:basedOn w:val="1"/>
    <w:qFormat/>
    <w:uiPriority w:val="0"/>
    <w:pPr>
      <w:autoSpaceDE/>
      <w:autoSpaceDN/>
      <w:snapToGrid w:val="0"/>
      <w:spacing w:line="240" w:lineRule="atLeast"/>
      <w:jc w:val="center"/>
    </w:pPr>
    <w:rPr>
      <w:rFonts w:ascii="Times New Roman" w:cs="Times New Roman"/>
      <w:kern w:val="2"/>
      <w:sz w:val="24"/>
      <w:szCs w:val="20"/>
    </w:rPr>
  </w:style>
  <w:style w:type="paragraph" w:customStyle="1" w:styleId="121">
    <w:name w:val="xl46"/>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22">
    <w:name w:val="xl2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rFonts w:ascii="Arial Unicode MS" w:hAnsi="Arial Unicode MS" w:eastAsia="Arial Unicode MS" w:cs="Arial Unicode MS"/>
      <w:b/>
      <w:bCs/>
      <w:color w:val="000000"/>
      <w:sz w:val="20"/>
      <w:szCs w:val="20"/>
    </w:rPr>
  </w:style>
  <w:style w:type="paragraph" w:customStyle="1" w:styleId="123">
    <w:name w:val="Char2"/>
    <w:basedOn w:val="1"/>
    <w:qFormat/>
    <w:uiPriority w:val="0"/>
    <w:pPr>
      <w:autoSpaceDE/>
      <w:autoSpaceDN/>
      <w:adjustRightInd/>
      <w:jc w:val="both"/>
    </w:pPr>
    <w:rPr>
      <w:rFonts w:ascii="Tahoma" w:hAnsi="Tahoma" w:cs="Times New Roman"/>
      <w:kern w:val="2"/>
      <w:sz w:val="24"/>
      <w:szCs w:val="20"/>
    </w:rPr>
  </w:style>
  <w:style w:type="paragraph" w:customStyle="1" w:styleId="124">
    <w:name w:val="xl35"/>
    <w:basedOn w:val="1"/>
    <w:qFormat/>
    <w:uiPriority w:val="0"/>
    <w:pPr>
      <w:widowControl/>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25">
    <w:name w:val="xl4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26">
    <w:name w:val="xl5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Arial Unicode MS" w:hAnsi="Arial Unicode MS" w:eastAsia="Arial Unicode MS" w:cs="Arial Unicode MS"/>
      <w:b/>
      <w:bCs/>
      <w:color w:val="000000"/>
      <w:sz w:val="16"/>
      <w:szCs w:val="16"/>
    </w:rPr>
  </w:style>
  <w:style w:type="paragraph" w:customStyle="1" w:styleId="127">
    <w:name w:val="xl43"/>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28">
    <w:name w:val="background1"/>
    <w:basedOn w:val="1"/>
    <w:qFormat/>
    <w:uiPriority w:val="0"/>
    <w:pPr>
      <w:widowControl/>
      <w:autoSpaceDE/>
      <w:autoSpaceDN/>
      <w:adjustRightInd/>
      <w:spacing w:before="100" w:beforeAutospacing="1" w:after="100" w:afterAutospacing="1"/>
    </w:pPr>
    <w:rPr>
      <w:rFonts w:hAnsi="宋体"/>
      <w:sz w:val="24"/>
      <w:szCs w:val="24"/>
    </w:rPr>
  </w:style>
  <w:style w:type="paragraph" w:customStyle="1" w:styleId="129">
    <w:name w:val="Char Char Char Char Char Char Char"/>
    <w:basedOn w:val="1"/>
    <w:qFormat/>
    <w:uiPriority w:val="0"/>
    <w:pPr>
      <w:autoSpaceDE/>
      <w:autoSpaceDN/>
      <w:adjustRightInd/>
      <w:snapToGrid w:val="0"/>
      <w:spacing w:line="360" w:lineRule="auto"/>
      <w:ind w:firstLine="200" w:firstLineChars="200"/>
      <w:jc w:val="both"/>
    </w:pPr>
    <w:rPr>
      <w:rFonts w:ascii="Times New Roman" w:eastAsia="仿宋_GB2312" w:cs="Times New Roman"/>
      <w:kern w:val="2"/>
      <w:sz w:val="24"/>
      <w:szCs w:val="24"/>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16"/>
      <w:szCs w:val="16"/>
    </w:rPr>
  </w:style>
  <w:style w:type="paragraph" w:customStyle="1" w:styleId="131">
    <w:name w:val="xl36"/>
    <w:basedOn w:val="1"/>
    <w:qFormat/>
    <w:uiPriority w:val="0"/>
    <w:pPr>
      <w:widowControl/>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32">
    <w:name w:val="正文 + 宋体"/>
    <w:basedOn w:val="1"/>
    <w:qFormat/>
    <w:uiPriority w:val="0"/>
    <w:pPr>
      <w:widowControl/>
      <w:autoSpaceDE/>
      <w:autoSpaceDN/>
      <w:adjustRightInd/>
      <w:ind w:left="360" w:hanging="360"/>
    </w:pPr>
    <w:rPr>
      <w:rFonts w:hAnsi="宋体"/>
      <w:b/>
      <w:bCs/>
      <w:color w:val="000000"/>
      <w:sz w:val="18"/>
      <w:szCs w:val="18"/>
    </w:rPr>
  </w:style>
  <w:style w:type="paragraph" w:customStyle="1" w:styleId="133">
    <w:name w:val="正文列项_数字"/>
    <w:basedOn w:val="1"/>
    <w:qFormat/>
    <w:uiPriority w:val="0"/>
    <w:pPr>
      <w:numPr>
        <w:ilvl w:val="7"/>
        <w:numId w:val="1"/>
      </w:numPr>
      <w:adjustRightInd/>
      <w:spacing w:line="460" w:lineRule="exact"/>
      <w:ind w:left="680" w:leftChars="530" w:hanging="150" w:hangingChars="150"/>
      <w:jc w:val="both"/>
      <w:outlineLvl w:val="7"/>
    </w:pPr>
    <w:rPr>
      <w:rFonts w:cs="Times New Roman"/>
      <w:sz w:val="28"/>
      <w:szCs w:val="20"/>
    </w:rPr>
  </w:style>
  <w:style w:type="paragraph" w:customStyle="1" w:styleId="134">
    <w:name w:val="xl3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35">
    <w:name w:val="xl37"/>
    <w:basedOn w:val="1"/>
    <w:qFormat/>
    <w:uiPriority w:val="0"/>
    <w:pPr>
      <w:widowControl/>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36">
    <w:name w:val="xl3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Arial Unicode MS" w:hAnsi="Arial Unicode MS" w:eastAsia="Arial Unicode MS" w:cs="Arial Unicode MS"/>
      <w:color w:val="000000"/>
      <w:sz w:val="20"/>
      <w:szCs w:val="20"/>
    </w:rPr>
  </w:style>
  <w:style w:type="paragraph" w:customStyle="1" w:styleId="137">
    <w:name w:val="font8"/>
    <w:basedOn w:val="1"/>
    <w:qFormat/>
    <w:uiPriority w:val="0"/>
    <w:pPr>
      <w:widowControl/>
      <w:autoSpaceDE/>
      <w:autoSpaceDN/>
      <w:adjustRightInd/>
      <w:spacing w:before="100" w:beforeAutospacing="1" w:after="100" w:afterAutospacing="1"/>
    </w:pPr>
    <w:rPr>
      <w:rFonts w:ascii="Times New Roman" w:cs="Times New Roman"/>
      <w:sz w:val="36"/>
      <w:szCs w:val="36"/>
    </w:rPr>
  </w:style>
  <w:style w:type="paragraph" w:customStyle="1" w:styleId="138">
    <w:name w:val="Char"/>
    <w:basedOn w:val="1"/>
    <w:qFormat/>
    <w:uiPriority w:val="0"/>
    <w:pPr>
      <w:tabs>
        <w:tab w:val="left" w:pos="360"/>
      </w:tabs>
      <w:autoSpaceDE/>
      <w:autoSpaceDN/>
      <w:adjustRightInd/>
      <w:jc w:val="both"/>
    </w:pPr>
    <w:rPr>
      <w:rFonts w:ascii="Times New Roman" w:cs="Times New Roman"/>
      <w:kern w:val="2"/>
      <w:sz w:val="24"/>
      <w:szCs w:val="24"/>
    </w:rPr>
  </w:style>
  <w:style w:type="paragraph" w:customStyle="1" w:styleId="139">
    <w:name w:val="Char Char Char Char Char Char Char Char Char Char Char Char Char Char Char Char"/>
    <w:basedOn w:val="1"/>
    <w:qFormat/>
    <w:uiPriority w:val="0"/>
    <w:pPr>
      <w:widowControl/>
      <w:autoSpaceDE/>
      <w:autoSpaceDN/>
      <w:adjustRightInd/>
      <w:spacing w:after="160" w:line="240" w:lineRule="exact"/>
      <w:jc w:val="center"/>
    </w:pPr>
    <w:rPr>
      <w:rFonts w:hAnsi="宋体" w:cs="Times New Roman"/>
      <w:b/>
      <w:sz w:val="30"/>
      <w:szCs w:val="30"/>
      <w:lang w:eastAsia="en-US"/>
    </w:rPr>
  </w:style>
  <w:style w:type="paragraph" w:customStyle="1" w:styleId="140">
    <w:name w:val="xl45"/>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41">
    <w:name w:val="Char Char1 Char Char Char Char Char Char"/>
    <w:basedOn w:val="1"/>
    <w:qFormat/>
    <w:uiPriority w:val="0"/>
    <w:pPr>
      <w:widowControl/>
      <w:autoSpaceDE/>
      <w:autoSpaceDN/>
      <w:adjustRightInd/>
      <w:spacing w:after="160" w:line="240" w:lineRule="exact"/>
    </w:pPr>
    <w:rPr>
      <w:rFonts w:ascii="Verdana" w:hAnsi="Verdana" w:eastAsia="仿宋_GB2312" w:cs="Times New Roman"/>
      <w:sz w:val="24"/>
      <w:szCs w:val="20"/>
      <w:lang w:eastAsia="en-US"/>
    </w:rPr>
  </w:style>
  <w:style w:type="paragraph" w:customStyle="1" w:styleId="142">
    <w:name w:val="Char Char1"/>
    <w:basedOn w:val="14"/>
    <w:qFormat/>
    <w:uiPriority w:val="0"/>
    <w:rPr>
      <w:rFonts w:ascii="Tahoma" w:hAnsi="Tahoma"/>
      <w:sz w:val="24"/>
    </w:rPr>
  </w:style>
  <w:style w:type="paragraph" w:customStyle="1" w:styleId="143">
    <w:name w:val="xl2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eastAsia="Arial Unicode MS" w:cs="Times New Roman"/>
      <w:color w:val="000000"/>
    </w:rPr>
  </w:style>
  <w:style w:type="paragraph" w:customStyle="1" w:styleId="144">
    <w:name w:val="xl3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45">
    <w:name w:val="xl41"/>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46">
    <w:name w:val="样式 宋体 五号 行距: 单倍行距"/>
    <w:basedOn w:val="1"/>
    <w:qFormat/>
    <w:uiPriority w:val="0"/>
    <w:pPr>
      <w:autoSpaceDE/>
      <w:autoSpaceDN/>
      <w:textAlignment w:val="baseline"/>
    </w:pPr>
    <w:rPr>
      <w:rFonts w:hAnsi="宋体" w:cs="Times New Roman"/>
      <w:sz w:val="21"/>
      <w:szCs w:val="20"/>
    </w:rPr>
  </w:style>
  <w:style w:type="paragraph" w:customStyle="1" w:styleId="147">
    <w:name w:val="Char1 Char Char Char1"/>
    <w:basedOn w:val="1"/>
    <w:qFormat/>
    <w:uiPriority w:val="0"/>
    <w:pPr>
      <w:autoSpaceDE/>
      <w:autoSpaceDN/>
      <w:adjustRightInd/>
      <w:jc w:val="both"/>
    </w:pPr>
    <w:rPr>
      <w:rFonts w:ascii="Tahoma" w:hAnsi="Tahoma" w:cs="仿宋_GB2312"/>
      <w:kern w:val="2"/>
      <w:sz w:val="24"/>
      <w:szCs w:val="28"/>
    </w:rPr>
  </w:style>
  <w:style w:type="paragraph" w:customStyle="1" w:styleId="148">
    <w:name w:val="四级条标题"/>
    <w:basedOn w:val="149"/>
    <w:next w:val="1"/>
    <w:qFormat/>
    <w:uiPriority w:val="0"/>
    <w:pPr>
      <w:numPr>
        <w:ilvl w:val="4"/>
      </w:numPr>
      <w:tabs>
        <w:tab w:val="left" w:pos="360"/>
        <w:tab w:val="left" w:pos="840"/>
      </w:tabs>
      <w:outlineLvl w:val="4"/>
    </w:pPr>
  </w:style>
  <w:style w:type="paragraph" w:customStyle="1" w:styleId="149">
    <w:name w:val="三级条标题"/>
    <w:basedOn w:val="111"/>
    <w:next w:val="1"/>
    <w:qFormat/>
    <w:uiPriority w:val="0"/>
    <w:pPr>
      <w:numPr>
        <w:ilvl w:val="3"/>
        <w:numId w:val="1"/>
      </w:numPr>
      <w:outlineLvl w:val="3"/>
    </w:pPr>
  </w:style>
  <w:style w:type="paragraph" w:customStyle="1" w:styleId="15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1">
    <w:name w:val="样式 标题 2 + 宋体 五号 行距: 单倍行距"/>
    <w:basedOn w:val="3"/>
    <w:qFormat/>
    <w:uiPriority w:val="0"/>
    <w:pPr>
      <w:keepNext/>
      <w:keepLines/>
      <w:numPr>
        <w:ilvl w:val="1"/>
        <w:numId w:val="4"/>
      </w:numPr>
      <w:autoSpaceDE/>
      <w:autoSpaceDN/>
      <w:spacing w:before="260" w:after="260"/>
      <w:ind w:left="1348" w:hanging="348"/>
      <w:textAlignment w:val="baseline"/>
    </w:pPr>
    <w:rPr>
      <w:rFonts w:hAnsi="宋体" w:cs="Times New Roman"/>
      <w:b/>
      <w:bCs/>
      <w:sz w:val="21"/>
      <w:szCs w:val="20"/>
    </w:rPr>
  </w:style>
  <w:style w:type="paragraph" w:customStyle="1" w:styleId="152">
    <w:name w:val="List Paragraph1"/>
    <w:basedOn w:val="1"/>
    <w:qFormat/>
    <w:uiPriority w:val="0"/>
    <w:pPr>
      <w:autoSpaceDE/>
      <w:autoSpaceDN/>
      <w:adjustRightInd/>
      <w:ind w:firstLine="420" w:firstLineChars="200"/>
      <w:jc w:val="both"/>
    </w:pPr>
    <w:rPr>
      <w:rFonts w:ascii="Calibri" w:hAnsi="Calibri" w:cs="Times New Roman"/>
      <w:kern w:val="2"/>
      <w:sz w:val="21"/>
    </w:rPr>
  </w:style>
  <w:style w:type="paragraph" w:customStyle="1" w:styleId="153">
    <w:name w:val="项目符号1"/>
    <w:basedOn w:val="154"/>
    <w:qFormat/>
    <w:uiPriority w:val="0"/>
    <w:pPr>
      <w:ind w:left="-25" w:firstLine="0"/>
    </w:pPr>
  </w:style>
  <w:style w:type="paragraph" w:customStyle="1" w:styleId="154">
    <w:name w:val="正文文本样式"/>
    <w:basedOn w:val="1"/>
    <w:qFormat/>
    <w:uiPriority w:val="0"/>
    <w:pPr>
      <w:autoSpaceDE/>
      <w:autoSpaceDN/>
      <w:adjustRightInd/>
      <w:spacing w:line="360" w:lineRule="auto"/>
      <w:ind w:firstLine="482"/>
      <w:jc w:val="both"/>
    </w:pPr>
    <w:rPr>
      <w:rFonts w:ascii="Times New Roman"/>
      <w:kern w:val="2"/>
      <w:sz w:val="24"/>
      <w:szCs w:val="20"/>
    </w:rPr>
  </w:style>
  <w:style w:type="paragraph" w:customStyle="1" w:styleId="155">
    <w:name w:val="xl2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eastAsia="Arial Unicode MS" w:cs="Times New Roman"/>
      <w:color w:val="000000"/>
      <w:sz w:val="20"/>
      <w:szCs w:val="20"/>
    </w:rPr>
  </w:style>
  <w:style w:type="paragraph" w:customStyle="1" w:styleId="156">
    <w:name w:val="font5"/>
    <w:basedOn w:val="1"/>
    <w:qFormat/>
    <w:uiPriority w:val="0"/>
    <w:pPr>
      <w:widowControl/>
      <w:autoSpaceDE/>
      <w:autoSpaceDN/>
      <w:adjustRightInd/>
      <w:spacing w:before="100" w:beforeAutospacing="1" w:after="100" w:afterAutospacing="1"/>
    </w:pPr>
    <w:rPr>
      <w:rFonts w:hAnsi="宋体"/>
      <w:sz w:val="18"/>
      <w:szCs w:val="18"/>
    </w:rPr>
  </w:style>
  <w:style w:type="paragraph" w:customStyle="1" w:styleId="157">
    <w:name w:val="五级条标题"/>
    <w:basedOn w:val="148"/>
    <w:next w:val="1"/>
    <w:qFormat/>
    <w:uiPriority w:val="0"/>
    <w:pPr>
      <w:numPr>
        <w:ilvl w:val="5"/>
      </w:numPr>
      <w:outlineLvl w:val="5"/>
    </w:pPr>
  </w:style>
  <w:style w:type="paragraph" w:customStyle="1" w:styleId="158">
    <w:name w:val="xl4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rPr>
  </w:style>
  <w:style w:type="paragraph" w:customStyle="1" w:styleId="159">
    <w:name w:val="文档正文"/>
    <w:basedOn w:val="1"/>
    <w:qFormat/>
    <w:uiPriority w:val="0"/>
    <w:pPr>
      <w:autoSpaceDE/>
      <w:autoSpaceDN/>
      <w:adjustRightInd/>
      <w:snapToGrid w:val="0"/>
      <w:spacing w:before="120" w:after="120" w:line="180" w:lineRule="auto"/>
      <w:jc w:val="both"/>
    </w:pPr>
    <w:rPr>
      <w:rFonts w:ascii="Arial" w:hAnsi="Arial" w:cs="Times New Roman"/>
      <w:kern w:val="2"/>
      <w:sz w:val="21"/>
      <w:szCs w:val="20"/>
    </w:rPr>
  </w:style>
  <w:style w:type="paragraph" w:customStyle="1" w:styleId="160">
    <w:name w:val="xl3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eastAsia="Arial Unicode MS" w:cs="Times New Roman"/>
      <w:color w:val="000000"/>
      <w:sz w:val="20"/>
      <w:szCs w:val="20"/>
    </w:rPr>
  </w:style>
  <w:style w:type="paragraph" w:customStyle="1" w:styleId="161">
    <w:name w:val="xl4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eastAsia="Arial Unicode MS" w:cs="Times New Roman"/>
      <w:b/>
      <w:bCs/>
      <w:color w:val="000000"/>
      <w:sz w:val="20"/>
      <w:szCs w:val="20"/>
    </w:rPr>
  </w:style>
  <w:style w:type="paragraph" w:customStyle="1" w:styleId="162">
    <w:name w:val="Char Char Char1 Char"/>
    <w:basedOn w:val="1"/>
    <w:qFormat/>
    <w:uiPriority w:val="0"/>
    <w:pPr>
      <w:autoSpaceDE/>
      <w:autoSpaceDN/>
      <w:adjustRightInd/>
      <w:jc w:val="both"/>
    </w:pPr>
    <w:rPr>
      <w:rFonts w:ascii="Tahoma" w:hAnsi="Tahoma" w:cs="Times New Roman"/>
      <w:kern w:val="2"/>
      <w:sz w:val="24"/>
      <w:szCs w:val="20"/>
    </w:rPr>
  </w:style>
  <w:style w:type="paragraph" w:customStyle="1" w:styleId="163">
    <w:name w:val="xl44"/>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sz w:val="24"/>
      <w:szCs w:val="24"/>
    </w:rPr>
  </w:style>
  <w:style w:type="paragraph" w:customStyle="1" w:styleId="164">
    <w:name w:val="1名"/>
    <w:basedOn w:val="1"/>
    <w:qFormat/>
    <w:uiPriority w:val="0"/>
    <w:pPr>
      <w:numPr>
        <w:ilvl w:val="0"/>
        <w:numId w:val="5"/>
      </w:numPr>
      <w:tabs>
        <w:tab w:val="clear" w:pos="360"/>
      </w:tabs>
      <w:autoSpaceDE/>
      <w:autoSpaceDN/>
      <w:adjustRightInd/>
      <w:spacing w:before="120"/>
      <w:ind w:left="541" w:hanging="229"/>
      <w:jc w:val="both"/>
    </w:pPr>
    <w:rPr>
      <w:rFonts w:cs="Times New Roman"/>
      <w:kern w:val="2"/>
      <w:sz w:val="28"/>
      <w:szCs w:val="20"/>
    </w:rPr>
  </w:style>
  <w:style w:type="paragraph" w:customStyle="1" w:styleId="165">
    <w:name w:val="font9"/>
    <w:basedOn w:val="1"/>
    <w:qFormat/>
    <w:uiPriority w:val="0"/>
    <w:pPr>
      <w:widowControl/>
      <w:autoSpaceDE/>
      <w:autoSpaceDN/>
      <w:adjustRightInd/>
      <w:spacing w:before="100" w:beforeAutospacing="1" w:after="100" w:afterAutospacing="1"/>
    </w:pPr>
    <w:rPr>
      <w:rFonts w:hAnsi="宋体" w:cs="Arial Unicode MS"/>
      <w:color w:val="000000"/>
      <w:sz w:val="20"/>
      <w:szCs w:val="20"/>
    </w:rPr>
  </w:style>
  <w:style w:type="paragraph" w:customStyle="1" w:styleId="166">
    <w:name w:val="Char Char Char1 Char1"/>
    <w:basedOn w:val="1"/>
    <w:qFormat/>
    <w:uiPriority w:val="0"/>
    <w:pPr>
      <w:autoSpaceDE/>
      <w:autoSpaceDN/>
      <w:adjustRightInd/>
      <w:jc w:val="both"/>
    </w:pPr>
    <w:rPr>
      <w:rFonts w:ascii="Tahoma" w:hAnsi="Tahoma" w:cs="Times New Roman"/>
      <w:kern w:val="2"/>
      <w:sz w:val="24"/>
      <w:szCs w:val="20"/>
    </w:rPr>
  </w:style>
  <w:style w:type="paragraph" w:customStyle="1" w:styleId="167">
    <w:name w:val="Char Char Char Char Char Char Char Char Char Char"/>
    <w:basedOn w:val="1"/>
    <w:qFormat/>
    <w:uiPriority w:val="0"/>
    <w:pPr>
      <w:autoSpaceDE/>
      <w:autoSpaceDN/>
      <w:adjustRightInd/>
      <w:jc w:val="both"/>
    </w:pPr>
    <w:rPr>
      <w:rFonts w:ascii="Times New Roman" w:cs="Times New Roman"/>
      <w:kern w:val="2"/>
      <w:sz w:val="21"/>
      <w:szCs w:val="24"/>
    </w:rPr>
  </w:style>
  <w:style w:type="paragraph" w:customStyle="1" w:styleId="168">
    <w:name w:val="Char Char1 Char Char Char Char Char Char Char Char"/>
    <w:basedOn w:val="1"/>
    <w:qFormat/>
    <w:uiPriority w:val="0"/>
    <w:pPr>
      <w:widowControl/>
      <w:autoSpaceDE/>
      <w:autoSpaceDN/>
      <w:adjustRightInd/>
      <w:spacing w:after="160" w:line="240" w:lineRule="exact"/>
    </w:pPr>
    <w:rPr>
      <w:rFonts w:ascii="Verdana" w:hAnsi="Verdana" w:cs="Times New Roman"/>
      <w:sz w:val="20"/>
      <w:szCs w:val="20"/>
      <w:lang w:eastAsia="en-US"/>
    </w:rPr>
  </w:style>
  <w:style w:type="paragraph" w:customStyle="1" w:styleId="169">
    <w:name w:val="Char1"/>
    <w:basedOn w:val="1"/>
    <w:qFormat/>
    <w:uiPriority w:val="0"/>
    <w:pPr>
      <w:tabs>
        <w:tab w:val="left" w:pos="360"/>
      </w:tabs>
      <w:autoSpaceDE/>
      <w:autoSpaceDN/>
      <w:adjustRightInd/>
      <w:jc w:val="both"/>
    </w:pPr>
    <w:rPr>
      <w:rFonts w:ascii="Times New Roman" w:cs="Times New Roman"/>
      <w:kern w:val="2"/>
      <w:sz w:val="24"/>
      <w:szCs w:val="24"/>
    </w:rPr>
  </w:style>
  <w:style w:type="paragraph" w:customStyle="1" w:styleId="170">
    <w:name w:val="正文列项_字母"/>
    <w:basedOn w:val="1"/>
    <w:qFormat/>
    <w:uiPriority w:val="0"/>
    <w:pPr>
      <w:numPr>
        <w:ilvl w:val="6"/>
        <w:numId w:val="1"/>
      </w:numPr>
      <w:adjustRightInd/>
      <w:spacing w:line="460" w:lineRule="exact"/>
      <w:ind w:left="480" w:leftChars="300" w:hanging="180" w:hangingChars="180"/>
      <w:jc w:val="both"/>
      <w:outlineLvl w:val="6"/>
    </w:pPr>
    <w:rPr>
      <w:rFonts w:cs="Times New Roman"/>
      <w:sz w:val="28"/>
      <w:szCs w:val="20"/>
    </w:rPr>
  </w:style>
  <w:style w:type="paragraph" w:customStyle="1" w:styleId="171">
    <w:name w:val="xl2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72">
    <w:name w:val="xl47"/>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73">
    <w:name w:val="默认段落字体 Para Char Char Char Char"/>
    <w:basedOn w:val="1"/>
    <w:qFormat/>
    <w:uiPriority w:val="0"/>
    <w:pPr>
      <w:autoSpaceDE/>
      <w:autoSpaceDN/>
      <w:adjustRightInd/>
      <w:jc w:val="both"/>
    </w:pPr>
    <w:rPr>
      <w:rFonts w:ascii="Arial" w:hAnsi="Arial" w:cs="Arial"/>
      <w:kern w:val="2"/>
      <w:sz w:val="21"/>
      <w:szCs w:val="21"/>
    </w:rPr>
  </w:style>
  <w:style w:type="paragraph" w:customStyle="1" w:styleId="174">
    <w:name w:val="xl4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b/>
      <w:bCs/>
      <w:color w:val="000000"/>
    </w:rPr>
  </w:style>
  <w:style w:type="paragraph" w:customStyle="1" w:styleId="175">
    <w:name w:val="xl3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Times New Roman" w:eastAsia="Arial Unicode MS" w:cs="Times New Roman"/>
      <w:color w:val="000000"/>
      <w:sz w:val="20"/>
      <w:szCs w:val="20"/>
    </w:rPr>
  </w:style>
  <w:style w:type="paragraph" w:customStyle="1" w:styleId="176">
    <w:name w:val="xl5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rFonts w:ascii="Arial Unicode MS" w:hAnsi="Arial Unicode MS" w:eastAsia="Arial Unicode MS" w:cs="Arial Unicode MS"/>
      <w:b/>
      <w:bCs/>
      <w:color w:val="000000"/>
      <w:sz w:val="20"/>
      <w:szCs w:val="20"/>
    </w:rPr>
  </w:style>
  <w:style w:type="paragraph" w:customStyle="1" w:styleId="177">
    <w:name w:val="Char Char Char"/>
    <w:basedOn w:val="1"/>
    <w:qFormat/>
    <w:uiPriority w:val="0"/>
    <w:pPr>
      <w:autoSpaceDE/>
      <w:autoSpaceDN/>
      <w:adjustRightInd/>
      <w:jc w:val="both"/>
    </w:pPr>
    <w:rPr>
      <w:rFonts w:ascii="Tahoma" w:hAnsi="Tahoma" w:cs="Times New Roman"/>
      <w:kern w:val="2"/>
      <w:sz w:val="24"/>
      <w:szCs w:val="20"/>
    </w:rPr>
  </w:style>
  <w:style w:type="paragraph" w:customStyle="1" w:styleId="178">
    <w:name w:val="xl5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179">
    <w:name w:val="缺省文本"/>
    <w:basedOn w:val="1"/>
    <w:qFormat/>
    <w:uiPriority w:val="0"/>
    <w:rPr>
      <w:rFonts w:ascii="Times New Roman" w:cs="Times New Roman"/>
      <w:sz w:val="24"/>
      <w:szCs w:val="24"/>
    </w:rPr>
  </w:style>
  <w:style w:type="paragraph" w:customStyle="1" w:styleId="180">
    <w:name w:val="Char Char Char1"/>
    <w:basedOn w:val="1"/>
    <w:qFormat/>
    <w:uiPriority w:val="0"/>
    <w:pPr>
      <w:autoSpaceDE/>
      <w:autoSpaceDN/>
      <w:adjustRightInd/>
      <w:jc w:val="both"/>
    </w:pPr>
    <w:rPr>
      <w:rFonts w:ascii="Tahoma" w:hAnsi="Tahoma" w:cs="Times New Roman"/>
      <w:kern w:val="2"/>
      <w:sz w:val="24"/>
      <w:szCs w:val="20"/>
    </w:rPr>
  </w:style>
  <w:style w:type="paragraph" w:customStyle="1" w:styleId="181">
    <w:name w:val="Char Char Char Char Char Char Char1"/>
    <w:basedOn w:val="1"/>
    <w:qFormat/>
    <w:uiPriority w:val="0"/>
    <w:pPr>
      <w:autoSpaceDE/>
      <w:autoSpaceDN/>
      <w:adjustRightInd/>
      <w:snapToGrid w:val="0"/>
      <w:spacing w:line="360" w:lineRule="auto"/>
      <w:ind w:firstLine="200" w:firstLineChars="200"/>
      <w:jc w:val="both"/>
    </w:pPr>
    <w:rPr>
      <w:rFonts w:ascii="Times New Roman" w:eastAsia="仿宋_GB2312" w:cs="Times New Roman"/>
      <w:kern w:val="2"/>
      <w:sz w:val="24"/>
      <w:szCs w:val="24"/>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Arial Unicode MS" w:hAnsi="Arial Unicode MS" w:eastAsia="Arial Unicode MS" w:cs="Arial Unicode MS"/>
      <w:b/>
      <w:bCs/>
      <w:color w:val="000000"/>
      <w:sz w:val="20"/>
      <w:szCs w:val="20"/>
    </w:rPr>
  </w:style>
  <w:style w:type="paragraph" w:customStyle="1" w:styleId="183">
    <w:name w:val="样式2"/>
    <w:basedOn w:val="39"/>
    <w:qFormat/>
    <w:uiPriority w:val="0"/>
    <w:pPr>
      <w:spacing w:line="360" w:lineRule="auto"/>
      <w:jc w:val="center"/>
    </w:pPr>
    <w:rPr>
      <w:sz w:val="24"/>
    </w:rPr>
  </w:style>
  <w:style w:type="paragraph" w:customStyle="1" w:styleId="184">
    <w:name w:val="xl2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85">
    <w:name w:val="xl2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Times New Roman" w:cs="Times New Roman"/>
      <w:sz w:val="20"/>
      <w:szCs w:val="20"/>
    </w:rPr>
  </w:style>
  <w:style w:type="paragraph" w:customStyle="1" w:styleId="186">
    <w:name w:val="正文 + 楷体_GB2312"/>
    <w:basedOn w:val="1"/>
    <w:qFormat/>
    <w:uiPriority w:val="0"/>
    <w:pPr>
      <w:widowControl/>
      <w:autoSpaceDE/>
      <w:autoSpaceDN/>
      <w:adjustRightInd/>
    </w:pPr>
    <w:rPr>
      <w:rFonts w:ascii="楷体_GB2312" w:eastAsia="楷体_GB2312" w:cs="Arial"/>
      <w:sz w:val="24"/>
      <w:szCs w:val="24"/>
    </w:rPr>
  </w:style>
  <w:style w:type="paragraph" w:customStyle="1" w:styleId="187">
    <w:name w:val="xl3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Times New Roman" w:cs="Times New Roman"/>
      <w:color w:val="FF6600"/>
      <w:sz w:val="20"/>
      <w:szCs w:val="20"/>
    </w:rPr>
  </w:style>
  <w:style w:type="paragraph" w:customStyle="1" w:styleId="188">
    <w:name w:val="1 Char Char Char Char"/>
    <w:basedOn w:val="1"/>
    <w:qFormat/>
    <w:uiPriority w:val="0"/>
    <w:pPr>
      <w:autoSpaceDE/>
      <w:autoSpaceDN/>
      <w:adjustRightInd/>
      <w:jc w:val="both"/>
    </w:pPr>
    <w:rPr>
      <w:rFonts w:ascii="Tahoma" w:hAnsi="Tahoma" w:cs="Times New Roman"/>
      <w:kern w:val="2"/>
      <w:sz w:val="24"/>
      <w:szCs w:val="20"/>
    </w:rPr>
  </w:style>
  <w:style w:type="paragraph" w:customStyle="1" w:styleId="189">
    <w:name w:val="列出段落1"/>
    <w:basedOn w:val="1"/>
    <w:qFormat/>
    <w:uiPriority w:val="0"/>
    <w:pPr>
      <w:autoSpaceDE/>
      <w:autoSpaceDN/>
      <w:adjustRightInd/>
      <w:ind w:firstLine="420" w:firstLineChars="200"/>
      <w:jc w:val="both"/>
    </w:pPr>
    <w:rPr>
      <w:rFonts w:ascii="Calibri" w:hAnsi="Calibri" w:cs="Times New Roman"/>
      <w:kern w:val="2"/>
      <w:sz w:val="21"/>
    </w:rPr>
  </w:style>
  <w:style w:type="paragraph" w:customStyle="1" w:styleId="190">
    <w:name w:val="default"/>
    <w:basedOn w:val="1"/>
    <w:qFormat/>
    <w:uiPriority w:val="0"/>
    <w:pPr>
      <w:widowControl/>
      <w:autoSpaceDE/>
      <w:autoSpaceDN/>
      <w:adjustRightInd/>
      <w:spacing w:before="100" w:beforeAutospacing="1" w:after="100" w:afterAutospacing="1"/>
    </w:pPr>
    <w:rPr>
      <w:rFonts w:hAnsi="宋体"/>
      <w:sz w:val="24"/>
      <w:szCs w:val="24"/>
    </w:rPr>
  </w:style>
  <w:style w:type="paragraph" w:customStyle="1" w:styleId="191">
    <w:name w:val="字元 字元1"/>
    <w:basedOn w:val="1"/>
    <w:qFormat/>
    <w:uiPriority w:val="0"/>
    <w:pPr>
      <w:autoSpaceDE/>
      <w:autoSpaceDN/>
      <w:adjustRightInd/>
      <w:jc w:val="both"/>
    </w:pPr>
    <w:rPr>
      <w:rFonts w:ascii="Tahoma" w:hAnsi="Tahoma" w:cs="Times New Roman"/>
      <w:kern w:val="2"/>
      <w:sz w:val="24"/>
      <w:szCs w:val="20"/>
    </w:rPr>
  </w:style>
  <w:style w:type="paragraph" w:customStyle="1" w:styleId="192">
    <w:name w:val="_Style 160"/>
    <w:qFormat/>
    <w:uiPriority w:val="0"/>
    <w:rPr>
      <w:rFonts w:ascii="Times New Roman" w:hAnsi="Times New Roman" w:eastAsia="宋体" w:cs="Times New Roman"/>
      <w:kern w:val="2"/>
      <w:sz w:val="21"/>
      <w:szCs w:val="24"/>
      <w:lang w:val="en-US" w:eastAsia="zh-CN" w:bidi="ar-SA"/>
    </w:rPr>
  </w:style>
  <w:style w:type="paragraph" w:customStyle="1" w:styleId="193">
    <w:name w:val="项目编号3"/>
    <w:basedOn w:val="154"/>
    <w:qFormat/>
    <w:uiPriority w:val="0"/>
    <w:pPr>
      <w:numPr>
        <w:ilvl w:val="0"/>
        <w:numId w:val="6"/>
      </w:numPr>
      <w:ind w:left="1605" w:hanging="633"/>
    </w:pPr>
  </w:style>
  <w:style w:type="paragraph" w:customStyle="1" w:styleId="194">
    <w:name w:val="Char21"/>
    <w:basedOn w:val="1"/>
    <w:qFormat/>
    <w:uiPriority w:val="0"/>
    <w:pPr>
      <w:autoSpaceDE/>
      <w:autoSpaceDN/>
      <w:adjustRightInd/>
      <w:jc w:val="both"/>
    </w:pPr>
    <w:rPr>
      <w:rFonts w:ascii="Tahoma" w:hAnsi="Tahoma" w:cs="Times New Roman"/>
      <w:kern w:val="2"/>
      <w:sz w:val="24"/>
      <w:szCs w:val="20"/>
    </w:rPr>
  </w:style>
  <w:style w:type="paragraph" w:customStyle="1" w:styleId="19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6">
    <w:name w:val="Char Char Char Char Char Char Char Char Char Char1"/>
    <w:basedOn w:val="1"/>
    <w:qFormat/>
    <w:uiPriority w:val="0"/>
    <w:pPr>
      <w:autoSpaceDE/>
      <w:autoSpaceDN/>
      <w:adjustRightInd/>
      <w:jc w:val="both"/>
    </w:pPr>
    <w:rPr>
      <w:rFonts w:hAnsi="宋体" w:cs="Courier New"/>
      <w:kern w:val="2"/>
      <w:sz w:val="32"/>
      <w:szCs w:val="32"/>
    </w:rPr>
  </w:style>
  <w:style w:type="paragraph" w:customStyle="1" w:styleId="197">
    <w:name w:val="正文文本样式 加粗"/>
    <w:basedOn w:val="154"/>
    <w:qFormat/>
    <w:uiPriority w:val="0"/>
    <w:rPr>
      <w:b/>
    </w:rPr>
  </w:style>
  <w:style w:type="paragraph" w:customStyle="1" w:styleId="198">
    <w:name w:val="Char2 Char Char Char Char Char Char"/>
    <w:basedOn w:val="1"/>
    <w:qFormat/>
    <w:uiPriority w:val="0"/>
    <w:pPr>
      <w:widowControl/>
      <w:autoSpaceDE/>
      <w:autoSpaceDN/>
      <w:adjustRightInd/>
      <w:spacing w:line="400" w:lineRule="exact"/>
      <w:jc w:val="center"/>
    </w:pPr>
    <w:rPr>
      <w:rFonts w:ascii="Times New Roman" w:cs="Times New Roman"/>
      <w:kern w:val="2"/>
      <w:sz w:val="21"/>
      <w:szCs w:val="24"/>
    </w:rPr>
  </w:style>
  <w:style w:type="paragraph" w:customStyle="1" w:styleId="199">
    <w:name w:val="Char Char4"/>
    <w:basedOn w:val="1"/>
    <w:qFormat/>
    <w:uiPriority w:val="0"/>
    <w:pPr>
      <w:widowControl/>
      <w:autoSpaceDE/>
      <w:autoSpaceDN/>
      <w:adjustRightInd/>
      <w:spacing w:line="400" w:lineRule="exact"/>
      <w:jc w:val="center"/>
    </w:pPr>
    <w:rPr>
      <w:rFonts w:ascii="Times New Roman" w:cs="Times New Roman"/>
      <w:kern w:val="2"/>
      <w:sz w:val="21"/>
      <w:szCs w:val="24"/>
    </w:rPr>
  </w:style>
  <w:style w:type="paragraph" w:customStyle="1" w:styleId="200">
    <w:name w:val="Char3 Char Char Char1"/>
    <w:basedOn w:val="1"/>
    <w:qFormat/>
    <w:uiPriority w:val="0"/>
    <w:pPr>
      <w:autoSpaceDE/>
      <w:autoSpaceDN/>
      <w:adjustRightInd/>
      <w:jc w:val="both"/>
    </w:pPr>
    <w:rPr>
      <w:rFonts w:ascii="Tahoma" w:hAnsi="Tahoma" w:cs="Times New Roman"/>
      <w:kern w:val="2"/>
      <w:sz w:val="24"/>
      <w:szCs w:val="20"/>
    </w:rPr>
  </w:style>
  <w:style w:type="paragraph" w:styleId="20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22222222222222"/>
    <w:basedOn w:val="1"/>
    <w:qFormat/>
    <w:uiPriority w:val="0"/>
    <w:pPr>
      <w:widowControl/>
      <w:autoSpaceDE/>
      <w:autoSpaceDN/>
      <w:spacing w:line="360" w:lineRule="auto"/>
      <w:ind w:firstLine="480" w:firstLineChars="200"/>
    </w:pPr>
    <w:rPr>
      <w:rFonts w:ascii="Times New Roman" w:cs="Times New Roman"/>
      <w:color w:val="FF0000"/>
      <w:sz w:val="24"/>
      <w:szCs w:val="20"/>
    </w:rPr>
  </w:style>
  <w:style w:type="character" w:customStyle="1" w:styleId="203">
    <w:name w:val="中等深浅网格 1 - 强调文字颜色 2 Char"/>
    <w:link w:val="204"/>
    <w:qFormat/>
    <w:uiPriority w:val="0"/>
    <w:rPr>
      <w:sz w:val="24"/>
      <w:lang w:val="zh-CN" w:eastAsia="zh-CN"/>
    </w:rPr>
  </w:style>
  <w:style w:type="paragraph" w:customStyle="1" w:styleId="204">
    <w:name w:val="1"/>
    <w:next w:val="1"/>
    <w:link w:val="203"/>
    <w:qFormat/>
    <w:uiPriority w:val="0"/>
    <w:rPr>
      <w:rFonts w:cs="Times New Roman" w:asciiTheme="minorHAnsi" w:hAnsiTheme="minorHAnsi" w:eastAsiaTheme="minorEastAsia"/>
      <w:kern w:val="2"/>
      <w:sz w:val="21"/>
      <w:szCs w:val="24"/>
      <w:lang w:val="zh-CN" w:eastAsia="zh-CN" w:bidi="ar-SA"/>
    </w:rPr>
  </w:style>
  <w:style w:type="paragraph" w:customStyle="1" w:styleId="205">
    <w:name w:val="图文"/>
    <w:basedOn w:val="1"/>
    <w:qFormat/>
    <w:uiPriority w:val="0"/>
    <w:pPr>
      <w:autoSpaceDE/>
      <w:autoSpaceDN/>
      <w:snapToGrid w:val="0"/>
      <w:spacing w:after="50" w:line="360" w:lineRule="auto"/>
      <w:jc w:val="both"/>
    </w:pPr>
    <w:rPr>
      <w:rFonts w:ascii="Times New Roman" w:cs="Times New Roman"/>
      <w:kern w:val="2"/>
      <w:sz w:val="24"/>
      <w:szCs w:val="24"/>
    </w:rPr>
  </w:style>
  <w:style w:type="paragraph" w:customStyle="1" w:styleId="206">
    <w:name w:val="xl23"/>
    <w:basedOn w:val="1"/>
    <w:qFormat/>
    <w:uiPriority w:val="0"/>
    <w:pPr>
      <w:widowControl/>
      <w:autoSpaceDE/>
      <w:autoSpaceDN/>
      <w:adjustRightInd/>
      <w:spacing w:before="100" w:beforeAutospacing="1" w:after="100" w:afterAutospacing="1" w:line="360" w:lineRule="auto"/>
      <w:jc w:val="both"/>
      <w:textAlignment w:val="top"/>
    </w:pPr>
    <w:rPr>
      <w:rFonts w:ascii="Times New Roman" w:cs="Times New Roman"/>
      <w:sz w:val="24"/>
      <w:szCs w:val="20"/>
    </w:rPr>
  </w:style>
  <w:style w:type="paragraph" w:customStyle="1" w:styleId="207">
    <w:name w:val="正文表格"/>
    <w:basedOn w:val="1"/>
    <w:link w:val="208"/>
    <w:qFormat/>
    <w:uiPriority w:val="0"/>
    <w:pPr>
      <w:autoSpaceDE/>
      <w:autoSpaceDN/>
      <w:snapToGrid w:val="0"/>
    </w:pPr>
    <w:rPr>
      <w:rFonts w:hAnsi="宋体" w:cs="Times New Roman"/>
      <w:color w:val="000000"/>
      <w:kern w:val="2"/>
      <w:sz w:val="21"/>
      <w:szCs w:val="21"/>
    </w:rPr>
  </w:style>
  <w:style w:type="character" w:customStyle="1" w:styleId="208">
    <w:name w:val="正文表格 Char"/>
    <w:link w:val="207"/>
    <w:qFormat/>
    <w:uiPriority w:val="0"/>
    <w:rPr>
      <w:rFonts w:ascii="宋体" w:hAnsi="宋体" w:eastAsia="宋体"/>
      <w:color w:val="000000"/>
      <w:sz w:val="21"/>
    </w:rPr>
  </w:style>
  <w:style w:type="paragraph" w:customStyle="1" w:styleId="209">
    <w:name w:val="正文重点"/>
    <w:basedOn w:val="1"/>
    <w:link w:val="210"/>
    <w:qFormat/>
    <w:uiPriority w:val="0"/>
    <w:pPr>
      <w:autoSpaceDE/>
      <w:autoSpaceDN/>
      <w:spacing w:line="360" w:lineRule="auto"/>
      <w:ind w:firstLine="482" w:firstLineChars="200"/>
      <w:textAlignment w:val="baseline"/>
    </w:pPr>
    <w:rPr>
      <w:rFonts w:ascii="Times New Roman" w:cs="Times New Roman"/>
      <w:b/>
      <w:sz w:val="24"/>
      <w:szCs w:val="20"/>
    </w:rPr>
  </w:style>
  <w:style w:type="character" w:customStyle="1" w:styleId="210">
    <w:name w:val="正文重点 Char"/>
    <w:link w:val="209"/>
    <w:qFormat/>
    <w:uiPriority w:val="0"/>
    <w:rPr>
      <w:rFonts w:ascii="Times New Roman" w:hAnsi="Times New Roman" w:eastAsia="宋体"/>
      <w:b/>
      <w:kern w:val="0"/>
      <w:sz w:val="20"/>
    </w:rPr>
  </w:style>
  <w:style w:type="paragraph" w:customStyle="1" w:styleId="211">
    <w:name w:val="正文小标题"/>
    <w:basedOn w:val="1"/>
    <w:next w:val="12"/>
    <w:link w:val="212"/>
    <w:qFormat/>
    <w:uiPriority w:val="0"/>
    <w:pPr>
      <w:autoSpaceDE/>
      <w:autoSpaceDN/>
      <w:snapToGrid w:val="0"/>
      <w:spacing w:before="312" w:beforeLines="100" w:after="312" w:afterLines="100"/>
      <w:ind w:firstLine="482"/>
    </w:pPr>
    <w:rPr>
      <w:rFonts w:hAnsi="宋体" w:cs="Times New Roman"/>
      <w:b/>
      <w:i/>
      <w:color w:val="FF0000"/>
      <w:kern w:val="2"/>
      <w:sz w:val="24"/>
      <w:szCs w:val="20"/>
    </w:rPr>
  </w:style>
  <w:style w:type="character" w:customStyle="1" w:styleId="212">
    <w:name w:val="正文小标题 Char"/>
    <w:link w:val="211"/>
    <w:qFormat/>
    <w:uiPriority w:val="0"/>
    <w:rPr>
      <w:rFonts w:ascii="宋体" w:hAnsi="宋体" w:eastAsia="宋体"/>
      <w:b/>
      <w:i/>
      <w:color w:val="FF0000"/>
      <w:sz w:val="20"/>
    </w:rPr>
  </w:style>
  <w:style w:type="paragraph" w:customStyle="1" w:styleId="213">
    <w:name w:val="正文大标题"/>
    <w:basedOn w:val="211"/>
    <w:next w:val="12"/>
    <w:link w:val="214"/>
    <w:qFormat/>
    <w:uiPriority w:val="0"/>
    <w:pPr>
      <w:jc w:val="center"/>
    </w:pPr>
    <w:rPr>
      <w:i w:val="0"/>
      <w:color w:val="000000"/>
      <w:sz w:val="28"/>
      <w:szCs w:val="21"/>
    </w:rPr>
  </w:style>
  <w:style w:type="character" w:customStyle="1" w:styleId="214">
    <w:name w:val="正文大标题 Char"/>
    <w:link w:val="213"/>
    <w:qFormat/>
    <w:uiPriority w:val="0"/>
    <w:rPr>
      <w:rFonts w:ascii="宋体" w:hAnsi="宋体" w:eastAsia="宋体"/>
      <w:b/>
      <w:color w:val="000000"/>
      <w:sz w:val="21"/>
    </w:rPr>
  </w:style>
  <w:style w:type="paragraph" w:customStyle="1" w:styleId="215">
    <w:name w:val="注释"/>
    <w:basedOn w:val="1"/>
    <w:link w:val="216"/>
    <w:qFormat/>
    <w:uiPriority w:val="0"/>
    <w:pPr>
      <w:autoSpaceDE/>
      <w:autoSpaceDN/>
      <w:snapToGrid w:val="0"/>
      <w:ind w:left="420" w:hanging="420" w:hangingChars="200"/>
    </w:pPr>
    <w:rPr>
      <w:rFonts w:hAnsi="宋体" w:cs="Times New Roman"/>
      <w:kern w:val="2"/>
      <w:sz w:val="21"/>
      <w:szCs w:val="21"/>
    </w:rPr>
  </w:style>
  <w:style w:type="character" w:customStyle="1" w:styleId="216">
    <w:name w:val="注释 Char"/>
    <w:link w:val="215"/>
    <w:qFormat/>
    <w:uiPriority w:val="0"/>
    <w:rPr>
      <w:rFonts w:ascii="宋体" w:hAnsi="宋体" w:eastAsia="宋体"/>
      <w:sz w:val="21"/>
    </w:rPr>
  </w:style>
  <w:style w:type="paragraph" w:customStyle="1" w:styleId="217">
    <w:name w:val="正文须知-1级"/>
    <w:basedOn w:val="1"/>
    <w:next w:val="1"/>
    <w:qFormat/>
    <w:uiPriority w:val="0"/>
    <w:pPr>
      <w:numPr>
        <w:ilvl w:val="0"/>
        <w:numId w:val="7"/>
      </w:numPr>
      <w:autoSpaceDE/>
      <w:autoSpaceDN/>
      <w:snapToGrid w:val="0"/>
      <w:spacing w:line="300" w:lineRule="auto"/>
      <w:ind w:left="1297" w:hanging="348"/>
      <w:jc w:val="both"/>
    </w:pPr>
    <w:rPr>
      <w:rFonts w:hAnsi="Calibri" w:cs="Times New Roman"/>
      <w:kern w:val="2"/>
      <w:sz w:val="24"/>
      <w:szCs w:val="21"/>
    </w:rPr>
  </w:style>
  <w:style w:type="paragraph" w:customStyle="1" w:styleId="218">
    <w:name w:val="正文须知-2级"/>
    <w:basedOn w:val="1"/>
    <w:qFormat/>
    <w:uiPriority w:val="0"/>
    <w:pPr>
      <w:numPr>
        <w:ilvl w:val="1"/>
        <w:numId w:val="7"/>
      </w:numPr>
      <w:autoSpaceDE/>
      <w:autoSpaceDN/>
      <w:snapToGrid w:val="0"/>
      <w:spacing w:line="300" w:lineRule="auto"/>
      <w:ind w:left="2188" w:hanging="348"/>
      <w:jc w:val="both"/>
    </w:pPr>
    <w:rPr>
      <w:rFonts w:hAnsi="Calibri" w:cs="Times New Roman"/>
      <w:kern w:val="2"/>
      <w:sz w:val="24"/>
      <w:szCs w:val="21"/>
    </w:rPr>
  </w:style>
  <w:style w:type="paragraph" w:customStyle="1" w:styleId="219">
    <w:name w:val="正文须知-3级"/>
    <w:basedOn w:val="1"/>
    <w:qFormat/>
    <w:uiPriority w:val="0"/>
    <w:pPr>
      <w:numPr>
        <w:ilvl w:val="2"/>
        <w:numId w:val="7"/>
      </w:numPr>
      <w:autoSpaceDE/>
      <w:autoSpaceDN/>
      <w:snapToGrid w:val="0"/>
      <w:spacing w:line="300" w:lineRule="auto"/>
      <w:ind w:left="3077" w:hanging="355" w:hangingChars="355"/>
      <w:jc w:val="both"/>
    </w:pPr>
    <w:rPr>
      <w:rFonts w:hAnsi="Calibri" w:cs="Times New Roman"/>
      <w:kern w:val="2"/>
      <w:sz w:val="24"/>
      <w:szCs w:val="21"/>
    </w:rPr>
  </w:style>
  <w:style w:type="paragraph" w:customStyle="1" w:styleId="220">
    <w:name w:val="表格1"/>
    <w:basedOn w:val="1"/>
    <w:qFormat/>
    <w:uiPriority w:val="0"/>
    <w:pPr>
      <w:autoSpaceDE/>
      <w:autoSpaceDN/>
      <w:adjustRightInd/>
      <w:ind w:firstLine="480" w:firstLineChars="200"/>
      <w:jc w:val="center"/>
    </w:pPr>
    <w:rPr>
      <w:rFonts w:ascii="Times New Roman" w:cs="Times New Roman"/>
      <w:kern w:val="2"/>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eastAsia="宋体"/>
      <w:sz w:val="24"/>
      <w:lang w:val="en-GB" w:eastAsia="zh-CN"/>
    </w:rPr>
  </w:style>
  <w:style w:type="paragraph" w:customStyle="1" w:styleId="225">
    <w:name w:val="正文格式"/>
    <w:basedOn w:val="1"/>
    <w:link w:val="224"/>
    <w:qFormat/>
    <w:uiPriority w:val="0"/>
    <w:pPr>
      <w:autoSpaceDE/>
      <w:autoSpaceDN/>
      <w:adjustRightInd/>
      <w:spacing w:beforeLines="50" w:line="360" w:lineRule="auto"/>
      <w:ind w:firstLine="480" w:firstLineChars="200"/>
      <w:jc w:val="both"/>
    </w:pPr>
    <w:rPr>
      <w:rFonts w:hAnsi="宋体" w:cs="Times New Roman" w:eastAsiaTheme="minorEastAsia"/>
      <w:kern w:val="2"/>
      <w:sz w:val="24"/>
      <w:szCs w:val="24"/>
      <w:lang w:val="en-GB"/>
    </w:rPr>
  </w:style>
  <w:style w:type="character" w:customStyle="1" w:styleId="226">
    <w:name w:val="标题 3 Char"/>
    <w:qFormat/>
    <w:uiPriority w:val="0"/>
    <w:rPr>
      <w:rFonts w:ascii="宋体" w:eastAsia="宋体"/>
      <w:b/>
      <w:sz w:val="24"/>
      <w:u w:val="single"/>
      <w:lang w:val="en-US" w:eastAsia="zh-CN"/>
    </w:rPr>
  </w:style>
  <w:style w:type="character" w:customStyle="1" w:styleId="227">
    <w:name w:val="正文缩进 Char"/>
    <w:qFormat/>
    <w:uiPriority w:val="0"/>
    <w:rPr>
      <w:rFonts w:ascii="宋体" w:eastAsia="宋体"/>
      <w:kern w:val="2"/>
      <w:sz w:val="24"/>
      <w:lang w:val="en-US" w:eastAsia="zh-CN"/>
    </w:rPr>
  </w:style>
  <w:style w:type="character" w:customStyle="1" w:styleId="228">
    <w:name w:val="Char Char111"/>
    <w:qFormat/>
    <w:uiPriority w:val="0"/>
    <w:rPr>
      <w:rFonts w:ascii="宋体" w:eastAsia="宋体"/>
      <w:b/>
      <w:sz w:val="24"/>
      <w:u w:val="single"/>
      <w:lang w:val="en-US" w:eastAsia="zh-CN"/>
    </w:rPr>
  </w:style>
  <w:style w:type="character" w:customStyle="1" w:styleId="229">
    <w:name w:val="正文文本缩进 Char"/>
    <w:qFormat/>
    <w:uiPriority w:val="0"/>
    <w:rPr>
      <w:rFonts w:eastAsia="宋体"/>
      <w:kern w:val="2"/>
      <w:sz w:val="24"/>
      <w:lang w:val="en-US" w:eastAsia="zh-CN"/>
    </w:rPr>
  </w:style>
  <w:style w:type="character" w:customStyle="1" w:styleId="230">
    <w:name w:val="列出段落 Char"/>
    <w:qFormat/>
    <w:uiPriority w:val="0"/>
    <w:rPr>
      <w:rFonts w:ascii="Calibri" w:hAnsi="Calibri" w:eastAsia="宋体"/>
      <w:kern w:val="2"/>
      <w:sz w:val="22"/>
      <w:lang w:val="en-US" w:eastAsia="zh-CN"/>
    </w:rPr>
  </w:style>
  <w:style w:type="character" w:customStyle="1" w:styleId="231">
    <w:name w:val="页眉 Char"/>
    <w:qFormat/>
    <w:uiPriority w:val="0"/>
    <w:rPr>
      <w:rFonts w:eastAsia="宋体"/>
      <w:kern w:val="2"/>
      <w:sz w:val="18"/>
      <w:lang w:val="en-US" w:eastAsia="zh-CN"/>
    </w:rPr>
  </w:style>
  <w:style w:type="character" w:customStyle="1" w:styleId="232">
    <w:name w:val="标题 2 Char"/>
    <w:qFormat/>
    <w:uiPriority w:val="0"/>
    <w:rPr>
      <w:rFonts w:ascii="Arial" w:hAnsi="Arial" w:eastAsia="黑体"/>
      <w:b/>
      <w:sz w:val="30"/>
      <w:lang w:val="en-US" w:eastAsia="zh-CN"/>
    </w:rPr>
  </w:style>
  <w:style w:type="paragraph" w:customStyle="1" w:styleId="233">
    <w:name w:val="字元 字元2"/>
    <w:basedOn w:val="1"/>
    <w:qFormat/>
    <w:uiPriority w:val="0"/>
    <w:pPr>
      <w:autoSpaceDE/>
      <w:autoSpaceDN/>
      <w:adjustRightInd/>
      <w:jc w:val="both"/>
    </w:pPr>
    <w:rPr>
      <w:rFonts w:ascii="Tahoma" w:hAnsi="Tahoma" w:cs="Times New Roman"/>
      <w:kern w:val="2"/>
      <w:sz w:val="24"/>
      <w:szCs w:val="20"/>
    </w:rPr>
  </w:style>
  <w:style w:type="paragraph" w:customStyle="1" w:styleId="234">
    <w:name w:val="Char3 Char Char Char2"/>
    <w:basedOn w:val="1"/>
    <w:qFormat/>
    <w:uiPriority w:val="0"/>
    <w:pPr>
      <w:autoSpaceDE/>
      <w:autoSpaceDN/>
      <w:adjustRightInd/>
      <w:jc w:val="both"/>
    </w:pPr>
    <w:rPr>
      <w:rFonts w:ascii="Tahoma" w:hAnsi="Tahoma" w:cs="Times New Roman"/>
      <w:kern w:val="2"/>
      <w:sz w:val="24"/>
      <w:szCs w:val="20"/>
    </w:rPr>
  </w:style>
  <w:style w:type="paragraph" w:customStyle="1" w:styleId="235">
    <w:name w:val="正文文本缩进2"/>
    <w:basedOn w:val="1"/>
    <w:qFormat/>
    <w:uiPriority w:val="0"/>
    <w:pPr>
      <w:autoSpaceDE/>
      <w:autoSpaceDN/>
      <w:adjustRightInd/>
      <w:spacing w:line="480" w:lineRule="exact"/>
      <w:ind w:firstLine="480" w:firstLineChars="200"/>
      <w:jc w:val="both"/>
    </w:pPr>
    <w:rPr>
      <w:rFonts w:hAnsi="宋体" w:cs="Times New Roman"/>
      <w:sz w:val="24"/>
      <w:szCs w:val="24"/>
      <w:lang w:val="zh-CN"/>
    </w:rPr>
  </w:style>
  <w:style w:type="paragraph" w:customStyle="1" w:styleId="236">
    <w:name w:val="Char3"/>
    <w:basedOn w:val="1"/>
    <w:qFormat/>
    <w:uiPriority w:val="0"/>
    <w:pPr>
      <w:tabs>
        <w:tab w:val="left" w:pos="360"/>
      </w:tabs>
      <w:autoSpaceDE/>
      <w:autoSpaceDN/>
      <w:adjustRightInd/>
      <w:jc w:val="both"/>
    </w:pPr>
    <w:rPr>
      <w:rFonts w:ascii="Times New Roman" w:cs="Times New Roman"/>
      <w:kern w:val="2"/>
      <w:sz w:val="24"/>
      <w:szCs w:val="24"/>
    </w:rPr>
  </w:style>
  <w:style w:type="paragraph" w:customStyle="1" w:styleId="237">
    <w:name w:val="Char Char Char Char Char Char Char Char Char Char Char Char Char Char Char Char1"/>
    <w:basedOn w:val="1"/>
    <w:qFormat/>
    <w:uiPriority w:val="0"/>
    <w:pPr>
      <w:widowControl/>
      <w:autoSpaceDE/>
      <w:autoSpaceDN/>
      <w:adjustRightInd/>
      <w:spacing w:after="160" w:line="240" w:lineRule="exact"/>
      <w:jc w:val="center"/>
    </w:pPr>
    <w:rPr>
      <w:rFonts w:hAnsi="宋体" w:cs="Times New Roman"/>
      <w:b/>
      <w:sz w:val="30"/>
      <w:szCs w:val="30"/>
      <w:lang w:eastAsia="en-US"/>
    </w:rPr>
  </w:style>
  <w:style w:type="paragraph" w:customStyle="1" w:styleId="238">
    <w:name w:val="Char Char1 Char Char Char Char Char Char1"/>
    <w:basedOn w:val="1"/>
    <w:qFormat/>
    <w:uiPriority w:val="0"/>
    <w:pPr>
      <w:widowControl/>
      <w:autoSpaceDE/>
      <w:autoSpaceDN/>
      <w:adjustRightInd/>
      <w:spacing w:after="160" w:line="240" w:lineRule="exact"/>
    </w:pPr>
    <w:rPr>
      <w:rFonts w:ascii="Verdana" w:hAnsi="Verdana" w:eastAsia="仿宋_GB2312" w:cs="Times New Roman"/>
      <w:sz w:val="24"/>
      <w:szCs w:val="20"/>
      <w:lang w:eastAsia="en-US"/>
    </w:rPr>
  </w:style>
  <w:style w:type="paragraph" w:customStyle="1" w:styleId="239">
    <w:name w:val="列出段落2"/>
    <w:basedOn w:val="1"/>
    <w:qFormat/>
    <w:uiPriority w:val="0"/>
    <w:pPr>
      <w:autoSpaceDE/>
      <w:autoSpaceDN/>
      <w:adjustRightInd/>
      <w:ind w:firstLine="420" w:firstLineChars="200"/>
      <w:jc w:val="both"/>
    </w:pPr>
    <w:rPr>
      <w:rFonts w:ascii="Calibri" w:hAnsi="Calibri" w:cs="Times New Roman"/>
      <w:kern w:val="2"/>
      <w:sz w:val="21"/>
    </w:rPr>
  </w:style>
  <w:style w:type="paragraph" w:customStyle="1" w:styleId="240">
    <w:name w:val="Char Char Char1 Char2"/>
    <w:basedOn w:val="1"/>
    <w:qFormat/>
    <w:uiPriority w:val="0"/>
    <w:pPr>
      <w:autoSpaceDE/>
      <w:autoSpaceDN/>
      <w:adjustRightInd/>
      <w:jc w:val="both"/>
    </w:pPr>
    <w:rPr>
      <w:rFonts w:ascii="Tahoma" w:hAnsi="Tahoma" w:cs="Times New Roman"/>
      <w:kern w:val="2"/>
      <w:sz w:val="24"/>
      <w:szCs w:val="20"/>
    </w:rPr>
  </w:style>
  <w:style w:type="paragraph" w:customStyle="1" w:styleId="241">
    <w:name w:val="Char Char Char2"/>
    <w:basedOn w:val="1"/>
    <w:qFormat/>
    <w:uiPriority w:val="0"/>
    <w:pPr>
      <w:autoSpaceDE/>
      <w:autoSpaceDN/>
      <w:adjustRightInd/>
      <w:jc w:val="both"/>
    </w:pPr>
    <w:rPr>
      <w:rFonts w:ascii="Tahoma" w:hAnsi="Tahoma" w:cs="Times New Roman"/>
      <w:kern w:val="2"/>
      <w:sz w:val="24"/>
      <w:szCs w:val="20"/>
    </w:rPr>
  </w:style>
  <w:style w:type="paragraph" w:customStyle="1" w:styleId="242">
    <w:name w:val="Char Char Char Char Char Char Char2"/>
    <w:basedOn w:val="1"/>
    <w:qFormat/>
    <w:uiPriority w:val="0"/>
    <w:pPr>
      <w:autoSpaceDE/>
      <w:autoSpaceDN/>
      <w:adjustRightInd/>
      <w:snapToGrid w:val="0"/>
      <w:spacing w:line="360" w:lineRule="auto"/>
      <w:ind w:firstLine="200" w:firstLineChars="200"/>
      <w:jc w:val="both"/>
    </w:pPr>
    <w:rPr>
      <w:rFonts w:ascii="Times New Roman" w:eastAsia="仿宋_GB2312" w:cs="Times New Roman"/>
      <w:kern w:val="2"/>
      <w:sz w:val="24"/>
      <w:szCs w:val="24"/>
    </w:rPr>
  </w:style>
  <w:style w:type="paragraph" w:customStyle="1" w:styleId="243">
    <w:name w:val="正文缩进2"/>
    <w:basedOn w:val="1"/>
    <w:qFormat/>
    <w:uiPriority w:val="0"/>
    <w:pPr>
      <w:widowControl/>
      <w:autoSpaceDE/>
      <w:autoSpaceDN/>
      <w:snapToGrid w:val="0"/>
      <w:spacing w:line="480" w:lineRule="exact"/>
      <w:ind w:firstLine="567"/>
      <w:jc w:val="both"/>
    </w:pPr>
    <w:rPr>
      <w:rFonts w:cs="Times New Roman"/>
      <w:color w:val="000000"/>
      <w:kern w:val="28"/>
      <w:sz w:val="28"/>
      <w:szCs w:val="20"/>
      <w:lang w:val="zh-CN"/>
    </w:rPr>
  </w:style>
  <w:style w:type="paragraph" w:customStyle="1" w:styleId="244">
    <w:name w:val="修订1"/>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pPr>
      <w:autoSpaceDE/>
      <w:autoSpaceDN/>
      <w:adjustRightInd/>
      <w:jc w:val="both"/>
    </w:pPr>
    <w:rPr>
      <w:rFonts w:ascii="Tahoma" w:hAnsi="Tahoma" w:cs="Times New Roman"/>
      <w:kern w:val="2"/>
      <w:sz w:val="24"/>
      <w:szCs w:val="20"/>
    </w:rPr>
  </w:style>
  <w:style w:type="paragraph" w:customStyle="1" w:styleId="246">
    <w:name w:val="Char Char Char Char Char Char Char Char Char Char2"/>
    <w:basedOn w:val="1"/>
    <w:qFormat/>
    <w:uiPriority w:val="0"/>
    <w:pPr>
      <w:autoSpaceDE/>
      <w:autoSpaceDN/>
      <w:adjustRightInd/>
      <w:jc w:val="both"/>
    </w:pPr>
    <w:rPr>
      <w:rFonts w:hAnsi="宋体" w:cs="Courier New"/>
      <w:kern w:val="2"/>
      <w:sz w:val="32"/>
      <w:szCs w:val="32"/>
    </w:rPr>
  </w:style>
  <w:style w:type="paragraph" w:customStyle="1" w:styleId="247">
    <w:name w:val="Char2 Char Char Char Char Char Char1"/>
    <w:basedOn w:val="1"/>
    <w:qFormat/>
    <w:uiPriority w:val="0"/>
    <w:pPr>
      <w:widowControl/>
      <w:autoSpaceDE/>
      <w:autoSpaceDN/>
      <w:adjustRightInd/>
      <w:spacing w:line="400" w:lineRule="exact"/>
      <w:jc w:val="center"/>
    </w:pPr>
    <w:rPr>
      <w:rFonts w:ascii="Times New Roman" w:cs="Times New Roman"/>
      <w:kern w:val="2"/>
      <w:sz w:val="21"/>
      <w:szCs w:val="24"/>
    </w:rPr>
  </w:style>
  <w:style w:type="character" w:customStyle="1" w:styleId="248">
    <w:name w:val="页脚 Char"/>
    <w:qFormat/>
    <w:uiPriority w:val="0"/>
    <w:rPr>
      <w:rFonts w:ascii="宋体" w:eastAsia="宋体"/>
      <w:sz w:val="18"/>
      <w:lang w:val="en-US" w:eastAsia="zh-CN"/>
    </w:rPr>
  </w:style>
  <w:style w:type="paragraph" w:customStyle="1" w:styleId="249">
    <w:name w:val="Char Char41"/>
    <w:basedOn w:val="1"/>
    <w:qFormat/>
    <w:uiPriority w:val="0"/>
    <w:pPr>
      <w:widowControl/>
      <w:autoSpaceDE/>
      <w:autoSpaceDN/>
      <w:adjustRightInd/>
      <w:spacing w:line="400" w:lineRule="exact"/>
      <w:jc w:val="center"/>
    </w:pPr>
    <w:rPr>
      <w:rFonts w:ascii="Times New Roman" w:cs="Times New Roman"/>
      <w:kern w:val="2"/>
      <w:sz w:val="21"/>
      <w:szCs w:val="24"/>
    </w:rPr>
  </w:style>
  <w:style w:type="character" w:customStyle="1" w:styleId="250">
    <w:name w:val="批注文字 Char"/>
    <w:qFormat/>
    <w:uiPriority w:val="99"/>
    <w:rPr>
      <w:kern w:val="2"/>
      <w:sz w:val="24"/>
    </w:rPr>
  </w:style>
  <w:style w:type="character" w:customStyle="1" w:styleId="251">
    <w:name w:val="标题 Char"/>
    <w:qFormat/>
    <w:uiPriority w:val="0"/>
    <w:rPr>
      <w:b/>
      <w:kern w:val="2"/>
      <w:sz w:val="32"/>
    </w:rPr>
  </w:style>
  <w:style w:type="table" w:customStyle="1" w:styleId="252">
    <w:name w:val="Table Normal"/>
    <w:semiHidden/>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53">
    <w:name w:val="Body text|1"/>
    <w:basedOn w:val="1"/>
    <w:qFormat/>
    <w:uiPriority w:val="0"/>
    <w:pPr>
      <w:adjustRightInd/>
      <w:spacing w:line="480" w:lineRule="auto"/>
      <w:ind w:firstLine="300"/>
    </w:pPr>
    <w:rPr>
      <w:rFonts w:hAnsi="宋体"/>
      <w:sz w:val="20"/>
      <w:szCs w:val="24"/>
      <w:lang w:val="zh-TW" w:eastAsia="zh-TW"/>
    </w:rPr>
  </w:style>
  <w:style w:type="character" w:customStyle="1" w:styleId="254">
    <w:name w:val="not([class*=suffix])"/>
    <w:basedOn w:val="46"/>
    <w:qFormat/>
    <w:uiPriority w:val="0"/>
    <w:rPr>
      <w:rFonts w:cs="Times New Roman"/>
    </w:rPr>
  </w:style>
  <w:style w:type="character" w:customStyle="1" w:styleId="255">
    <w:name w:val="not([class*=suffix])1"/>
    <w:qFormat/>
    <w:uiPriority w:val="0"/>
    <w:rPr>
      <w:sz w:val="19"/>
    </w:rPr>
  </w:style>
  <w:style w:type="paragraph" w:customStyle="1" w:styleId="256">
    <w:name w:val="样式 标题 2 + Times New Roman 四号 非加粗 段前: 5 磅 段后: 0 磅 行距: 固定值 20..."/>
    <w:basedOn w:val="3"/>
    <w:qFormat/>
    <w:uiPriority w:val="99"/>
    <w:pPr>
      <w:keepNext/>
      <w:keepLines/>
      <w:spacing w:before="100" w:line="400" w:lineRule="exact"/>
      <w:ind w:left="0"/>
      <w:jc w:val="both"/>
    </w:pPr>
    <w:rPr>
      <w:rFonts w:ascii="Times New Roman" w:eastAsia="黑体"/>
      <w:kern w:val="2"/>
      <w:sz w:val="28"/>
      <w:szCs w:val="20"/>
    </w:rPr>
  </w:style>
  <w:style w:type="paragraph" w:customStyle="1" w:styleId="257">
    <w:name w:val="样式 标题 3 + (中文) 黑体 小四 非加粗 段前: 7.8 磅 段后: 0 磅 行距: 固定值 20 磅"/>
    <w:basedOn w:val="4"/>
    <w:qFormat/>
    <w:uiPriority w:val="0"/>
    <w:pPr>
      <w:keepNext/>
      <w:keepLines/>
      <w:spacing w:before="0" w:line="400" w:lineRule="exact"/>
      <w:ind w:right="0"/>
      <w:jc w:val="left"/>
    </w:pPr>
    <w:rPr>
      <w:rFonts w:eastAsia="黑体" w:cs="Times New Roman"/>
      <w:sz w:val="24"/>
      <w:szCs w:val="20"/>
      <w:u w:val="single"/>
    </w:rPr>
  </w:style>
  <w:style w:type="paragraph" w:customStyle="1" w:styleId="258">
    <w:name w:val="msolistparagraph"/>
    <w:basedOn w:val="1"/>
    <w:qFormat/>
    <w:uiPriority w:val="0"/>
    <w:pPr>
      <w:autoSpaceDE/>
      <w:autoSpaceDN/>
      <w:adjustRightInd/>
      <w:ind w:firstLine="420" w:firstLineChars="200"/>
      <w:jc w:val="both"/>
    </w:pPr>
    <w:rPr>
      <w:rFonts w:ascii="Times New Roman" w:cs="Times New Roman"/>
      <w:kern w:val="2"/>
      <w:sz w:val="21"/>
      <w:szCs w:val="24"/>
    </w:rPr>
  </w:style>
  <w:style w:type="paragraph" w:customStyle="1" w:styleId="25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60">
    <w:name w:val="正文2"/>
    <w:basedOn w:val="1"/>
    <w:qFormat/>
    <w:uiPriority w:val="0"/>
    <w:pPr>
      <w:autoSpaceDE/>
      <w:autoSpaceDN/>
      <w:adjustRightInd/>
      <w:spacing w:before="156"/>
      <w:ind w:firstLine="510"/>
      <w:jc w:val="both"/>
    </w:pPr>
    <w:rPr>
      <w:rFonts w:ascii="Times New Roman" w:cs="Times New Roman"/>
      <w:kern w:val="2"/>
      <w:sz w:val="24"/>
      <w:szCs w:val="24"/>
    </w:rPr>
  </w:style>
  <w:style w:type="paragraph" w:customStyle="1" w:styleId="261">
    <w:name w:val="标题一"/>
    <w:basedOn w:val="2"/>
    <w:next w:val="262"/>
    <w:qFormat/>
    <w:uiPriority w:val="0"/>
    <w:pPr>
      <w:keepNext/>
      <w:keepLines/>
      <w:tabs>
        <w:tab w:val="left" w:pos="425"/>
      </w:tabs>
      <w:spacing w:before="240" w:after="120" w:line="300" w:lineRule="auto"/>
      <w:ind w:right="17"/>
    </w:pPr>
    <w:rPr>
      <w:b/>
      <w:bCs/>
      <w:color w:val="000000"/>
      <w:sz w:val="32"/>
      <w:szCs w:val="21"/>
      <w:lang w:val="zh-CN"/>
    </w:rPr>
  </w:style>
  <w:style w:type="paragraph" w:customStyle="1" w:styleId="262">
    <w:name w:val="标题二"/>
    <w:basedOn w:val="3"/>
    <w:next w:val="1"/>
    <w:qFormat/>
    <w:uiPriority w:val="0"/>
    <w:pPr>
      <w:keepNext/>
      <w:keepLines/>
      <w:tabs>
        <w:tab w:val="left" w:pos="720"/>
        <w:tab w:val="left" w:pos="1342"/>
      </w:tabs>
      <w:spacing w:line="360" w:lineRule="auto"/>
      <w:ind w:left="0"/>
    </w:pPr>
    <w:rPr>
      <w:rFonts w:hAnsi="Arial" w:eastAsia="黑体"/>
      <w:b/>
      <w:bCs/>
      <w:color w:val="000000"/>
      <w:sz w:val="21"/>
      <w:szCs w:val="21"/>
      <w:lang w:val="zh-CN"/>
    </w:rPr>
  </w:style>
  <w:style w:type="paragraph" w:customStyle="1" w:styleId="263">
    <w:name w:val="标题三"/>
    <w:basedOn w:val="4"/>
    <w:next w:val="5"/>
    <w:qFormat/>
    <w:uiPriority w:val="0"/>
    <w:pPr>
      <w:keepNext/>
      <w:keepLines/>
      <w:tabs>
        <w:tab w:val="left" w:pos="720"/>
        <w:tab w:val="left" w:pos="1080"/>
      </w:tabs>
      <w:spacing w:before="0" w:line="360" w:lineRule="auto"/>
      <w:ind w:right="0"/>
      <w:jc w:val="left"/>
    </w:pPr>
    <w:rPr>
      <w:rFonts w:cs="Times New Roman"/>
      <w:bCs/>
      <w:sz w:val="21"/>
      <w:szCs w:val="21"/>
      <w:u w:val="single"/>
    </w:rPr>
  </w:style>
  <w:style w:type="paragraph" w:customStyle="1" w:styleId="264">
    <w:name w:val="合同标题1"/>
    <w:basedOn w:val="1"/>
    <w:qFormat/>
    <w:uiPriority w:val="0"/>
    <w:pPr>
      <w:autoSpaceDE/>
      <w:autoSpaceDN/>
      <w:adjustRightInd/>
      <w:jc w:val="center"/>
    </w:pPr>
    <w:rPr>
      <w:rFonts w:ascii="Times New Roman" w:cs="Times New Roman"/>
      <w:b/>
      <w:kern w:val="2"/>
      <w:sz w:val="32"/>
      <w:szCs w:val="32"/>
    </w:rPr>
  </w:style>
  <w:style w:type="paragraph" w:customStyle="1" w:styleId="265">
    <w:name w:val="合同正文"/>
    <w:basedOn w:val="1"/>
    <w:qFormat/>
    <w:uiPriority w:val="0"/>
    <w:pPr>
      <w:autoSpaceDE/>
      <w:autoSpaceDN/>
      <w:adjustRightInd/>
      <w:spacing w:line="360" w:lineRule="auto"/>
      <w:ind w:firstLine="420" w:firstLineChars="200"/>
      <w:jc w:val="both"/>
    </w:pPr>
    <w:rPr>
      <w:rFonts w:hAnsi="宋体" w:cs="Times New Roman"/>
      <w:kern w:val="2"/>
      <w:sz w:val="21"/>
      <w:szCs w:val="21"/>
    </w:rPr>
  </w:style>
  <w:style w:type="paragraph" w:customStyle="1" w:styleId="266">
    <w:name w:val="合同标题2"/>
    <w:basedOn w:val="256"/>
    <w:qFormat/>
    <w:uiPriority w:val="0"/>
    <w:pPr>
      <w:tabs>
        <w:tab w:val="left" w:pos="720"/>
      </w:tabs>
      <w:spacing w:before="120" w:beforeLines="50" w:after="120" w:afterLines="50" w:line="360" w:lineRule="auto"/>
      <w:outlineLvl w:val="0"/>
    </w:pPr>
    <w:rPr>
      <w:rFonts w:hAnsi="Cambria" w:eastAsia="宋体"/>
      <w:szCs w:val="32"/>
    </w:rPr>
  </w:style>
  <w:style w:type="paragraph" w:customStyle="1" w:styleId="267">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68">
    <w:name w:val="TOC 标题1"/>
    <w:basedOn w:val="2"/>
    <w:next w:val="1"/>
    <w:unhideWhenUsed/>
    <w:qFormat/>
    <w:uiPriority w:val="39"/>
    <w:pPr>
      <w:keepNext/>
      <w:keepLines/>
      <w:widowControl/>
      <w:autoSpaceDE/>
      <w:autoSpaceDN/>
      <w:adjustRightInd/>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269">
    <w:name w:val="apple-converted-space"/>
    <w:basedOn w:val="46"/>
    <w:qFormat/>
    <w:uiPriority w:val="0"/>
  </w:style>
  <w:style w:type="paragraph" w:customStyle="1" w:styleId="270">
    <w:name w:val="Revision"/>
    <w:hidden/>
    <w:unhideWhenUsed/>
    <w:qFormat/>
    <w:uiPriority w:val="99"/>
    <w:rPr>
      <w:rFonts w:ascii="宋体" w:hAnsi="Times New Roman" w:eastAsia="宋体" w:cs="宋体"/>
      <w:sz w:val="22"/>
      <w:szCs w:val="22"/>
      <w:lang w:val="en-US" w:eastAsia="zh-CN" w:bidi="ar-SA"/>
    </w:rPr>
  </w:style>
  <w:style w:type="character" w:customStyle="1" w:styleId="271">
    <w:name w:val="redfilefwwh"/>
    <w:basedOn w:val="46"/>
    <w:qFormat/>
    <w:uiPriority w:val="0"/>
    <w:rPr>
      <w:color w:val="BA2636"/>
      <w:sz w:val="18"/>
      <w:szCs w:val="18"/>
    </w:rPr>
  </w:style>
  <w:style w:type="character" w:customStyle="1" w:styleId="272">
    <w:name w:val="cfdate"/>
    <w:basedOn w:val="46"/>
    <w:qFormat/>
    <w:uiPriority w:val="0"/>
    <w:rPr>
      <w:color w:val="333333"/>
      <w:sz w:val="18"/>
      <w:szCs w:val="18"/>
    </w:rPr>
  </w:style>
  <w:style w:type="character" w:customStyle="1" w:styleId="273">
    <w:name w:val="displayarti"/>
    <w:basedOn w:val="46"/>
    <w:qFormat/>
    <w:uiPriority w:val="0"/>
    <w:rPr>
      <w:color w:val="FFFFFF"/>
      <w:shd w:val="clear" w:fill="A00000"/>
    </w:rPr>
  </w:style>
  <w:style w:type="character" w:customStyle="1" w:styleId="274">
    <w:name w:val="prev2"/>
    <w:basedOn w:val="46"/>
    <w:qFormat/>
    <w:uiPriority w:val="0"/>
    <w:rPr>
      <w:rFonts w:ascii="微软雅黑" w:hAnsi="微软雅黑" w:eastAsia="微软雅黑" w:cs="微软雅黑"/>
      <w:sz w:val="21"/>
      <w:szCs w:val="21"/>
    </w:rPr>
  </w:style>
  <w:style w:type="character" w:customStyle="1" w:styleId="275">
    <w:name w:val="prev3"/>
    <w:basedOn w:val="46"/>
    <w:qFormat/>
    <w:uiPriority w:val="0"/>
    <w:rPr>
      <w:color w:val="888888"/>
    </w:rPr>
  </w:style>
  <w:style w:type="character" w:customStyle="1" w:styleId="276">
    <w:name w:val="gjfg"/>
    <w:basedOn w:val="46"/>
    <w:qFormat/>
    <w:uiPriority w:val="0"/>
  </w:style>
  <w:style w:type="character" w:customStyle="1" w:styleId="277">
    <w:name w:val="redfilenumber"/>
    <w:basedOn w:val="46"/>
    <w:qFormat/>
    <w:uiPriority w:val="0"/>
    <w:rPr>
      <w:color w:val="BA2636"/>
      <w:sz w:val="18"/>
      <w:szCs w:val="18"/>
    </w:rPr>
  </w:style>
  <w:style w:type="character" w:customStyle="1" w:styleId="278">
    <w:name w:val="qxdate"/>
    <w:basedOn w:val="46"/>
    <w:qFormat/>
    <w:uiPriority w:val="0"/>
    <w:rPr>
      <w:color w:val="333333"/>
      <w:sz w:val="18"/>
      <w:szCs w:val="18"/>
    </w:rPr>
  </w:style>
  <w:style w:type="character" w:customStyle="1" w:styleId="279">
    <w:name w:val="next2"/>
    <w:basedOn w:val="46"/>
    <w:qFormat/>
    <w:uiPriority w:val="0"/>
    <w:rPr>
      <w:rFonts w:hint="eastAsia" w:ascii="微软雅黑" w:hAnsi="微软雅黑" w:eastAsia="微软雅黑" w:cs="微软雅黑"/>
      <w:sz w:val="21"/>
      <w:szCs w:val="21"/>
    </w:rPr>
  </w:style>
  <w:style w:type="character" w:customStyle="1" w:styleId="280">
    <w:name w:val="next3"/>
    <w:basedOn w:val="46"/>
    <w:qFormat/>
    <w:uiPriority w:val="0"/>
    <w:rPr>
      <w:color w:val="888888"/>
    </w:rPr>
  </w:style>
  <w:style w:type="character" w:customStyle="1" w:styleId="281">
    <w:name w:val="prev"/>
    <w:basedOn w:val="46"/>
    <w:qFormat/>
    <w:uiPriority w:val="0"/>
    <w:rPr>
      <w:color w:val="888888"/>
    </w:rPr>
  </w:style>
  <w:style w:type="character" w:customStyle="1" w:styleId="282">
    <w:name w:val="prev1"/>
    <w:basedOn w:val="46"/>
    <w:qFormat/>
    <w:uiPriority w:val="0"/>
    <w:rPr>
      <w:rFonts w:ascii="微软雅黑" w:hAnsi="微软雅黑" w:eastAsia="微软雅黑" w:cs="微软雅黑"/>
      <w:sz w:val="21"/>
      <w:szCs w:val="21"/>
    </w:rPr>
  </w:style>
  <w:style w:type="paragraph" w:customStyle="1" w:styleId="283">
    <w:name w:val="表格"/>
    <w:basedOn w:val="1"/>
    <w:qFormat/>
    <w:uiPriority w:val="99"/>
    <w:pPr>
      <w:spacing w:line="300" w:lineRule="auto"/>
      <w:jc w:val="center"/>
    </w:pPr>
    <w:rPr>
      <w:rFonts w:ascii="Arial" w:hAnsi="Arial"/>
      <w:sz w:val="24"/>
      <w:szCs w:val="24"/>
    </w:rPr>
  </w:style>
  <w:style w:type="paragraph" w:customStyle="1" w:styleId="284">
    <w:name w:val="Other|1"/>
    <w:basedOn w:val="1"/>
    <w:qFormat/>
    <w:uiPriority w:val="0"/>
    <w:pPr>
      <w:widowControl w:val="0"/>
      <w:shd w:val="clear" w:color="auto" w:fill="auto"/>
      <w:spacing w:line="434" w:lineRule="auto"/>
    </w:pPr>
    <w:rPr>
      <w:rFonts w:ascii="宋体" w:hAnsi="宋体" w:eastAsia="宋体" w:cs="宋体"/>
      <w:sz w:val="20"/>
      <w:szCs w:val="20"/>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8818</Words>
  <Characters>9471</Characters>
  <Lines>328</Lines>
  <Paragraphs>92</Paragraphs>
  <TotalTime>70</TotalTime>
  <ScaleCrop>false</ScaleCrop>
  <LinksUpToDate>false</LinksUpToDate>
  <CharactersWithSpaces>9615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2023-11-20T03:01:00Z</dcterms:created>
  <dc:creator>尹皓</dc:creator>
  <cp:lastModifiedBy>微信用户</cp:lastModifiedBy>
  <dcterms:modified xsi:type="dcterms:W3CDTF">2024-12-19T03:18:11Z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1FF3A37DE1A94488859DF90A0AD7DDBB_13</vt:lpwstr>
  </property>
</Properties>
</file>