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11B9EE">
      <w:pPr>
        <w:spacing w:line="360" w:lineRule="auto"/>
        <w:ind w:firstLine="300" w:firstLineChars="50"/>
        <w:rPr>
          <w:rFonts w:hint="eastAsia" w:ascii="宋体" w:hAnsi="宋体" w:eastAsia="宋体" w:cs="宋体"/>
          <w:color w:val="auto"/>
          <w:sz w:val="60"/>
          <w:szCs w:val="60"/>
          <w:highlight w:val="none"/>
        </w:rPr>
      </w:pPr>
    </w:p>
    <w:p w14:paraId="084280B1">
      <w:pPr>
        <w:spacing w:line="360" w:lineRule="auto"/>
        <w:jc w:val="center"/>
        <w:rPr>
          <w:rFonts w:hint="eastAsia" w:ascii="宋体" w:hAnsi="宋体" w:eastAsia="宋体" w:cs="宋体"/>
          <w:b/>
          <w:bCs/>
          <w:color w:val="auto"/>
          <w:sz w:val="52"/>
          <w:szCs w:val="52"/>
          <w:highlight w:val="none"/>
          <w:lang w:eastAsia="zh-CN"/>
        </w:rPr>
      </w:pPr>
    </w:p>
    <w:p w14:paraId="15FAE009">
      <w:pPr>
        <w:spacing w:line="360" w:lineRule="auto"/>
        <w:jc w:val="center"/>
        <w:rPr>
          <w:rFonts w:hint="eastAsia" w:ascii="宋体" w:hAnsi="宋体" w:eastAsia="宋体" w:cs="宋体"/>
          <w:b/>
          <w:bCs/>
          <w:color w:val="auto"/>
          <w:sz w:val="52"/>
          <w:szCs w:val="52"/>
          <w:highlight w:val="none"/>
          <w:lang w:eastAsia="zh-CN"/>
        </w:rPr>
      </w:pPr>
    </w:p>
    <w:p w14:paraId="0A893157">
      <w:pPr>
        <w:spacing w:line="360" w:lineRule="auto"/>
        <w:jc w:val="center"/>
        <w:rPr>
          <w:rFonts w:hint="eastAsia" w:ascii="宋体" w:hAnsi="宋体" w:eastAsia="宋体" w:cs="宋体"/>
          <w:b/>
          <w:bCs/>
          <w:color w:val="auto"/>
          <w:sz w:val="60"/>
          <w:szCs w:val="60"/>
          <w:highlight w:val="none"/>
        </w:rPr>
      </w:pPr>
      <w:r>
        <w:rPr>
          <w:rFonts w:hint="eastAsia" w:ascii="宋体" w:hAnsi="宋体" w:cs="宋体"/>
          <w:b/>
          <w:bCs/>
          <w:color w:val="auto"/>
          <w:sz w:val="52"/>
          <w:szCs w:val="52"/>
          <w:highlight w:val="none"/>
          <w:lang w:eastAsia="zh-CN"/>
        </w:rPr>
        <w:t>昌平区2024年背街小巷环境精细化治理—城北街道自提升项目工程</w:t>
      </w:r>
    </w:p>
    <w:p w14:paraId="5FCD3602">
      <w:pPr>
        <w:spacing w:line="360" w:lineRule="auto"/>
        <w:jc w:val="center"/>
        <w:rPr>
          <w:rFonts w:hint="eastAsia" w:ascii="宋体" w:hAnsi="宋体" w:eastAsia="宋体" w:cs="宋体"/>
          <w:b/>
          <w:bCs/>
          <w:color w:val="auto"/>
          <w:sz w:val="48"/>
          <w:szCs w:val="48"/>
          <w:highlight w:val="none"/>
        </w:rPr>
      </w:pPr>
    </w:p>
    <w:p w14:paraId="0691FB89">
      <w:pPr>
        <w:spacing w:line="360" w:lineRule="auto"/>
        <w:jc w:val="center"/>
        <w:rPr>
          <w:rFonts w:hint="eastAsia" w:ascii="宋体" w:hAnsi="宋体" w:eastAsia="宋体" w:cs="宋体"/>
          <w:b/>
          <w:bCs/>
          <w:color w:val="auto"/>
          <w:sz w:val="48"/>
          <w:szCs w:val="48"/>
          <w:highlight w:val="none"/>
        </w:rPr>
      </w:pPr>
    </w:p>
    <w:p w14:paraId="17E3E9C0">
      <w:pPr>
        <w:spacing w:line="360" w:lineRule="auto"/>
        <w:jc w:val="center"/>
        <w:rPr>
          <w:rFonts w:hint="eastAsia" w:ascii="宋体" w:hAnsi="宋体" w:eastAsia="宋体" w:cs="宋体"/>
          <w:b/>
          <w:bCs/>
          <w:color w:val="auto"/>
          <w:sz w:val="60"/>
          <w:szCs w:val="60"/>
          <w:highlight w:val="none"/>
        </w:rPr>
      </w:pPr>
      <w:r>
        <w:rPr>
          <w:rFonts w:hint="eastAsia" w:ascii="宋体" w:hAnsi="宋体" w:eastAsia="宋体" w:cs="宋体"/>
          <w:b/>
          <w:bCs/>
          <w:color w:val="auto"/>
          <w:sz w:val="48"/>
          <w:szCs w:val="48"/>
          <w:highlight w:val="none"/>
        </w:rPr>
        <w:t>【竞争性磋商文件】</w:t>
      </w:r>
    </w:p>
    <w:p w14:paraId="3BFB03A3">
      <w:pPr>
        <w:spacing w:line="360" w:lineRule="auto"/>
        <w:jc w:val="center"/>
        <w:rPr>
          <w:rFonts w:hint="eastAsia" w:ascii="宋体" w:hAnsi="宋体" w:eastAsia="宋体" w:cs="宋体"/>
          <w:b/>
          <w:bCs/>
          <w:color w:val="auto"/>
          <w:sz w:val="60"/>
          <w:szCs w:val="60"/>
          <w:highlight w:val="none"/>
        </w:rPr>
      </w:pPr>
    </w:p>
    <w:p w14:paraId="78FDD047">
      <w:pPr>
        <w:pStyle w:val="7"/>
        <w:rPr>
          <w:rFonts w:hint="eastAsia" w:ascii="宋体" w:hAnsi="宋体" w:eastAsia="宋体" w:cs="宋体"/>
          <w:b/>
          <w:bCs/>
          <w:color w:val="auto"/>
          <w:sz w:val="60"/>
          <w:szCs w:val="60"/>
          <w:highlight w:val="none"/>
        </w:rPr>
      </w:pPr>
    </w:p>
    <w:p w14:paraId="307D2CF7">
      <w:pPr>
        <w:pStyle w:val="14"/>
        <w:rPr>
          <w:rFonts w:hint="eastAsia" w:ascii="宋体" w:hAnsi="宋体" w:eastAsia="宋体" w:cs="宋体"/>
          <w:highlight w:val="none"/>
        </w:rPr>
      </w:pPr>
    </w:p>
    <w:p w14:paraId="1074D5D2">
      <w:pPr>
        <w:tabs>
          <w:tab w:val="left" w:pos="5609"/>
        </w:tabs>
        <w:spacing w:line="360" w:lineRule="auto"/>
        <w:ind w:left="2621" w:leftChars="444" w:hanging="1689" w:hangingChars="528"/>
        <w:jc w:val="left"/>
        <w:rPr>
          <w:rFonts w:hint="eastAsia" w:ascii="宋体" w:hAnsi="宋体" w:eastAsia="宋体" w:cs="宋体"/>
          <w:bCs/>
          <w:color w:val="auto"/>
          <w:sz w:val="32"/>
          <w:szCs w:val="32"/>
          <w:highlight w:val="none"/>
          <w:lang w:eastAsia="zh-CN"/>
        </w:rPr>
      </w:pPr>
      <w:r>
        <w:rPr>
          <w:rFonts w:hint="eastAsia" w:ascii="宋体" w:hAnsi="宋体" w:eastAsia="宋体" w:cs="宋体"/>
          <w:bCs/>
          <w:color w:val="auto"/>
          <w:sz w:val="32"/>
          <w:szCs w:val="32"/>
          <w:highlight w:val="none"/>
        </w:rPr>
        <w:t>项目名称：</w:t>
      </w:r>
      <w:r>
        <w:rPr>
          <w:rFonts w:hint="eastAsia" w:ascii="宋体" w:hAnsi="宋体" w:cs="宋体"/>
          <w:bCs/>
          <w:color w:val="auto"/>
          <w:sz w:val="32"/>
          <w:szCs w:val="32"/>
          <w:highlight w:val="none"/>
          <w:lang w:eastAsia="zh-CN"/>
        </w:rPr>
        <w:t>昌平区2024年背街小巷环境精细化治理—城北街道自提升项目工程</w:t>
      </w:r>
    </w:p>
    <w:p w14:paraId="22D50340">
      <w:pPr>
        <w:tabs>
          <w:tab w:val="left" w:pos="5609"/>
        </w:tabs>
        <w:spacing w:line="360" w:lineRule="auto"/>
        <w:ind w:left="2621" w:leftChars="444" w:hanging="1689" w:hangingChars="528"/>
        <w:jc w:val="left"/>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项目编号</w:t>
      </w:r>
      <w:r>
        <w:rPr>
          <w:rFonts w:hint="eastAsia" w:ascii="宋体" w:hAnsi="宋体" w:eastAsia="宋体" w:cs="宋体"/>
          <w:bCs/>
          <w:color w:val="auto"/>
          <w:sz w:val="32"/>
          <w:szCs w:val="32"/>
          <w:highlight w:val="none"/>
          <w:lang w:eastAsia="zh-CN"/>
        </w:rPr>
        <w:t>：</w:t>
      </w:r>
      <w:r>
        <w:rPr>
          <w:rFonts w:hint="eastAsia" w:ascii="宋体" w:hAnsi="宋体" w:eastAsia="宋体" w:cs="宋体"/>
          <w:bCs/>
          <w:i w:val="0"/>
          <w:iCs w:val="0"/>
          <w:caps w:val="0"/>
          <w:color w:val="auto"/>
          <w:spacing w:val="0"/>
          <w:sz w:val="32"/>
          <w:szCs w:val="32"/>
          <w:highlight w:val="none"/>
          <w:u w:val="none"/>
          <w:shd w:val="clear" w:fill="auto"/>
        </w:rPr>
        <w:fldChar w:fldCharType="begin"/>
      </w:r>
      <w:r>
        <w:rPr>
          <w:rFonts w:hint="eastAsia" w:ascii="宋体" w:hAnsi="宋体" w:eastAsia="宋体" w:cs="宋体"/>
          <w:bCs/>
          <w:i w:val="0"/>
          <w:iCs w:val="0"/>
          <w:caps w:val="0"/>
          <w:color w:val="auto"/>
          <w:spacing w:val="0"/>
          <w:sz w:val="32"/>
          <w:szCs w:val="32"/>
          <w:highlight w:val="none"/>
          <w:u w:val="none"/>
          <w:shd w:val="clear" w:fill="auto"/>
        </w:rPr>
        <w:instrText xml:space="preserve"> HYPERLINK "http://219.232.204.193:8080/frontend/plan/project_detail.html?projectUuid=4e075fd1-9dc7-44ca-9063-7dec9a6d25d1" </w:instrText>
      </w:r>
      <w:r>
        <w:rPr>
          <w:rFonts w:hint="eastAsia" w:ascii="宋体" w:hAnsi="宋体" w:eastAsia="宋体" w:cs="宋体"/>
          <w:bCs/>
          <w:i w:val="0"/>
          <w:iCs w:val="0"/>
          <w:caps w:val="0"/>
          <w:color w:val="auto"/>
          <w:spacing w:val="0"/>
          <w:sz w:val="32"/>
          <w:szCs w:val="32"/>
          <w:highlight w:val="none"/>
          <w:u w:val="none"/>
          <w:shd w:val="clear" w:fill="auto"/>
        </w:rPr>
        <w:fldChar w:fldCharType="separate"/>
      </w:r>
      <w:r>
        <w:rPr>
          <w:rStyle w:val="20"/>
          <w:rFonts w:hint="eastAsia" w:ascii="宋体" w:hAnsi="宋体" w:eastAsia="宋体" w:cs="宋体"/>
          <w:bCs/>
          <w:i w:val="0"/>
          <w:iCs w:val="0"/>
          <w:caps w:val="0"/>
          <w:color w:val="auto"/>
          <w:spacing w:val="0"/>
          <w:sz w:val="32"/>
          <w:szCs w:val="32"/>
          <w:highlight w:val="none"/>
          <w:u w:val="none"/>
          <w:shd w:val="clear"/>
        </w:rPr>
        <w:t>11011424210200019504-XM001</w:t>
      </w:r>
      <w:r>
        <w:rPr>
          <w:rFonts w:hint="eastAsia" w:ascii="宋体" w:hAnsi="宋体" w:eastAsia="宋体" w:cs="宋体"/>
          <w:bCs/>
          <w:i w:val="0"/>
          <w:iCs w:val="0"/>
          <w:caps w:val="0"/>
          <w:color w:val="auto"/>
          <w:spacing w:val="0"/>
          <w:sz w:val="32"/>
          <w:szCs w:val="32"/>
          <w:highlight w:val="none"/>
          <w:u w:val="none"/>
          <w:shd w:val="clear" w:fill="auto"/>
        </w:rPr>
        <w:fldChar w:fldCharType="end"/>
      </w:r>
      <w:r>
        <w:rPr>
          <w:rFonts w:hint="eastAsia" w:ascii="宋体" w:hAnsi="宋体" w:eastAsia="宋体" w:cs="宋体"/>
          <w:bCs/>
          <w:color w:val="auto"/>
          <w:sz w:val="32"/>
          <w:szCs w:val="32"/>
          <w:highlight w:val="none"/>
          <w:lang w:val="en-US" w:eastAsia="zh-CN"/>
        </w:rPr>
        <w:fldChar w:fldCharType="begin"/>
      </w:r>
      <w:r>
        <w:rPr>
          <w:rFonts w:hint="eastAsia" w:ascii="宋体" w:hAnsi="宋体" w:eastAsia="宋体" w:cs="宋体"/>
          <w:bCs/>
          <w:color w:val="auto"/>
          <w:sz w:val="32"/>
          <w:szCs w:val="32"/>
          <w:highlight w:val="none"/>
          <w:lang w:val="en-US" w:eastAsia="zh-CN"/>
        </w:rPr>
        <w:instrText xml:space="preserve"> HYPERLINK "http://103.83.45.82:8080/frontend/plan/project_detail.html?projectUuid=bc56a4a6-8e63-40ee-b442-9e07b99a4adc" </w:instrText>
      </w:r>
      <w:r>
        <w:rPr>
          <w:rFonts w:hint="eastAsia" w:ascii="宋体" w:hAnsi="宋体" w:eastAsia="宋体" w:cs="宋体"/>
          <w:bCs/>
          <w:color w:val="auto"/>
          <w:sz w:val="32"/>
          <w:szCs w:val="32"/>
          <w:highlight w:val="none"/>
          <w:lang w:val="en-US" w:eastAsia="zh-CN"/>
        </w:rPr>
        <w:fldChar w:fldCharType="separate"/>
      </w:r>
      <w:r>
        <w:rPr>
          <w:rFonts w:hint="eastAsia" w:ascii="宋体" w:hAnsi="宋体" w:eastAsia="宋体" w:cs="宋体"/>
          <w:bCs/>
          <w:color w:val="auto"/>
          <w:sz w:val="32"/>
          <w:szCs w:val="32"/>
          <w:highlight w:val="none"/>
          <w:lang w:val="en-US" w:eastAsia="zh-CN"/>
        </w:rPr>
        <w:fldChar w:fldCharType="end"/>
      </w:r>
    </w:p>
    <w:p w14:paraId="57B83165">
      <w:pPr>
        <w:tabs>
          <w:tab w:val="left" w:pos="5609"/>
        </w:tabs>
        <w:spacing w:line="360" w:lineRule="auto"/>
        <w:ind w:left="2621" w:leftChars="444" w:hanging="1689" w:hangingChars="528"/>
        <w:jc w:val="left"/>
        <w:rPr>
          <w:rFonts w:hint="eastAsia" w:ascii="宋体" w:hAnsi="宋体" w:eastAsia="宋体" w:cs="宋体"/>
          <w:bCs/>
          <w:color w:val="auto"/>
          <w:sz w:val="32"/>
          <w:szCs w:val="32"/>
          <w:highlight w:val="none"/>
          <w:lang w:val="en-US" w:eastAsia="zh-CN"/>
        </w:rPr>
      </w:pPr>
      <w:r>
        <w:rPr>
          <w:rFonts w:hint="eastAsia" w:ascii="宋体" w:hAnsi="宋体" w:eastAsia="宋体" w:cs="宋体"/>
          <w:bCs/>
          <w:color w:val="auto"/>
          <w:sz w:val="32"/>
          <w:szCs w:val="32"/>
          <w:highlight w:val="none"/>
        </w:rPr>
        <w:t>采购文件编号：</w:t>
      </w:r>
      <w:r>
        <w:rPr>
          <w:rFonts w:hint="eastAsia" w:ascii="宋体" w:hAnsi="宋体" w:cs="宋体"/>
          <w:bCs/>
          <w:color w:val="auto"/>
          <w:sz w:val="32"/>
          <w:szCs w:val="32"/>
          <w:highlight w:val="none"/>
          <w:lang w:eastAsia="zh-CN"/>
        </w:rPr>
        <w:t>YT-2024-G-064</w:t>
      </w:r>
    </w:p>
    <w:p w14:paraId="2636CAF8">
      <w:pPr>
        <w:tabs>
          <w:tab w:val="left" w:pos="5609"/>
        </w:tabs>
        <w:spacing w:line="360" w:lineRule="auto"/>
        <w:ind w:left="2621" w:leftChars="444" w:hanging="1689" w:hangingChars="528"/>
        <w:jc w:val="left"/>
        <w:rPr>
          <w:rFonts w:hint="eastAsia" w:ascii="宋体" w:hAnsi="宋体" w:eastAsia="宋体" w:cs="宋体"/>
          <w:bCs/>
          <w:color w:val="auto"/>
          <w:sz w:val="32"/>
          <w:szCs w:val="32"/>
          <w:highlight w:val="none"/>
          <w:lang w:eastAsia="zh-CN"/>
        </w:rPr>
      </w:pPr>
      <w:r>
        <w:rPr>
          <w:rFonts w:hint="eastAsia" w:ascii="宋体" w:hAnsi="宋体" w:eastAsia="宋体" w:cs="宋体"/>
          <w:bCs/>
          <w:color w:val="auto"/>
          <w:sz w:val="32"/>
          <w:szCs w:val="32"/>
          <w:highlight w:val="none"/>
        </w:rPr>
        <w:t>采 购 人：</w:t>
      </w:r>
      <w:r>
        <w:rPr>
          <w:rFonts w:hint="eastAsia" w:ascii="宋体" w:hAnsi="宋体" w:cs="宋体"/>
          <w:bCs/>
          <w:color w:val="auto"/>
          <w:sz w:val="32"/>
          <w:szCs w:val="32"/>
          <w:highlight w:val="none"/>
          <w:lang w:eastAsia="zh-CN"/>
        </w:rPr>
        <w:t>北京市昌平区城北街道办事处</w:t>
      </w:r>
    </w:p>
    <w:p w14:paraId="37419503">
      <w:pPr>
        <w:tabs>
          <w:tab w:val="left" w:pos="5609"/>
        </w:tabs>
        <w:spacing w:line="360" w:lineRule="auto"/>
        <w:ind w:left="2621" w:leftChars="444" w:hanging="1689" w:hangingChars="528"/>
        <w:jc w:val="left"/>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采购代理机构：北京永拓工程咨询股份有限公司</w:t>
      </w:r>
    </w:p>
    <w:p w14:paraId="7636F5F1">
      <w:pPr>
        <w:widowControl/>
        <w:jc w:val="left"/>
        <w:rPr>
          <w:rFonts w:hint="eastAsia" w:ascii="宋体" w:hAnsi="宋体" w:eastAsia="宋体" w:cs="宋体"/>
          <w:color w:val="auto"/>
          <w:kern w:val="0"/>
          <w:sz w:val="24"/>
          <w:highlight w:val="none"/>
        </w:rPr>
      </w:pPr>
    </w:p>
    <w:p w14:paraId="310E035A">
      <w:pPr>
        <w:pStyle w:val="31"/>
        <w:spacing w:line="360" w:lineRule="auto"/>
        <w:rPr>
          <w:rFonts w:hint="eastAsia" w:ascii="宋体" w:hAnsi="宋体" w:eastAsia="宋体" w:cs="宋体"/>
          <w:color w:val="auto"/>
          <w:highlight w:val="none"/>
        </w:rPr>
      </w:pPr>
    </w:p>
    <w:p w14:paraId="4DE3FAAB">
      <w:pPr>
        <w:spacing w:line="360" w:lineRule="auto"/>
        <w:jc w:val="center"/>
        <w:outlineLvl w:val="0"/>
        <w:rPr>
          <w:rFonts w:hint="eastAsia" w:ascii="宋体" w:hAnsi="宋体" w:eastAsia="宋体" w:cs="宋体"/>
          <w:b/>
          <w:color w:val="auto"/>
          <w:sz w:val="36"/>
          <w:szCs w:val="36"/>
          <w:highlight w:val="none"/>
        </w:rPr>
      </w:pPr>
      <w:bookmarkStart w:id="0" w:name="_Toc3098"/>
      <w:r>
        <w:rPr>
          <w:rFonts w:hint="eastAsia" w:ascii="宋体" w:hAnsi="宋体" w:eastAsia="宋体" w:cs="宋体"/>
          <w:b/>
          <w:color w:val="auto"/>
          <w:sz w:val="36"/>
          <w:szCs w:val="36"/>
          <w:highlight w:val="none"/>
        </w:rPr>
        <w:t>目      录</w:t>
      </w:r>
      <w:bookmarkEnd w:id="0"/>
    </w:p>
    <w:p w14:paraId="0043BC19">
      <w:pPr>
        <w:tabs>
          <w:tab w:val="left" w:pos="6465"/>
        </w:tabs>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ab/>
      </w:r>
    </w:p>
    <w:p w14:paraId="25AFD519">
      <w:pPr>
        <w:rPr>
          <w:rFonts w:hint="eastAsia" w:ascii="宋体" w:hAnsi="宋体" w:eastAsia="宋体" w:cs="宋体"/>
          <w:color w:val="auto"/>
          <w:highlight w:val="none"/>
        </w:rPr>
      </w:pPr>
    </w:p>
    <w:p w14:paraId="6FC713C5">
      <w:pPr>
        <w:rPr>
          <w:rFonts w:hint="eastAsia" w:ascii="宋体" w:hAnsi="宋体" w:eastAsia="宋体" w:cs="宋体"/>
          <w:color w:val="auto"/>
          <w:highlight w:val="none"/>
        </w:rPr>
      </w:pPr>
    </w:p>
    <w:p w14:paraId="328F5609">
      <w:pPr>
        <w:rPr>
          <w:rFonts w:hint="eastAsia" w:ascii="宋体" w:hAnsi="宋体" w:eastAsia="宋体" w:cs="宋体"/>
          <w:color w:val="auto"/>
          <w:highlight w:val="none"/>
        </w:rPr>
      </w:pPr>
    </w:p>
    <w:p w14:paraId="17D99B21">
      <w:pPr>
        <w:pStyle w:val="13"/>
        <w:tabs>
          <w:tab w:val="right" w:leader="dot" w:pos="9072"/>
          <w:tab w:val="clear" w:pos="1050"/>
          <w:tab w:val="clear" w:pos="8937"/>
        </w:tabs>
      </w:pPr>
      <w:r>
        <w:rPr>
          <w:rFonts w:hint="eastAsia" w:ascii="宋体" w:hAnsi="宋体" w:eastAsia="宋体" w:cs="宋体"/>
          <w:b w:val="0"/>
          <w:color w:val="auto"/>
          <w:highlight w:val="none"/>
        </w:rPr>
        <w:fldChar w:fldCharType="begin"/>
      </w:r>
      <w:r>
        <w:rPr>
          <w:rFonts w:hint="eastAsia" w:ascii="宋体" w:hAnsi="宋体" w:eastAsia="宋体" w:cs="宋体"/>
          <w:b w:val="0"/>
          <w:color w:val="auto"/>
          <w:highlight w:val="none"/>
        </w:rPr>
        <w:instrText xml:space="preserve"> TOC \o "1-1" \h \z \u </w:instrText>
      </w:r>
      <w:r>
        <w:rPr>
          <w:rFonts w:hint="eastAsia" w:ascii="宋体" w:hAnsi="宋体" w:eastAsia="宋体" w:cs="宋体"/>
          <w:b w:val="0"/>
          <w:color w:val="auto"/>
          <w:highlight w:val="none"/>
        </w:rPr>
        <w:fldChar w:fldCharType="separate"/>
      </w:r>
    </w:p>
    <w:p w14:paraId="7619FEF4">
      <w:pPr>
        <w:pStyle w:val="13"/>
        <w:tabs>
          <w:tab w:val="right" w:leader="dot" w:pos="9072"/>
          <w:tab w:val="clear" w:pos="1050"/>
          <w:tab w:val="clear" w:pos="8937"/>
        </w:tabs>
        <w:spacing w:line="480" w:lineRule="auto"/>
        <w:rPr>
          <w:sz w:val="32"/>
          <w:szCs w:val="32"/>
        </w:rPr>
      </w:pPr>
      <w:r>
        <w:rPr>
          <w:rFonts w:hint="eastAsia" w:ascii="宋体" w:hAnsi="宋体" w:eastAsia="宋体" w:cs="宋体"/>
          <w:color w:val="auto"/>
          <w:sz w:val="32"/>
          <w:szCs w:val="32"/>
          <w:highlight w:val="none"/>
        </w:rPr>
        <w:fldChar w:fldCharType="begin"/>
      </w:r>
      <w:r>
        <w:rPr>
          <w:rFonts w:hint="eastAsia" w:ascii="宋体" w:hAnsi="宋体" w:eastAsia="宋体" w:cs="宋体"/>
          <w:sz w:val="32"/>
          <w:szCs w:val="32"/>
          <w:highlight w:val="none"/>
        </w:rPr>
        <w:instrText xml:space="preserve"> HYPERLINK \l _Toc5428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第一章   采购邀请</w:t>
      </w:r>
      <w:r>
        <w:rPr>
          <w:sz w:val="32"/>
          <w:szCs w:val="32"/>
        </w:rPr>
        <w:tab/>
      </w:r>
      <w:r>
        <w:rPr>
          <w:sz w:val="32"/>
          <w:szCs w:val="32"/>
        </w:rPr>
        <w:fldChar w:fldCharType="begin"/>
      </w:r>
      <w:r>
        <w:rPr>
          <w:sz w:val="32"/>
          <w:szCs w:val="32"/>
        </w:rPr>
        <w:instrText xml:space="preserve"> PAGEREF _Toc5428 \h </w:instrText>
      </w:r>
      <w:r>
        <w:rPr>
          <w:sz w:val="32"/>
          <w:szCs w:val="32"/>
        </w:rPr>
        <w:fldChar w:fldCharType="separate"/>
      </w:r>
      <w:r>
        <w:rPr>
          <w:sz w:val="32"/>
          <w:szCs w:val="32"/>
        </w:rPr>
        <w:t>1</w:t>
      </w:r>
      <w:r>
        <w:rPr>
          <w:sz w:val="32"/>
          <w:szCs w:val="32"/>
        </w:rPr>
        <w:fldChar w:fldCharType="end"/>
      </w:r>
      <w:r>
        <w:rPr>
          <w:rFonts w:hint="eastAsia" w:ascii="宋体" w:hAnsi="宋体" w:eastAsia="宋体" w:cs="宋体"/>
          <w:color w:val="auto"/>
          <w:sz w:val="32"/>
          <w:szCs w:val="32"/>
          <w:highlight w:val="none"/>
        </w:rPr>
        <w:fldChar w:fldCharType="end"/>
      </w:r>
    </w:p>
    <w:p w14:paraId="5E17926D">
      <w:pPr>
        <w:pStyle w:val="13"/>
        <w:tabs>
          <w:tab w:val="right" w:leader="dot" w:pos="9072"/>
          <w:tab w:val="clear" w:pos="1050"/>
          <w:tab w:val="clear" w:pos="8937"/>
        </w:tabs>
        <w:spacing w:line="480" w:lineRule="auto"/>
        <w:rPr>
          <w:sz w:val="32"/>
          <w:szCs w:val="32"/>
        </w:rPr>
      </w:pPr>
      <w:r>
        <w:rPr>
          <w:rFonts w:hint="eastAsia" w:ascii="宋体" w:hAnsi="宋体" w:eastAsia="宋体" w:cs="宋体"/>
          <w:color w:val="auto"/>
          <w:sz w:val="32"/>
          <w:szCs w:val="32"/>
          <w:highlight w:val="none"/>
        </w:rPr>
        <w:fldChar w:fldCharType="begin"/>
      </w:r>
      <w:r>
        <w:rPr>
          <w:rFonts w:hint="eastAsia" w:ascii="宋体" w:hAnsi="宋体" w:eastAsia="宋体" w:cs="宋体"/>
          <w:sz w:val="32"/>
          <w:szCs w:val="32"/>
          <w:highlight w:val="none"/>
        </w:rPr>
        <w:instrText xml:space="preserve"> HYPERLINK \l _Toc17654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第二章   供应商须知</w:t>
      </w:r>
      <w:r>
        <w:rPr>
          <w:sz w:val="32"/>
          <w:szCs w:val="32"/>
        </w:rPr>
        <w:tab/>
      </w:r>
      <w:r>
        <w:rPr>
          <w:sz w:val="32"/>
          <w:szCs w:val="32"/>
        </w:rPr>
        <w:fldChar w:fldCharType="begin"/>
      </w:r>
      <w:r>
        <w:rPr>
          <w:sz w:val="32"/>
          <w:szCs w:val="32"/>
        </w:rPr>
        <w:instrText xml:space="preserve"> PAGEREF _Toc17654 \h </w:instrText>
      </w:r>
      <w:r>
        <w:rPr>
          <w:sz w:val="32"/>
          <w:szCs w:val="32"/>
        </w:rPr>
        <w:fldChar w:fldCharType="separate"/>
      </w:r>
      <w:r>
        <w:rPr>
          <w:sz w:val="32"/>
          <w:szCs w:val="32"/>
        </w:rPr>
        <w:t>6</w:t>
      </w:r>
      <w:r>
        <w:rPr>
          <w:sz w:val="32"/>
          <w:szCs w:val="32"/>
        </w:rPr>
        <w:fldChar w:fldCharType="end"/>
      </w:r>
      <w:r>
        <w:rPr>
          <w:rFonts w:hint="eastAsia" w:ascii="宋体" w:hAnsi="宋体" w:eastAsia="宋体" w:cs="宋体"/>
          <w:color w:val="auto"/>
          <w:sz w:val="32"/>
          <w:szCs w:val="32"/>
          <w:highlight w:val="none"/>
        </w:rPr>
        <w:fldChar w:fldCharType="end"/>
      </w:r>
    </w:p>
    <w:p w14:paraId="1C5B5CF3">
      <w:pPr>
        <w:pStyle w:val="13"/>
        <w:tabs>
          <w:tab w:val="right" w:leader="dot" w:pos="9072"/>
          <w:tab w:val="clear" w:pos="1050"/>
          <w:tab w:val="clear" w:pos="8937"/>
        </w:tabs>
        <w:spacing w:line="480" w:lineRule="auto"/>
        <w:rPr>
          <w:sz w:val="32"/>
          <w:szCs w:val="32"/>
        </w:rPr>
      </w:pPr>
      <w:r>
        <w:rPr>
          <w:rFonts w:hint="eastAsia" w:ascii="宋体" w:hAnsi="宋体" w:eastAsia="宋体" w:cs="宋体"/>
          <w:color w:val="auto"/>
          <w:sz w:val="32"/>
          <w:szCs w:val="32"/>
          <w:highlight w:val="none"/>
        </w:rPr>
        <w:fldChar w:fldCharType="begin"/>
      </w:r>
      <w:r>
        <w:rPr>
          <w:rFonts w:hint="eastAsia" w:ascii="宋体" w:hAnsi="宋体" w:eastAsia="宋体" w:cs="宋体"/>
          <w:sz w:val="32"/>
          <w:szCs w:val="32"/>
          <w:highlight w:val="none"/>
        </w:rPr>
        <w:instrText xml:space="preserve"> HYPERLINK \l _Toc13935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第三章   评审方法和评审标准</w:t>
      </w:r>
      <w:r>
        <w:rPr>
          <w:sz w:val="32"/>
          <w:szCs w:val="32"/>
        </w:rPr>
        <w:tab/>
      </w:r>
      <w:r>
        <w:rPr>
          <w:sz w:val="32"/>
          <w:szCs w:val="32"/>
        </w:rPr>
        <w:fldChar w:fldCharType="begin"/>
      </w:r>
      <w:r>
        <w:rPr>
          <w:sz w:val="32"/>
          <w:szCs w:val="32"/>
        </w:rPr>
        <w:instrText xml:space="preserve"> PAGEREF _Toc13935 \h </w:instrText>
      </w:r>
      <w:r>
        <w:rPr>
          <w:sz w:val="32"/>
          <w:szCs w:val="32"/>
        </w:rPr>
        <w:fldChar w:fldCharType="separate"/>
      </w:r>
      <w:r>
        <w:rPr>
          <w:sz w:val="32"/>
          <w:szCs w:val="32"/>
        </w:rPr>
        <w:t>22</w:t>
      </w:r>
      <w:r>
        <w:rPr>
          <w:sz w:val="32"/>
          <w:szCs w:val="32"/>
        </w:rPr>
        <w:fldChar w:fldCharType="end"/>
      </w:r>
      <w:r>
        <w:rPr>
          <w:rFonts w:hint="eastAsia" w:ascii="宋体" w:hAnsi="宋体" w:eastAsia="宋体" w:cs="宋体"/>
          <w:color w:val="auto"/>
          <w:sz w:val="32"/>
          <w:szCs w:val="32"/>
          <w:highlight w:val="none"/>
        </w:rPr>
        <w:fldChar w:fldCharType="end"/>
      </w:r>
    </w:p>
    <w:p w14:paraId="21AC2805">
      <w:pPr>
        <w:pStyle w:val="13"/>
        <w:tabs>
          <w:tab w:val="right" w:leader="dot" w:pos="9072"/>
          <w:tab w:val="clear" w:pos="1050"/>
          <w:tab w:val="clear" w:pos="8937"/>
        </w:tabs>
        <w:spacing w:line="480" w:lineRule="auto"/>
        <w:rPr>
          <w:sz w:val="32"/>
          <w:szCs w:val="32"/>
        </w:rPr>
      </w:pPr>
      <w:r>
        <w:rPr>
          <w:rFonts w:hint="eastAsia" w:ascii="宋体" w:hAnsi="宋体" w:eastAsia="宋体" w:cs="宋体"/>
          <w:color w:val="auto"/>
          <w:sz w:val="32"/>
          <w:szCs w:val="32"/>
          <w:highlight w:val="none"/>
        </w:rPr>
        <w:fldChar w:fldCharType="begin"/>
      </w:r>
      <w:r>
        <w:rPr>
          <w:rFonts w:hint="eastAsia" w:ascii="宋体" w:hAnsi="宋体" w:eastAsia="宋体" w:cs="宋体"/>
          <w:sz w:val="32"/>
          <w:szCs w:val="32"/>
          <w:highlight w:val="none"/>
        </w:rPr>
        <w:instrText xml:space="preserve"> HYPERLINK \l _Toc31219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第四章   工程技术要求及工程量清单</w:t>
      </w:r>
      <w:r>
        <w:rPr>
          <w:sz w:val="32"/>
          <w:szCs w:val="32"/>
        </w:rPr>
        <w:tab/>
      </w:r>
      <w:r>
        <w:rPr>
          <w:sz w:val="32"/>
          <w:szCs w:val="32"/>
        </w:rPr>
        <w:fldChar w:fldCharType="begin"/>
      </w:r>
      <w:r>
        <w:rPr>
          <w:sz w:val="32"/>
          <w:szCs w:val="32"/>
        </w:rPr>
        <w:instrText xml:space="preserve"> PAGEREF _Toc31219 \h </w:instrText>
      </w:r>
      <w:r>
        <w:rPr>
          <w:sz w:val="32"/>
          <w:szCs w:val="32"/>
        </w:rPr>
        <w:fldChar w:fldCharType="separate"/>
      </w:r>
      <w:r>
        <w:rPr>
          <w:sz w:val="32"/>
          <w:szCs w:val="32"/>
        </w:rPr>
        <w:t>35</w:t>
      </w:r>
      <w:r>
        <w:rPr>
          <w:sz w:val="32"/>
          <w:szCs w:val="32"/>
        </w:rPr>
        <w:fldChar w:fldCharType="end"/>
      </w:r>
      <w:r>
        <w:rPr>
          <w:rFonts w:hint="eastAsia" w:ascii="宋体" w:hAnsi="宋体" w:eastAsia="宋体" w:cs="宋体"/>
          <w:color w:val="auto"/>
          <w:sz w:val="32"/>
          <w:szCs w:val="32"/>
          <w:highlight w:val="none"/>
        </w:rPr>
        <w:fldChar w:fldCharType="end"/>
      </w:r>
    </w:p>
    <w:p w14:paraId="79F9ADBD">
      <w:pPr>
        <w:pStyle w:val="13"/>
        <w:tabs>
          <w:tab w:val="right" w:leader="dot" w:pos="9072"/>
          <w:tab w:val="clear" w:pos="1050"/>
          <w:tab w:val="clear" w:pos="8937"/>
        </w:tabs>
        <w:spacing w:line="480" w:lineRule="auto"/>
        <w:rPr>
          <w:sz w:val="32"/>
          <w:szCs w:val="32"/>
        </w:rPr>
      </w:pPr>
      <w:r>
        <w:rPr>
          <w:rFonts w:hint="eastAsia" w:ascii="宋体" w:hAnsi="宋体" w:eastAsia="宋体" w:cs="宋体"/>
          <w:color w:val="auto"/>
          <w:sz w:val="32"/>
          <w:szCs w:val="32"/>
          <w:highlight w:val="none"/>
        </w:rPr>
        <w:fldChar w:fldCharType="begin"/>
      </w:r>
      <w:r>
        <w:rPr>
          <w:rFonts w:hint="eastAsia" w:ascii="宋体" w:hAnsi="宋体" w:eastAsia="宋体" w:cs="宋体"/>
          <w:sz w:val="32"/>
          <w:szCs w:val="32"/>
          <w:highlight w:val="none"/>
        </w:rPr>
        <w:instrText xml:space="preserve"> HYPERLINK \l _Toc22798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第五章   合同草案条款</w:t>
      </w:r>
      <w:r>
        <w:rPr>
          <w:sz w:val="32"/>
          <w:szCs w:val="32"/>
        </w:rPr>
        <w:tab/>
      </w:r>
      <w:r>
        <w:rPr>
          <w:sz w:val="32"/>
          <w:szCs w:val="32"/>
        </w:rPr>
        <w:fldChar w:fldCharType="begin"/>
      </w:r>
      <w:r>
        <w:rPr>
          <w:sz w:val="32"/>
          <w:szCs w:val="32"/>
        </w:rPr>
        <w:instrText xml:space="preserve"> PAGEREF _Toc22798 \h </w:instrText>
      </w:r>
      <w:r>
        <w:rPr>
          <w:sz w:val="32"/>
          <w:szCs w:val="32"/>
        </w:rPr>
        <w:fldChar w:fldCharType="separate"/>
      </w:r>
      <w:r>
        <w:rPr>
          <w:sz w:val="32"/>
          <w:szCs w:val="32"/>
        </w:rPr>
        <w:t>37</w:t>
      </w:r>
      <w:r>
        <w:rPr>
          <w:sz w:val="32"/>
          <w:szCs w:val="32"/>
        </w:rPr>
        <w:fldChar w:fldCharType="end"/>
      </w:r>
      <w:r>
        <w:rPr>
          <w:rFonts w:hint="eastAsia" w:ascii="宋体" w:hAnsi="宋体" w:eastAsia="宋体" w:cs="宋体"/>
          <w:color w:val="auto"/>
          <w:sz w:val="32"/>
          <w:szCs w:val="32"/>
          <w:highlight w:val="none"/>
        </w:rPr>
        <w:fldChar w:fldCharType="end"/>
      </w:r>
    </w:p>
    <w:p w14:paraId="7B666838">
      <w:pPr>
        <w:pStyle w:val="13"/>
        <w:tabs>
          <w:tab w:val="right" w:leader="dot" w:pos="9072"/>
          <w:tab w:val="clear" w:pos="1050"/>
          <w:tab w:val="clear" w:pos="8937"/>
        </w:tabs>
        <w:spacing w:line="480" w:lineRule="auto"/>
        <w:rPr>
          <w:sz w:val="32"/>
          <w:szCs w:val="32"/>
        </w:rPr>
      </w:pPr>
      <w:r>
        <w:rPr>
          <w:rFonts w:hint="eastAsia" w:ascii="宋体" w:hAnsi="宋体" w:eastAsia="宋体" w:cs="宋体"/>
          <w:color w:val="auto"/>
          <w:sz w:val="32"/>
          <w:szCs w:val="32"/>
          <w:highlight w:val="none"/>
        </w:rPr>
        <w:fldChar w:fldCharType="begin"/>
      </w:r>
      <w:r>
        <w:rPr>
          <w:rFonts w:hint="eastAsia" w:ascii="宋体" w:hAnsi="宋体" w:eastAsia="宋体" w:cs="宋体"/>
          <w:sz w:val="32"/>
          <w:szCs w:val="32"/>
          <w:highlight w:val="none"/>
        </w:rPr>
        <w:instrText xml:space="preserve"> HYPERLINK \l _Toc9843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第六章   响应文件格式</w:t>
      </w:r>
      <w:r>
        <w:rPr>
          <w:sz w:val="32"/>
          <w:szCs w:val="32"/>
        </w:rPr>
        <w:tab/>
      </w:r>
      <w:r>
        <w:rPr>
          <w:sz w:val="32"/>
          <w:szCs w:val="32"/>
        </w:rPr>
        <w:fldChar w:fldCharType="begin"/>
      </w:r>
      <w:r>
        <w:rPr>
          <w:sz w:val="32"/>
          <w:szCs w:val="32"/>
        </w:rPr>
        <w:instrText xml:space="preserve"> PAGEREF _Toc9843 \h </w:instrText>
      </w:r>
      <w:r>
        <w:rPr>
          <w:sz w:val="32"/>
          <w:szCs w:val="32"/>
        </w:rPr>
        <w:fldChar w:fldCharType="separate"/>
      </w:r>
      <w:r>
        <w:rPr>
          <w:sz w:val="32"/>
          <w:szCs w:val="32"/>
        </w:rPr>
        <w:t>116</w:t>
      </w:r>
      <w:r>
        <w:rPr>
          <w:sz w:val="32"/>
          <w:szCs w:val="32"/>
        </w:rPr>
        <w:fldChar w:fldCharType="end"/>
      </w:r>
      <w:r>
        <w:rPr>
          <w:rFonts w:hint="eastAsia" w:ascii="宋体" w:hAnsi="宋体" w:eastAsia="宋体" w:cs="宋体"/>
          <w:color w:val="auto"/>
          <w:sz w:val="32"/>
          <w:szCs w:val="32"/>
          <w:highlight w:val="none"/>
        </w:rPr>
        <w:fldChar w:fldCharType="end"/>
      </w:r>
    </w:p>
    <w:p w14:paraId="00E45724">
      <w:pPr>
        <w:pStyle w:val="13"/>
        <w:spacing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fldChar w:fldCharType="end"/>
      </w:r>
    </w:p>
    <w:p w14:paraId="041A3074">
      <w:pPr>
        <w:pStyle w:val="13"/>
        <w:tabs>
          <w:tab w:val="center" w:pos="60"/>
        </w:tabs>
        <w:spacing w:line="360" w:lineRule="auto"/>
        <w:rPr>
          <w:rFonts w:hint="eastAsia" w:ascii="宋体" w:hAnsi="宋体" w:eastAsia="宋体" w:cs="宋体"/>
          <w:b w:val="0"/>
          <w:color w:val="auto"/>
          <w:sz w:val="36"/>
          <w:szCs w:val="36"/>
          <w:highlight w:val="none"/>
          <w:lang w:eastAsia="zh-CN"/>
        </w:rPr>
      </w:pPr>
      <w:bookmarkStart w:id="1" w:name="_Toc97371941"/>
      <w:r>
        <w:rPr>
          <w:rFonts w:hint="eastAsia" w:ascii="宋体" w:hAnsi="宋体" w:eastAsia="宋体" w:cs="宋体"/>
          <w:b w:val="0"/>
          <w:color w:val="auto"/>
          <w:sz w:val="36"/>
          <w:szCs w:val="36"/>
          <w:highlight w:val="none"/>
          <w:lang w:eastAsia="zh-CN"/>
        </w:rPr>
        <w:tab/>
      </w:r>
    </w:p>
    <w:p w14:paraId="24715E35">
      <w:pPr>
        <w:tabs>
          <w:tab w:val="left" w:pos="6578"/>
        </w:tabs>
        <w:spacing w:line="360" w:lineRule="auto"/>
        <w:jc w:val="left"/>
        <w:outlineLvl w:val="0"/>
        <w:rPr>
          <w:rFonts w:hint="eastAsia" w:ascii="宋体" w:hAnsi="宋体" w:eastAsia="宋体" w:cs="宋体"/>
          <w:b/>
          <w:color w:val="auto"/>
          <w:sz w:val="36"/>
          <w:szCs w:val="36"/>
          <w:highlight w:val="none"/>
          <w:lang w:eastAsia="zh-CN"/>
        </w:rPr>
        <w:sectPr>
          <w:headerReference r:id="rId4" w:type="first"/>
          <w:footerReference r:id="rId7" w:type="first"/>
          <w:headerReference r:id="rId3" w:type="default"/>
          <w:footerReference r:id="rId5" w:type="default"/>
          <w:footerReference r:id="rId6" w:type="even"/>
          <w:pgSz w:w="11907" w:h="16840"/>
          <w:pgMar w:top="1418" w:right="1134" w:bottom="1418" w:left="1701" w:header="851" w:footer="851" w:gutter="0"/>
          <w:pgNumType w:fmt="decimal" w:start="1"/>
          <w:cols w:space="720" w:num="1"/>
          <w:titlePg/>
          <w:docGrid w:linePitch="462" w:charSpace="0"/>
        </w:sectPr>
      </w:pPr>
      <w:r>
        <w:rPr>
          <w:rFonts w:hint="eastAsia" w:ascii="宋体" w:hAnsi="宋体" w:eastAsia="宋体" w:cs="宋体"/>
          <w:b/>
          <w:color w:val="auto"/>
          <w:sz w:val="36"/>
          <w:szCs w:val="36"/>
          <w:highlight w:val="none"/>
          <w:lang w:eastAsia="zh-CN"/>
        </w:rPr>
        <w:tab/>
      </w:r>
    </w:p>
    <w:p w14:paraId="207543A4">
      <w:pPr>
        <w:spacing w:line="360" w:lineRule="auto"/>
        <w:jc w:val="center"/>
        <w:outlineLvl w:val="0"/>
        <w:rPr>
          <w:rFonts w:hint="eastAsia" w:ascii="宋体" w:hAnsi="宋体" w:eastAsia="宋体" w:cs="宋体"/>
          <w:b/>
          <w:color w:val="auto"/>
          <w:sz w:val="36"/>
          <w:szCs w:val="36"/>
          <w:highlight w:val="none"/>
        </w:rPr>
      </w:pPr>
      <w:bookmarkStart w:id="2" w:name="_Toc5428"/>
      <w:r>
        <w:rPr>
          <w:rFonts w:hint="eastAsia" w:ascii="宋体" w:hAnsi="宋体" w:eastAsia="宋体" w:cs="宋体"/>
          <w:b/>
          <w:color w:val="auto"/>
          <w:sz w:val="36"/>
          <w:szCs w:val="36"/>
          <w:highlight w:val="none"/>
        </w:rPr>
        <w:t>第一章   采购邀请</w:t>
      </w:r>
      <w:bookmarkEnd w:id="1"/>
      <w:bookmarkEnd w:id="2"/>
      <w:bookmarkStart w:id="3" w:name="_Toc28359002"/>
      <w:bookmarkStart w:id="4" w:name="_Toc28359079"/>
      <w:bookmarkStart w:id="5" w:name="_Toc35393621"/>
      <w:bookmarkStart w:id="6" w:name="_Toc35393790"/>
      <w:bookmarkStart w:id="7" w:name="_Hlk24379207"/>
    </w:p>
    <w:p w14:paraId="0D198D4D">
      <w:pPr>
        <w:spacing w:line="360" w:lineRule="auto"/>
        <w:ind w:firstLine="480" w:firstLineChars="200"/>
        <w:rPr>
          <w:rFonts w:hint="eastAsia" w:ascii="宋体" w:hAnsi="宋体" w:eastAsia="宋体" w:cs="宋体"/>
          <w:color w:val="auto"/>
          <w:sz w:val="24"/>
          <w:highlight w:val="none"/>
        </w:rPr>
      </w:pPr>
    </w:p>
    <w:p w14:paraId="477FB477">
      <w:pPr>
        <w:pStyle w:val="3"/>
        <w:spacing w:before="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一、项目基本情况</w:t>
      </w:r>
      <w:bookmarkEnd w:id="3"/>
      <w:bookmarkEnd w:id="4"/>
      <w:bookmarkEnd w:id="5"/>
      <w:bookmarkEnd w:id="6"/>
    </w:p>
    <w:p w14:paraId="6E4E19A9">
      <w:p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1.项目编号：</w:t>
      </w:r>
      <w:r>
        <w:rPr>
          <w:rFonts w:hint="eastAsia" w:ascii="宋体" w:hAnsi="宋体" w:eastAsia="宋体" w:cs="宋体"/>
          <w:i w:val="0"/>
          <w:iCs w:val="0"/>
          <w:caps w:val="0"/>
          <w:color w:val="auto"/>
          <w:spacing w:val="0"/>
          <w:sz w:val="24"/>
          <w:szCs w:val="24"/>
          <w:highlight w:val="none"/>
          <w:u w:val="none"/>
          <w:shd w:val="clear" w:fill="auto"/>
        </w:rPr>
        <w:fldChar w:fldCharType="begin"/>
      </w:r>
      <w:r>
        <w:rPr>
          <w:rFonts w:hint="eastAsia" w:ascii="宋体" w:hAnsi="宋体" w:eastAsia="宋体" w:cs="宋体"/>
          <w:i w:val="0"/>
          <w:iCs w:val="0"/>
          <w:caps w:val="0"/>
          <w:color w:val="auto"/>
          <w:spacing w:val="0"/>
          <w:sz w:val="24"/>
          <w:szCs w:val="24"/>
          <w:highlight w:val="none"/>
          <w:u w:val="none"/>
          <w:shd w:val="clear" w:fill="auto"/>
        </w:rPr>
        <w:instrText xml:space="preserve"> HYPERLINK "http://219.232.204.193:8080/frontend/plan/project_detail.html?projectUuid=4e075fd1-9dc7-44ca-9063-7dec9a6d25d1" </w:instrText>
      </w:r>
      <w:r>
        <w:rPr>
          <w:rFonts w:hint="eastAsia" w:ascii="宋体" w:hAnsi="宋体" w:eastAsia="宋体" w:cs="宋体"/>
          <w:i w:val="0"/>
          <w:iCs w:val="0"/>
          <w:caps w:val="0"/>
          <w:color w:val="auto"/>
          <w:spacing w:val="0"/>
          <w:sz w:val="24"/>
          <w:szCs w:val="24"/>
          <w:highlight w:val="none"/>
          <w:u w:val="none"/>
          <w:shd w:val="clear" w:fill="auto"/>
        </w:rPr>
        <w:fldChar w:fldCharType="separate"/>
      </w:r>
      <w:r>
        <w:rPr>
          <w:rStyle w:val="20"/>
          <w:rFonts w:hint="eastAsia" w:ascii="宋体" w:hAnsi="宋体" w:eastAsia="宋体" w:cs="宋体"/>
          <w:i w:val="0"/>
          <w:iCs w:val="0"/>
          <w:caps w:val="0"/>
          <w:color w:val="auto"/>
          <w:spacing w:val="0"/>
          <w:sz w:val="24"/>
          <w:szCs w:val="24"/>
          <w:highlight w:val="none"/>
          <w:u w:val="none"/>
          <w:shd w:val="clear"/>
        </w:rPr>
        <w:t>11011424210200019504-XM001</w:t>
      </w:r>
      <w:r>
        <w:rPr>
          <w:rFonts w:hint="eastAsia" w:ascii="宋体" w:hAnsi="宋体" w:eastAsia="宋体" w:cs="宋体"/>
          <w:i w:val="0"/>
          <w:iCs w:val="0"/>
          <w:caps w:val="0"/>
          <w:color w:val="auto"/>
          <w:spacing w:val="0"/>
          <w:sz w:val="24"/>
          <w:szCs w:val="24"/>
          <w:highlight w:val="none"/>
          <w:u w:val="none"/>
          <w:shd w:val="clear" w:fill="auto"/>
        </w:rPr>
        <w:fldChar w:fldCharType="end"/>
      </w:r>
    </w:p>
    <w:p w14:paraId="74AD851B">
      <w:pPr>
        <w:pStyle w:val="7"/>
        <w:spacing w:line="360" w:lineRule="auto"/>
        <w:ind w:firstLine="720" w:firstLineChars="300"/>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采购文件编号：</w:t>
      </w:r>
      <w:r>
        <w:rPr>
          <w:rFonts w:hint="eastAsia" w:cs="宋体"/>
          <w:color w:val="auto"/>
          <w:highlight w:val="none"/>
          <w:lang w:eastAsia="zh-CN"/>
        </w:rPr>
        <w:t>YT-2024-G-064</w:t>
      </w:r>
    </w:p>
    <w:p w14:paraId="667EF000">
      <w:pPr>
        <w:numPr>
          <w:ilvl w:val="0"/>
          <w:numId w:val="1"/>
        </w:num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项目名称：</w:t>
      </w:r>
      <w:r>
        <w:rPr>
          <w:rFonts w:hint="eastAsia" w:ascii="宋体" w:hAnsi="宋体" w:cs="宋体"/>
          <w:color w:val="auto"/>
          <w:sz w:val="24"/>
          <w:highlight w:val="none"/>
          <w:lang w:eastAsia="zh-CN"/>
        </w:rPr>
        <w:t>昌平区2024年背街小巷环境精细化治理—城北街道自提升项目工程</w:t>
      </w:r>
    </w:p>
    <w:p w14:paraId="4B431498">
      <w:pPr>
        <w:numPr>
          <w:ilvl w:val="0"/>
          <w:numId w:val="1"/>
        </w:num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采购方式：竞争性磋商</w:t>
      </w:r>
    </w:p>
    <w:bookmarkEnd w:id="7"/>
    <w:p w14:paraId="54FD4CD9">
      <w:pPr>
        <w:widowControl/>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4.项目预算金额：</w:t>
      </w:r>
      <w:r>
        <w:rPr>
          <w:rFonts w:hint="eastAsia" w:ascii="宋体" w:hAnsi="宋体" w:cs="宋体"/>
          <w:sz w:val="24"/>
          <w:lang w:eastAsia="zh-CN"/>
        </w:rPr>
        <w:t>218.913944</w:t>
      </w:r>
      <w:r>
        <w:rPr>
          <w:rFonts w:hint="eastAsia" w:ascii="宋体" w:hAnsi="宋体" w:eastAsia="宋体" w:cs="宋体"/>
          <w:color w:val="auto"/>
          <w:sz w:val="24"/>
          <w:highlight w:val="none"/>
        </w:rPr>
        <w:t>万元、项目最高限价（如有）：</w:t>
      </w:r>
      <w:r>
        <w:rPr>
          <w:rFonts w:hint="eastAsia" w:ascii="宋体" w:hAnsi="宋体" w:cs="宋体"/>
          <w:sz w:val="24"/>
        </w:rPr>
        <w:t>193</w:t>
      </w:r>
      <w:r>
        <w:rPr>
          <w:rFonts w:hint="eastAsia" w:ascii="宋体" w:hAnsi="宋体" w:cs="宋体"/>
          <w:sz w:val="24"/>
          <w:lang w:val="en-US" w:eastAsia="zh-CN"/>
        </w:rPr>
        <w:t>.</w:t>
      </w:r>
      <w:r>
        <w:rPr>
          <w:rFonts w:hint="eastAsia" w:ascii="宋体" w:hAnsi="宋体" w:cs="宋体"/>
          <w:sz w:val="24"/>
        </w:rPr>
        <w:t>7634</w:t>
      </w:r>
      <w:r>
        <w:rPr>
          <w:rFonts w:hint="eastAsia" w:ascii="宋体" w:hAnsi="宋体" w:cs="宋体"/>
          <w:sz w:val="24"/>
          <w:lang w:val="en-US" w:eastAsia="zh-CN"/>
        </w:rPr>
        <w:t>26</w:t>
      </w:r>
      <w:r>
        <w:rPr>
          <w:rFonts w:hint="eastAsia" w:ascii="宋体" w:hAnsi="宋体" w:eastAsia="宋体" w:cs="宋体"/>
          <w:color w:val="auto"/>
          <w:sz w:val="24"/>
          <w:highlight w:val="none"/>
          <w:lang w:bidi="ar"/>
        </w:rPr>
        <w:t>万</w:t>
      </w:r>
      <w:r>
        <w:rPr>
          <w:rFonts w:hint="eastAsia" w:ascii="宋体" w:hAnsi="宋体" w:eastAsia="宋体" w:cs="宋体"/>
          <w:color w:val="auto"/>
          <w:sz w:val="24"/>
          <w:highlight w:val="none"/>
        </w:rPr>
        <w:t>元</w:t>
      </w:r>
    </w:p>
    <w:p w14:paraId="53443E5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5.采购需求：</w:t>
      </w:r>
    </w:p>
    <w:tbl>
      <w:tblPr>
        <w:tblStyle w:val="18"/>
        <w:tblW w:w="49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2"/>
        <w:gridCol w:w="1558"/>
        <w:gridCol w:w="1702"/>
        <w:gridCol w:w="998"/>
        <w:gridCol w:w="4276"/>
      </w:tblGrid>
      <w:tr w14:paraId="036A5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380" w:type="pct"/>
            <w:noWrap w:val="0"/>
            <w:vAlign w:val="center"/>
          </w:tcPr>
          <w:p w14:paraId="4B1CB583">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包号</w:t>
            </w:r>
          </w:p>
        </w:tc>
        <w:tc>
          <w:tcPr>
            <w:tcW w:w="843" w:type="pct"/>
            <w:noWrap w:val="0"/>
            <w:vAlign w:val="center"/>
          </w:tcPr>
          <w:p w14:paraId="72ED6F7F">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标的名称</w:t>
            </w:r>
          </w:p>
        </w:tc>
        <w:tc>
          <w:tcPr>
            <w:tcW w:w="921" w:type="pct"/>
            <w:noWrap w:val="0"/>
            <w:vAlign w:val="center"/>
          </w:tcPr>
          <w:p w14:paraId="30A4A504">
            <w:pPr>
              <w:jc w:val="center"/>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采购包</w:t>
            </w:r>
            <w:r>
              <w:rPr>
                <w:rFonts w:hint="eastAsia" w:ascii="宋体" w:hAnsi="宋体" w:eastAsia="宋体" w:cs="宋体"/>
                <w:bCs/>
                <w:color w:val="auto"/>
                <w:szCs w:val="21"/>
                <w:highlight w:val="none"/>
                <w:lang w:val="en-US" w:eastAsia="zh-CN"/>
              </w:rPr>
              <w:t>最高限价</w:t>
            </w:r>
          </w:p>
          <w:p w14:paraId="4284D480">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（万元）</w:t>
            </w:r>
          </w:p>
        </w:tc>
        <w:tc>
          <w:tcPr>
            <w:tcW w:w="540" w:type="pct"/>
            <w:noWrap w:val="0"/>
            <w:vAlign w:val="center"/>
          </w:tcPr>
          <w:p w14:paraId="3F4D4BBB">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数量</w:t>
            </w:r>
          </w:p>
        </w:tc>
        <w:tc>
          <w:tcPr>
            <w:tcW w:w="2314" w:type="pct"/>
            <w:noWrap w:val="0"/>
            <w:vAlign w:val="center"/>
          </w:tcPr>
          <w:p w14:paraId="0B68A053">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简要技术需求或服务要求</w:t>
            </w:r>
          </w:p>
        </w:tc>
      </w:tr>
      <w:tr w14:paraId="13BA5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4" w:hRule="atLeast"/>
        </w:trPr>
        <w:tc>
          <w:tcPr>
            <w:tcW w:w="380" w:type="pct"/>
            <w:noWrap w:val="0"/>
            <w:vAlign w:val="center"/>
          </w:tcPr>
          <w:p w14:paraId="149C9076">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01</w:t>
            </w:r>
          </w:p>
        </w:tc>
        <w:tc>
          <w:tcPr>
            <w:tcW w:w="843" w:type="pct"/>
            <w:noWrap w:val="0"/>
            <w:vAlign w:val="center"/>
          </w:tcPr>
          <w:p w14:paraId="07A1722A">
            <w:pPr>
              <w:jc w:val="center"/>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lang w:eastAsia="zh-CN"/>
              </w:rPr>
              <w:t>昌平区20</w:t>
            </w:r>
            <w:bookmarkStart w:id="2232" w:name="_GoBack"/>
            <w:bookmarkEnd w:id="2232"/>
            <w:r>
              <w:rPr>
                <w:rFonts w:hint="eastAsia" w:ascii="宋体" w:hAnsi="宋体" w:cs="宋体"/>
                <w:bCs/>
                <w:color w:val="auto"/>
                <w:szCs w:val="21"/>
                <w:highlight w:val="none"/>
                <w:lang w:eastAsia="zh-CN"/>
              </w:rPr>
              <w:t>24年背街小巷环境精细化治理—城北街道自提升项目工程</w:t>
            </w:r>
          </w:p>
        </w:tc>
        <w:tc>
          <w:tcPr>
            <w:tcW w:w="921" w:type="pct"/>
            <w:noWrap w:val="0"/>
            <w:vAlign w:val="center"/>
          </w:tcPr>
          <w:p w14:paraId="32BB8D80">
            <w:pPr>
              <w:jc w:val="center"/>
              <w:rPr>
                <w:rFonts w:hint="eastAsia" w:ascii="宋体" w:hAnsi="宋体" w:eastAsia="宋体" w:cs="宋体"/>
                <w:bCs/>
                <w:color w:val="auto"/>
                <w:szCs w:val="21"/>
                <w:highlight w:val="none"/>
                <w:lang w:eastAsia="zh-CN"/>
              </w:rPr>
            </w:pPr>
            <w:r>
              <w:rPr>
                <w:rFonts w:hint="eastAsia" w:ascii="宋体" w:hAnsi="宋体" w:cs="宋体"/>
                <w:bCs/>
                <w:color w:val="auto"/>
                <w:sz w:val="21"/>
                <w:szCs w:val="21"/>
                <w:highlight w:val="none"/>
                <w:shd w:val="clear" w:fill="auto"/>
              </w:rPr>
              <w:t>193</w:t>
            </w:r>
            <w:r>
              <w:rPr>
                <w:rFonts w:hint="eastAsia" w:ascii="宋体" w:hAnsi="宋体" w:cs="宋体"/>
                <w:bCs/>
                <w:color w:val="auto"/>
                <w:sz w:val="21"/>
                <w:szCs w:val="21"/>
                <w:highlight w:val="none"/>
                <w:shd w:val="clear" w:fill="auto"/>
                <w:lang w:val="en-US" w:eastAsia="zh-CN"/>
              </w:rPr>
              <w:t>.</w:t>
            </w:r>
            <w:r>
              <w:rPr>
                <w:rFonts w:hint="eastAsia" w:ascii="宋体" w:hAnsi="宋体" w:cs="宋体"/>
                <w:bCs/>
                <w:color w:val="auto"/>
                <w:sz w:val="21"/>
                <w:szCs w:val="21"/>
                <w:highlight w:val="none"/>
                <w:shd w:val="clear" w:fill="auto"/>
              </w:rPr>
              <w:t>7634</w:t>
            </w:r>
            <w:r>
              <w:rPr>
                <w:rFonts w:hint="eastAsia" w:ascii="宋体" w:hAnsi="宋体" w:cs="宋体"/>
                <w:bCs/>
                <w:color w:val="auto"/>
                <w:sz w:val="21"/>
                <w:szCs w:val="21"/>
                <w:highlight w:val="none"/>
                <w:shd w:val="clear" w:fill="auto"/>
                <w:lang w:val="en-US" w:eastAsia="zh-CN"/>
              </w:rPr>
              <w:t>26</w:t>
            </w:r>
          </w:p>
        </w:tc>
        <w:tc>
          <w:tcPr>
            <w:tcW w:w="540" w:type="pct"/>
            <w:noWrap w:val="0"/>
            <w:vAlign w:val="center"/>
          </w:tcPr>
          <w:p w14:paraId="7C599CBE">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w:t>
            </w:r>
          </w:p>
        </w:tc>
        <w:tc>
          <w:tcPr>
            <w:tcW w:w="2314" w:type="pct"/>
            <w:noWrap w:val="0"/>
            <w:vAlign w:val="center"/>
          </w:tcPr>
          <w:p w14:paraId="482C032E">
            <w:pPr>
              <w:spacing w:line="240" w:lineRule="auto"/>
              <w:ind w:firstLine="0" w:firstLineChars="0"/>
              <w:jc w:val="center"/>
              <w:rPr>
                <w:rFonts w:hint="eastAsia" w:ascii="宋体" w:hAnsi="宋体" w:eastAsia="宋体" w:cs="宋体"/>
                <w:bCs/>
                <w:color w:val="auto"/>
                <w:szCs w:val="21"/>
                <w:highlight w:val="none"/>
              </w:rPr>
            </w:pPr>
            <w:r>
              <w:rPr>
                <w:rFonts w:hint="eastAsia" w:ascii="宋体" w:hAnsi="宋体" w:eastAsia="宋体" w:cs="宋体"/>
                <w:bCs/>
                <w:i w:val="0"/>
                <w:iCs w:val="0"/>
                <w:caps w:val="0"/>
                <w:color w:val="auto"/>
                <w:spacing w:val="0"/>
                <w:sz w:val="21"/>
                <w:szCs w:val="21"/>
                <w:highlight w:val="none"/>
                <w:shd w:val="clear" w:fill="auto"/>
              </w:rPr>
              <w:t>为深化推进背街小巷环境精细化治理工作，巩固背街小巷环境整治提升成果，精细化做好背街小巷长效管理工作，拟对7条背街小巷进行治理，分别为褡裢胡同、龙王庙胡同、红庙胡同、鸡鸭市胡同、东仓房胡同、和平路小区南侧路、染淀坑胡同。根据每条背街小巷不同现状实施分类治理、持续推进。本项目建设内容包括：拆除及恢复路面、拆除及更换破损路面砖、更换破损道牙等内容。</w:t>
            </w:r>
          </w:p>
          <w:p w14:paraId="2EF8FE68">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质量标准：合格</w:t>
            </w:r>
          </w:p>
          <w:p w14:paraId="10B4DFEF">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施工现场安全生产标准化目标等级：达标</w:t>
            </w:r>
          </w:p>
        </w:tc>
      </w:tr>
    </w:tbl>
    <w:p w14:paraId="63482F98">
      <w:pPr>
        <w:spacing w:line="360" w:lineRule="auto"/>
        <w:ind w:firstLine="480" w:firstLineChars="200"/>
        <w:rPr>
          <w:rFonts w:hint="eastAsia" w:ascii="宋体" w:hAnsi="宋体" w:eastAsia="宋体" w:cs="宋体"/>
          <w:color w:val="auto"/>
          <w:sz w:val="24"/>
          <w:highlight w:val="none"/>
        </w:rPr>
      </w:pPr>
    </w:p>
    <w:p w14:paraId="065EF7A1">
      <w:pPr>
        <w:numPr>
          <w:ilvl w:val="-1"/>
          <w:numId w:val="0"/>
        </w:numPr>
        <w:spacing w:line="360" w:lineRule="auto"/>
        <w:ind w:firstLine="480" w:firstLineChars="200"/>
        <w:contextualSpacing w:val="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6.工期</w:t>
      </w:r>
      <w:r>
        <w:rPr>
          <w:rFonts w:hint="eastAsia" w:ascii="宋体" w:hAnsi="宋体" w:cs="宋体"/>
          <w:color w:val="auto"/>
          <w:sz w:val="24"/>
          <w:highlight w:val="none"/>
          <w:lang w:val="en-US" w:eastAsia="zh-CN"/>
        </w:rPr>
        <w:t>60</w:t>
      </w:r>
      <w:r>
        <w:rPr>
          <w:rFonts w:hint="eastAsia" w:ascii="宋体" w:hAnsi="宋体" w:eastAsia="宋体" w:cs="宋体"/>
          <w:color w:val="auto"/>
          <w:sz w:val="24"/>
          <w:highlight w:val="none"/>
        </w:rPr>
        <w:t>日历天。</w:t>
      </w:r>
    </w:p>
    <w:p w14:paraId="046809AF">
      <w:pPr>
        <w:spacing w:line="360" w:lineRule="auto"/>
        <w:ind w:left="0" w:leftChars="0" w:firstLine="480" w:firstLineChars="200"/>
        <w:rPr>
          <w:rFonts w:hint="eastAsia" w:ascii="宋体" w:hAnsi="宋体" w:eastAsia="宋体" w:cs="宋体"/>
          <w:color w:val="auto"/>
          <w:sz w:val="24"/>
          <w:highlight w:val="none"/>
        </w:rPr>
      </w:pPr>
      <w:r>
        <w:rPr>
          <w:rFonts w:hint="eastAsia" w:ascii="宋体" w:hAnsi="宋体" w:cs="宋体"/>
          <w:color w:val="auto"/>
          <w:sz w:val="24"/>
          <w:highlight w:val="none"/>
        </w:rPr>
        <w:t>实际开工日期自监理人发出的开工通知中载明的开工日期起算。</w:t>
      </w:r>
    </w:p>
    <w:p w14:paraId="4544659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7.本项目是否接受联合体：</w:t>
      </w:r>
      <w:r>
        <w:rPr>
          <w:rFonts w:hint="eastAsia" w:ascii="宋体" w:hAnsi="宋体" w:eastAsia="宋体" w:cs="宋体"/>
          <w:color w:val="auto"/>
          <w:highlight w:val="none"/>
        </w:rPr>
        <w:t>□</w:t>
      </w:r>
      <w:r>
        <w:rPr>
          <w:rFonts w:hint="eastAsia" w:ascii="宋体" w:hAnsi="宋体" w:eastAsia="宋体" w:cs="宋体"/>
          <w:color w:val="auto"/>
          <w:sz w:val="24"/>
          <w:highlight w:val="none"/>
        </w:rPr>
        <w:t xml:space="preserve">是  </w:t>
      </w:r>
      <w:r>
        <w:rPr>
          <w:rFonts w:hint="eastAsia" w:ascii="宋体" w:hAnsi="宋体" w:eastAsia="宋体" w:cs="宋体"/>
          <w:color w:val="auto"/>
          <w:highlight w:val="none"/>
        </w:rPr>
        <w:t>■</w:t>
      </w:r>
      <w:r>
        <w:rPr>
          <w:rFonts w:hint="eastAsia" w:ascii="宋体" w:hAnsi="宋体" w:eastAsia="宋体" w:cs="宋体"/>
          <w:color w:val="auto"/>
          <w:sz w:val="24"/>
          <w:highlight w:val="none"/>
        </w:rPr>
        <w:t>否。</w:t>
      </w:r>
    </w:p>
    <w:p w14:paraId="2E02ED7C">
      <w:pPr>
        <w:pStyle w:val="3"/>
        <w:spacing w:before="0" w:line="360" w:lineRule="auto"/>
        <w:jc w:val="left"/>
        <w:rPr>
          <w:rFonts w:hint="eastAsia" w:ascii="宋体" w:hAnsi="宋体" w:eastAsia="宋体" w:cs="宋体"/>
          <w:color w:val="auto"/>
          <w:sz w:val="24"/>
          <w:szCs w:val="24"/>
          <w:highlight w:val="none"/>
        </w:rPr>
      </w:pPr>
      <w:bookmarkStart w:id="8" w:name="_Toc28359080"/>
      <w:bookmarkStart w:id="9" w:name="_Toc35393622"/>
      <w:bookmarkStart w:id="10" w:name="_Toc35393791"/>
      <w:bookmarkStart w:id="11" w:name="_Toc28359003"/>
      <w:r>
        <w:rPr>
          <w:rFonts w:hint="eastAsia" w:ascii="宋体" w:hAnsi="宋体" w:eastAsia="宋体" w:cs="宋体"/>
          <w:color w:val="auto"/>
          <w:sz w:val="24"/>
          <w:szCs w:val="24"/>
          <w:highlight w:val="none"/>
        </w:rPr>
        <w:t>二、申请人的资格要求（须同时满足）</w:t>
      </w:r>
      <w:bookmarkEnd w:id="8"/>
      <w:bookmarkEnd w:id="9"/>
      <w:bookmarkEnd w:id="10"/>
      <w:bookmarkEnd w:id="11"/>
    </w:p>
    <w:p w14:paraId="14985ED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1.满足《中华人民共和国政府采购法》第二十二条规定；</w:t>
      </w:r>
    </w:p>
    <w:p w14:paraId="29DE2BC5">
      <w:pPr>
        <w:spacing w:line="360" w:lineRule="auto"/>
        <w:ind w:firstLine="480" w:firstLineChars="200"/>
        <w:rPr>
          <w:rFonts w:hint="eastAsia" w:ascii="宋体" w:hAnsi="宋体" w:eastAsia="宋体" w:cs="宋体"/>
          <w:color w:val="auto"/>
          <w:sz w:val="24"/>
          <w:highlight w:val="none"/>
        </w:rPr>
      </w:pPr>
      <w:bookmarkStart w:id="12" w:name="_Toc28359004"/>
      <w:bookmarkStart w:id="13" w:name="_Toc28359081"/>
      <w:r>
        <w:rPr>
          <w:rFonts w:hint="eastAsia" w:ascii="宋体" w:hAnsi="宋体" w:eastAsia="宋体" w:cs="宋体"/>
          <w:color w:val="auto"/>
          <w:sz w:val="24"/>
          <w:highlight w:val="none"/>
        </w:rPr>
        <w:t>2.落实政府采购政策需满足的资格要求：</w:t>
      </w:r>
    </w:p>
    <w:p w14:paraId="1B4DC36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2.1 中小企业政策</w:t>
      </w:r>
    </w:p>
    <w:p w14:paraId="3E5EDC50">
      <w:pPr>
        <w:spacing w:line="360" w:lineRule="auto"/>
        <w:ind w:firstLine="420" w:firstLineChars="200"/>
        <w:rPr>
          <w:rFonts w:hint="eastAsia" w:ascii="宋体" w:hAnsi="宋体" w:eastAsia="宋体" w:cs="宋体"/>
          <w:color w:val="auto"/>
          <w:sz w:val="24"/>
          <w:highlight w:val="none"/>
        </w:rPr>
      </w:pPr>
      <w:r>
        <w:rPr>
          <w:rFonts w:hint="eastAsia" w:ascii="宋体" w:hAnsi="宋体" w:eastAsia="宋体" w:cs="宋体"/>
          <w:color w:val="auto"/>
          <w:highlight w:val="none"/>
        </w:rPr>
        <w:t>□</w:t>
      </w:r>
      <w:r>
        <w:rPr>
          <w:rFonts w:hint="eastAsia" w:ascii="宋体" w:hAnsi="宋体" w:eastAsia="宋体" w:cs="宋体"/>
          <w:color w:val="auto"/>
          <w:sz w:val="24"/>
          <w:highlight w:val="none"/>
        </w:rPr>
        <w:t>本项目不专门面向中小企业预留采购份额。</w:t>
      </w:r>
    </w:p>
    <w:p w14:paraId="3DA88997">
      <w:pPr>
        <w:spacing w:line="360" w:lineRule="auto"/>
        <w:ind w:firstLine="420" w:firstLineChars="200"/>
        <w:rPr>
          <w:rFonts w:hint="eastAsia" w:ascii="宋体" w:hAnsi="宋体" w:eastAsia="宋体" w:cs="宋体"/>
          <w:color w:val="auto"/>
          <w:sz w:val="24"/>
          <w:highlight w:val="none"/>
        </w:rPr>
      </w:pPr>
      <w:r>
        <w:rPr>
          <w:rFonts w:hint="eastAsia" w:ascii="宋体" w:hAnsi="宋体" w:eastAsia="宋体" w:cs="宋体"/>
          <w:color w:val="auto"/>
          <w:highlight w:val="none"/>
        </w:rPr>
        <w:t>■</w:t>
      </w:r>
      <w:r>
        <w:rPr>
          <w:rFonts w:hint="eastAsia" w:ascii="宋体" w:hAnsi="宋体" w:eastAsia="宋体" w:cs="宋体"/>
          <w:color w:val="auto"/>
          <w:sz w:val="24"/>
          <w:highlight w:val="none"/>
        </w:rPr>
        <w:t xml:space="preserve">本项目专门面向  </w:t>
      </w:r>
      <w:r>
        <w:rPr>
          <w:rFonts w:hint="eastAsia" w:ascii="宋体" w:hAnsi="宋体" w:eastAsia="宋体" w:cs="宋体"/>
          <w:color w:val="auto"/>
          <w:highlight w:val="none"/>
        </w:rPr>
        <w:t>□</w:t>
      </w:r>
      <w:r>
        <w:rPr>
          <w:rFonts w:hint="eastAsia" w:ascii="宋体" w:hAnsi="宋体" w:eastAsia="宋体" w:cs="宋体"/>
          <w:color w:val="auto"/>
          <w:sz w:val="24"/>
          <w:highlight w:val="none"/>
        </w:rPr>
        <w:t xml:space="preserve">中小 </w:t>
      </w:r>
      <w:r>
        <w:rPr>
          <w:rFonts w:hint="eastAsia" w:ascii="宋体" w:hAnsi="宋体" w:eastAsia="宋体" w:cs="宋体"/>
          <w:color w:val="auto"/>
          <w:highlight w:val="none"/>
        </w:rPr>
        <w:t>■</w:t>
      </w:r>
      <w:r>
        <w:rPr>
          <w:rFonts w:hint="eastAsia" w:ascii="宋体" w:hAnsi="宋体" w:eastAsia="宋体" w:cs="宋体"/>
          <w:color w:val="auto"/>
          <w:sz w:val="24"/>
          <w:highlight w:val="none"/>
        </w:rPr>
        <w:t>小微企业  采购。即：提供的货物全部由符合政策要求的中小/小微企业制造、服务全部由符合政策要求的中小/小微企业承接。</w:t>
      </w:r>
    </w:p>
    <w:p w14:paraId="56ADA1AA">
      <w:pPr>
        <w:spacing w:line="360" w:lineRule="auto"/>
        <w:ind w:firstLine="420" w:firstLineChars="200"/>
        <w:rPr>
          <w:rFonts w:hint="eastAsia" w:ascii="宋体" w:hAnsi="宋体" w:eastAsia="宋体" w:cs="宋体"/>
          <w:color w:val="auto"/>
          <w:sz w:val="24"/>
          <w:highlight w:val="none"/>
        </w:rPr>
      </w:pPr>
      <w:r>
        <w:rPr>
          <w:rFonts w:hint="eastAsia" w:ascii="宋体" w:hAnsi="宋体" w:eastAsia="宋体" w:cs="宋体"/>
          <w:color w:val="auto"/>
          <w:highlight w:val="none"/>
        </w:rPr>
        <w:t>□</w:t>
      </w:r>
      <w:r>
        <w:rPr>
          <w:rFonts w:hint="eastAsia" w:ascii="宋体" w:hAnsi="宋体" w:eastAsia="宋体" w:cs="宋体"/>
          <w:color w:val="auto"/>
          <w:sz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w:t>
      </w:r>
    </w:p>
    <w:p w14:paraId="72C9C7F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2.2 其它落实政府采购政策的资格要求（如有）：</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w:t>
      </w:r>
    </w:p>
    <w:p w14:paraId="3F141623">
      <w:pPr>
        <w:spacing w:line="360" w:lineRule="auto"/>
        <w:ind w:firstLine="480" w:firstLineChars="20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2.3 在“信用中国”网站(www.creditchina.gov.cn)信用报告中，中国政府采购网(www.ccgp.gov.cn)查询信用记录，未列入失信被执行人、重大税收违法失信主体名单、政府采购严重违法失信行为记录名单的供应商。</w:t>
      </w:r>
    </w:p>
    <w:p w14:paraId="0CFD1A5C">
      <w:pPr>
        <w:spacing w:line="360" w:lineRule="auto"/>
        <w:ind w:firstLine="480" w:firstLineChars="200"/>
        <w:rPr>
          <w:rFonts w:hint="eastAsia" w:ascii="宋体" w:hAnsi="宋体" w:eastAsia="宋体" w:cs="宋体"/>
          <w:i/>
          <w:iCs/>
          <w:color w:val="auto"/>
          <w:sz w:val="24"/>
          <w:highlight w:val="none"/>
          <w:u w:val="single"/>
        </w:rPr>
      </w:pPr>
      <w:r>
        <w:rPr>
          <w:rFonts w:hint="eastAsia" w:ascii="宋体" w:hAnsi="宋体" w:eastAsia="宋体" w:cs="宋体"/>
          <w:color w:val="auto"/>
          <w:sz w:val="24"/>
          <w:highlight w:val="none"/>
        </w:rPr>
        <w:t>3.本项目的特定资格要求：</w:t>
      </w:r>
    </w:p>
    <w:p w14:paraId="0974B383">
      <w:pPr>
        <w:tabs>
          <w:tab w:val="left" w:pos="900"/>
          <w:tab w:val="left" w:pos="1134"/>
          <w:tab w:val="left" w:pos="1589"/>
          <w:tab w:val="left" w:pos="5521"/>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 xml:space="preserve"> 本项目是否属于政府购买服务：</w:t>
      </w:r>
    </w:p>
    <w:p w14:paraId="65F694B8">
      <w:pPr>
        <w:tabs>
          <w:tab w:val="left" w:pos="900"/>
          <w:tab w:val="left" w:pos="1134"/>
          <w:tab w:val="left" w:pos="1589"/>
          <w:tab w:val="left" w:pos="5521"/>
        </w:tabs>
        <w:snapToGrid w:val="0"/>
        <w:spacing w:line="360" w:lineRule="auto"/>
        <w:ind w:left="991" w:leftChars="472" w:firstLine="2"/>
        <w:rPr>
          <w:rFonts w:hint="eastAsia" w:ascii="宋体" w:hAnsi="宋体" w:eastAsia="宋体" w:cs="宋体"/>
          <w:color w:val="auto"/>
          <w:sz w:val="24"/>
          <w:highlight w:val="none"/>
        </w:rPr>
      </w:pPr>
      <w:r>
        <w:rPr>
          <w:rFonts w:hint="eastAsia" w:ascii="宋体" w:hAnsi="宋体" w:eastAsia="宋体" w:cs="宋体"/>
          <w:color w:val="auto"/>
          <w:highlight w:val="none"/>
        </w:rPr>
        <w:t>■</w:t>
      </w:r>
      <w:r>
        <w:rPr>
          <w:rFonts w:hint="eastAsia" w:ascii="宋体" w:hAnsi="宋体" w:eastAsia="宋体" w:cs="宋体"/>
          <w:color w:val="auto"/>
          <w:sz w:val="24"/>
          <w:highlight w:val="none"/>
        </w:rPr>
        <w:t>否</w:t>
      </w:r>
    </w:p>
    <w:p w14:paraId="6B885743">
      <w:pPr>
        <w:tabs>
          <w:tab w:val="left" w:pos="900"/>
          <w:tab w:val="left" w:pos="1134"/>
          <w:tab w:val="left" w:pos="1589"/>
          <w:tab w:val="left" w:pos="5521"/>
        </w:tabs>
        <w:snapToGrid w:val="0"/>
        <w:spacing w:line="360" w:lineRule="auto"/>
        <w:ind w:left="991" w:leftChars="472" w:firstLine="2"/>
        <w:rPr>
          <w:rFonts w:hint="eastAsia" w:ascii="宋体" w:hAnsi="宋体" w:eastAsia="宋体" w:cs="宋体"/>
          <w:color w:val="auto"/>
          <w:sz w:val="24"/>
          <w:highlight w:val="none"/>
        </w:rPr>
      </w:pPr>
      <w:r>
        <w:rPr>
          <w:rFonts w:hint="eastAsia" w:ascii="宋体" w:hAnsi="宋体" w:eastAsia="宋体" w:cs="宋体"/>
          <w:color w:val="auto"/>
          <w:highlight w:val="none"/>
        </w:rPr>
        <w:t>□</w:t>
      </w:r>
      <w:r>
        <w:rPr>
          <w:rFonts w:hint="eastAsia" w:ascii="宋体" w:hAnsi="宋体" w:eastAsia="宋体" w:cs="宋体"/>
          <w:color w:val="auto"/>
          <w:sz w:val="24"/>
          <w:highlight w:val="none"/>
        </w:rPr>
        <w:t>是，公益一类事业单位、使用事业编制且由财政拨款保障的群团组织，不得作为承接主体；</w:t>
      </w:r>
    </w:p>
    <w:p w14:paraId="16D75434">
      <w:pPr>
        <w:tabs>
          <w:tab w:val="left" w:pos="900"/>
          <w:tab w:val="left" w:pos="1134"/>
          <w:tab w:val="left" w:pos="1589"/>
          <w:tab w:val="left" w:pos="5521"/>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其他特定资格要求：</w:t>
      </w:r>
    </w:p>
    <w:p w14:paraId="31D0C42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.1供应商须具备</w:t>
      </w:r>
      <w:r>
        <w:rPr>
          <w:rFonts w:hint="eastAsia" w:ascii="宋体" w:hAnsi="宋体" w:cs="宋体"/>
          <w:color w:val="auto"/>
          <w:sz w:val="24"/>
          <w:highlight w:val="none"/>
          <w:lang w:val="en-US" w:eastAsia="zh-CN"/>
        </w:rPr>
        <w:t>市政公用</w:t>
      </w:r>
      <w:r>
        <w:rPr>
          <w:rFonts w:hint="eastAsia" w:ascii="宋体" w:hAnsi="宋体" w:eastAsia="宋体" w:cs="宋体"/>
          <w:color w:val="auto"/>
          <w:sz w:val="24"/>
          <w:highlight w:val="none"/>
        </w:rPr>
        <w:t>工程施工总承包叁级(含)以上资质；</w:t>
      </w:r>
    </w:p>
    <w:p w14:paraId="7A01C34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2供应商须</w:t>
      </w:r>
      <w:r>
        <w:rPr>
          <w:rFonts w:hint="eastAsia" w:ascii="宋体" w:hAnsi="宋体" w:eastAsia="宋体" w:cs="宋体"/>
          <w:color w:val="auto"/>
          <w:sz w:val="24"/>
          <w:highlight w:val="none"/>
        </w:rPr>
        <w:t>具备有效的安全生产许可证并在有效期范围内；</w:t>
      </w:r>
    </w:p>
    <w:p w14:paraId="14E388C3">
      <w:pPr>
        <w:spacing w:line="360" w:lineRule="auto"/>
        <w:ind w:firstLine="480" w:firstLineChars="200"/>
        <w:rPr>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供应商拟派项目负责人须具有</w:t>
      </w:r>
      <w:r>
        <w:rPr>
          <w:rFonts w:hint="eastAsia" w:ascii="宋体" w:hAnsi="宋体" w:cs="宋体"/>
          <w:color w:val="auto"/>
          <w:sz w:val="24"/>
          <w:highlight w:val="none"/>
          <w:lang w:val="en-US" w:eastAsia="zh-CN"/>
        </w:rPr>
        <w:t>市政公用</w:t>
      </w:r>
      <w:r>
        <w:rPr>
          <w:rFonts w:hint="eastAsia" w:ascii="宋体" w:hAnsi="宋体" w:eastAsia="宋体" w:cs="宋体"/>
          <w:color w:val="auto"/>
          <w:sz w:val="24"/>
          <w:highlight w:val="none"/>
        </w:rPr>
        <w:t>工程专业二级(含)以上建造师注册证书，具有安全生产考核合格证书(B)本，并在有效期范围内</w:t>
      </w:r>
      <w:r>
        <w:rPr>
          <w:rFonts w:hint="eastAsia" w:ascii="宋体" w:hAnsi="宋体" w:eastAsia="宋体" w:cs="宋体"/>
          <w:color w:val="auto"/>
          <w:sz w:val="24"/>
          <w:highlight w:val="none"/>
          <w:lang w:val="en-US" w:eastAsia="zh-CN"/>
        </w:rPr>
        <w:t>，且在确定成交人时不得担任其他在施建设工程的项目经理</w:t>
      </w:r>
      <w:r>
        <w:rPr>
          <w:rFonts w:hint="eastAsia" w:ascii="宋体" w:hAnsi="宋体" w:cs="宋体"/>
          <w:color w:val="auto"/>
          <w:sz w:val="24"/>
          <w:highlight w:val="none"/>
          <w:lang w:val="en-US" w:eastAsia="zh-CN"/>
        </w:rPr>
        <w:t>。</w:t>
      </w:r>
    </w:p>
    <w:bookmarkEnd w:id="12"/>
    <w:bookmarkEnd w:id="13"/>
    <w:p w14:paraId="1CC4D0FA">
      <w:pPr>
        <w:pStyle w:val="3"/>
        <w:widowControl/>
        <w:spacing w:before="0" w:line="360" w:lineRule="auto"/>
        <w:jc w:val="left"/>
        <w:rPr>
          <w:rFonts w:hint="eastAsia" w:ascii="宋体" w:hAnsi="宋体" w:eastAsia="宋体" w:cs="宋体"/>
          <w:color w:val="auto"/>
          <w:sz w:val="24"/>
          <w:szCs w:val="24"/>
          <w:highlight w:val="none"/>
        </w:rPr>
      </w:pPr>
      <w:bookmarkStart w:id="14" w:name="_Toc35393623"/>
      <w:bookmarkStart w:id="15" w:name="_Toc35393792"/>
      <w:r>
        <w:rPr>
          <w:rFonts w:hint="eastAsia" w:ascii="宋体" w:hAnsi="宋体" w:eastAsia="宋体" w:cs="宋体"/>
          <w:color w:val="auto"/>
          <w:sz w:val="24"/>
          <w:szCs w:val="24"/>
          <w:highlight w:val="none"/>
        </w:rPr>
        <w:t>三、获取采购文件</w:t>
      </w:r>
      <w:bookmarkEnd w:id="14"/>
      <w:bookmarkEnd w:id="15"/>
    </w:p>
    <w:p w14:paraId="7B4013F1">
      <w:pPr>
        <w:spacing w:line="360" w:lineRule="auto"/>
        <w:ind w:firstLine="420" w:firstLineChars="175"/>
        <w:jc w:val="left"/>
        <w:rPr>
          <w:rFonts w:hint="eastAsia" w:ascii="宋体" w:hAnsi="宋体" w:eastAsia="宋体" w:cs="宋体"/>
          <w:color w:val="auto"/>
          <w:kern w:val="0"/>
          <w:sz w:val="24"/>
          <w:highlight w:val="none"/>
          <w:lang w:val="en-US" w:eastAsia="zh-CN"/>
        </w:rPr>
      </w:pPr>
      <w:r>
        <w:rPr>
          <w:rFonts w:hint="eastAsia" w:ascii="宋体" w:hAnsi="宋体" w:eastAsia="宋体" w:cs="宋体"/>
          <w:color w:val="auto"/>
          <w:sz w:val="24"/>
          <w:highlight w:val="none"/>
        </w:rPr>
        <w:t>(一)时间：202</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lang w:val="en-US" w:eastAsia="zh-CN"/>
        </w:rPr>
        <w:t xml:space="preserve"> </w:t>
      </w:r>
      <w:r>
        <w:rPr>
          <w:rFonts w:hint="eastAsia" w:ascii="宋体" w:hAnsi="宋体" w:cs="宋体"/>
          <w:sz w:val="24"/>
          <w:u w:val="single"/>
          <w:lang w:val="en-US" w:eastAsia="zh-CN"/>
        </w:rPr>
        <w:t>11</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u w:val="single"/>
          <w:lang w:val="en-US" w:eastAsia="zh-CN"/>
        </w:rPr>
        <w:t>05</w:t>
      </w:r>
      <w:r>
        <w:rPr>
          <w:rFonts w:hint="eastAsia" w:ascii="宋体" w:hAnsi="宋体" w:cs="宋体"/>
          <w:sz w:val="24"/>
          <w:u w:val="single"/>
        </w:rPr>
        <w:t xml:space="preserve"> </w:t>
      </w:r>
      <w:r>
        <w:rPr>
          <w:rFonts w:hint="eastAsia" w:ascii="宋体" w:hAnsi="宋体" w:eastAsia="宋体" w:cs="宋体"/>
          <w:color w:val="auto"/>
          <w:sz w:val="24"/>
          <w:highlight w:val="none"/>
        </w:rPr>
        <w:t>日起至202</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lang w:val="en-US" w:eastAsia="zh-CN"/>
        </w:rPr>
        <w:t xml:space="preserve"> </w:t>
      </w:r>
      <w:r>
        <w:rPr>
          <w:rFonts w:hint="eastAsia" w:ascii="宋体" w:hAnsi="宋体" w:cs="宋体"/>
          <w:sz w:val="24"/>
          <w:u w:val="single"/>
          <w:lang w:val="en-US" w:eastAsia="zh-CN"/>
        </w:rPr>
        <w:t>11</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u w:val="single"/>
          <w:lang w:val="en-US" w:eastAsia="zh-CN"/>
        </w:rPr>
        <w:t>11</w:t>
      </w:r>
      <w:r>
        <w:rPr>
          <w:rFonts w:hint="eastAsia" w:ascii="宋体" w:hAnsi="宋体" w:cs="宋体"/>
          <w:sz w:val="24"/>
          <w:u w:val="single"/>
        </w:rPr>
        <w:t xml:space="preserve"> </w:t>
      </w:r>
      <w:r>
        <w:rPr>
          <w:rFonts w:hint="eastAsia" w:ascii="宋体" w:hAnsi="宋体" w:eastAsia="宋体" w:cs="宋体"/>
          <w:color w:val="auto"/>
          <w:sz w:val="24"/>
          <w:highlight w:val="none"/>
        </w:rPr>
        <w:t>日</w:t>
      </w:r>
      <w:r>
        <w:rPr>
          <w:rFonts w:hint="eastAsia" w:ascii="宋体" w:hAnsi="宋体" w:eastAsia="宋体" w:cs="宋体"/>
          <w:color w:val="auto"/>
          <w:kern w:val="0"/>
          <w:sz w:val="24"/>
          <w:highlight w:val="none"/>
        </w:rPr>
        <w:t>止(节假日休息)，每天</w:t>
      </w:r>
      <w:r>
        <w:rPr>
          <w:rFonts w:hint="eastAsia" w:ascii="宋体" w:hAnsi="宋体" w:eastAsia="宋体" w:cs="宋体"/>
          <w:color w:val="auto"/>
          <w:kern w:val="0"/>
          <w:sz w:val="24"/>
          <w:highlight w:val="none"/>
          <w:lang w:val="en-US" w:eastAsia="zh-CN"/>
        </w:rPr>
        <w:t>9</w:t>
      </w:r>
      <w:r>
        <w:rPr>
          <w:rFonts w:hint="eastAsia" w:ascii="宋体" w:hAnsi="宋体" w:eastAsia="宋体" w:cs="宋体"/>
          <w:color w:val="auto"/>
          <w:kern w:val="0"/>
          <w:sz w:val="24"/>
          <w:highlight w:val="none"/>
        </w:rPr>
        <w:t>:</w:t>
      </w:r>
      <w:r>
        <w:rPr>
          <w:rFonts w:hint="eastAsia" w:ascii="宋体" w:hAnsi="宋体" w:cs="宋体"/>
          <w:color w:val="auto"/>
          <w:kern w:val="0"/>
          <w:sz w:val="24"/>
          <w:highlight w:val="none"/>
          <w:lang w:val="en-US" w:eastAsia="zh-CN"/>
        </w:rPr>
        <w:t>3</w:t>
      </w:r>
      <w:r>
        <w:rPr>
          <w:rFonts w:hint="eastAsia" w:ascii="宋体" w:hAnsi="宋体" w:eastAsia="宋体" w:cs="宋体"/>
          <w:color w:val="auto"/>
          <w:kern w:val="0"/>
          <w:sz w:val="24"/>
          <w:highlight w:val="none"/>
        </w:rPr>
        <w:t>0-</w:t>
      </w:r>
      <w:r>
        <w:rPr>
          <w:rFonts w:hint="eastAsia" w:ascii="宋体" w:hAnsi="宋体" w:eastAsia="宋体" w:cs="宋体"/>
          <w:color w:val="auto"/>
          <w:kern w:val="0"/>
          <w:sz w:val="24"/>
          <w:highlight w:val="none"/>
          <w:lang w:val="en-US" w:eastAsia="zh-CN"/>
        </w:rPr>
        <w:t>17</w:t>
      </w:r>
      <w:r>
        <w:rPr>
          <w:rFonts w:hint="eastAsia" w:ascii="宋体" w:hAnsi="宋体" w:eastAsia="宋体" w:cs="宋体"/>
          <w:color w:val="auto"/>
          <w:kern w:val="0"/>
          <w:sz w:val="24"/>
          <w:highlight w:val="none"/>
        </w:rPr>
        <w:t>:</w:t>
      </w:r>
      <w:r>
        <w:rPr>
          <w:rFonts w:hint="eastAsia" w:ascii="宋体" w:hAnsi="宋体" w:cs="宋体"/>
          <w:color w:val="auto"/>
          <w:kern w:val="0"/>
          <w:sz w:val="24"/>
          <w:highlight w:val="none"/>
          <w:lang w:val="en-US" w:eastAsia="zh-CN"/>
        </w:rPr>
        <w:t>3</w:t>
      </w:r>
      <w:r>
        <w:rPr>
          <w:rFonts w:hint="eastAsia" w:ascii="宋体" w:hAnsi="宋体" w:eastAsia="宋体" w:cs="宋体"/>
          <w:color w:val="auto"/>
          <w:kern w:val="0"/>
          <w:sz w:val="24"/>
          <w:highlight w:val="none"/>
        </w:rPr>
        <w:t>0(北京时间)。</w:t>
      </w:r>
      <w:r>
        <w:rPr>
          <w:rFonts w:hint="eastAsia" w:ascii="宋体" w:hAnsi="宋体" w:eastAsia="宋体" w:cs="宋体"/>
          <w:color w:val="auto"/>
          <w:kern w:val="0"/>
          <w:sz w:val="24"/>
          <w:highlight w:val="none"/>
          <w:lang w:val="en-US" w:eastAsia="zh-CN"/>
        </w:rPr>
        <w:t xml:space="preserve"> </w:t>
      </w:r>
    </w:p>
    <w:p w14:paraId="798D052D">
      <w:pPr>
        <w:spacing w:line="360" w:lineRule="auto"/>
        <w:ind w:firstLine="480" w:firstLineChars="200"/>
        <w:jc w:val="left"/>
        <w:rPr>
          <w:sz w:val="24"/>
          <w:highlight w:val="none"/>
        </w:rPr>
      </w:pPr>
      <w:r>
        <w:rPr>
          <w:rFonts w:hint="eastAsia"/>
          <w:sz w:val="24"/>
          <w:highlight w:val="none"/>
          <w:lang w:eastAsia="zh-CN"/>
        </w:rPr>
        <w:t>（</w:t>
      </w:r>
      <w:r>
        <w:rPr>
          <w:rFonts w:hint="eastAsia"/>
          <w:sz w:val="24"/>
          <w:highlight w:val="none"/>
          <w:lang w:val="en-US" w:eastAsia="zh-CN"/>
        </w:rPr>
        <w:t>二</w:t>
      </w:r>
      <w:r>
        <w:rPr>
          <w:rFonts w:hint="eastAsia"/>
          <w:sz w:val="24"/>
          <w:highlight w:val="none"/>
          <w:lang w:eastAsia="zh-CN"/>
        </w:rPr>
        <w:t>）</w:t>
      </w:r>
      <w:r>
        <w:rPr>
          <w:sz w:val="24"/>
          <w:highlight w:val="none"/>
        </w:rPr>
        <w:t>地点：北京市政府采购电子交易平台</w:t>
      </w:r>
    </w:p>
    <w:p w14:paraId="6D73626C">
      <w:pPr>
        <w:widowControl/>
        <w:adjustRightInd w:val="0"/>
        <w:snapToGrid w:val="0"/>
        <w:spacing w:line="480" w:lineRule="auto"/>
        <w:ind w:firstLine="480" w:firstLineChars="200"/>
        <w:jc w:val="left"/>
        <w:rPr>
          <w:rFonts w:hint="eastAsia"/>
          <w:sz w:val="24"/>
          <w:highlight w:val="none"/>
          <w:lang w:eastAsia="zh-CN"/>
        </w:rPr>
      </w:pPr>
      <w:r>
        <w:rPr>
          <w:rFonts w:hint="eastAsia"/>
          <w:sz w:val="24"/>
          <w:highlight w:val="none"/>
          <w:lang w:eastAsia="zh-CN"/>
        </w:rPr>
        <w:t>（</w:t>
      </w:r>
      <w:r>
        <w:rPr>
          <w:rFonts w:hint="eastAsia"/>
          <w:sz w:val="24"/>
          <w:highlight w:val="none"/>
          <w:lang w:val="en-US" w:eastAsia="zh-CN"/>
        </w:rPr>
        <w:t>三</w:t>
      </w:r>
      <w:r>
        <w:rPr>
          <w:rFonts w:hint="eastAsia"/>
          <w:sz w:val="24"/>
          <w:highlight w:val="none"/>
          <w:lang w:eastAsia="zh-CN"/>
        </w:rPr>
        <w:t>）</w:t>
      </w:r>
      <w:r>
        <w:rPr>
          <w:sz w:val="24"/>
          <w:highlight w:val="none"/>
        </w:rPr>
        <w:t>方式：</w:t>
      </w:r>
      <w:r>
        <w:rPr>
          <w:rFonts w:hint="eastAsia"/>
          <w:sz w:val="24"/>
          <w:highlight w:val="none"/>
          <w:lang w:eastAsia="zh-CN"/>
        </w:rPr>
        <w:t>供应商使用 CA 数字证书或电子营业执照登录北京市政府采购电子交易平台（ http://zbcg-bjzc.zhongcy.com/bjczj-portal-site/index.html#/home ）获取电子版竞争性磋商文件。</w:t>
      </w:r>
    </w:p>
    <w:p w14:paraId="31248D3F">
      <w:pPr>
        <w:widowControl/>
        <w:adjustRightInd w:val="0"/>
        <w:snapToGrid w:val="0"/>
        <w:spacing w:line="480" w:lineRule="auto"/>
        <w:ind w:firstLine="480" w:firstLineChars="200"/>
        <w:jc w:val="left"/>
        <w:rPr>
          <w:sz w:val="24"/>
          <w:highlight w:val="none"/>
        </w:rPr>
      </w:pPr>
      <w:r>
        <w:rPr>
          <w:rFonts w:hint="eastAsia"/>
          <w:sz w:val="24"/>
          <w:highlight w:val="none"/>
          <w:lang w:eastAsia="zh-CN"/>
        </w:rPr>
        <w:t>（</w:t>
      </w:r>
      <w:r>
        <w:rPr>
          <w:rFonts w:hint="eastAsia"/>
          <w:sz w:val="24"/>
          <w:highlight w:val="none"/>
          <w:lang w:val="en-US" w:eastAsia="zh-CN"/>
        </w:rPr>
        <w:t>四</w:t>
      </w:r>
      <w:r>
        <w:rPr>
          <w:rFonts w:hint="eastAsia"/>
          <w:sz w:val="24"/>
          <w:highlight w:val="none"/>
          <w:lang w:eastAsia="zh-CN"/>
        </w:rPr>
        <w:t>）</w:t>
      </w:r>
      <w:r>
        <w:rPr>
          <w:sz w:val="24"/>
          <w:highlight w:val="none"/>
        </w:rPr>
        <w:t>售价：</w:t>
      </w:r>
      <w:r>
        <w:rPr>
          <w:rFonts w:hint="eastAsia"/>
          <w:sz w:val="24"/>
          <w:highlight w:val="none"/>
        </w:rPr>
        <w:t>0元</w:t>
      </w:r>
      <w:r>
        <w:rPr>
          <w:sz w:val="24"/>
          <w:highlight w:val="none"/>
        </w:rPr>
        <w:t>。</w:t>
      </w:r>
    </w:p>
    <w:p w14:paraId="630CA684">
      <w:pPr>
        <w:spacing w:line="360" w:lineRule="auto"/>
        <w:jc w:val="left"/>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t>四、响应文件提交：</w:t>
      </w:r>
    </w:p>
    <w:p w14:paraId="0A12F401">
      <w:pPr>
        <w:spacing w:line="360" w:lineRule="auto"/>
        <w:ind w:firstLine="480" w:firstLineChars="200"/>
        <w:jc w:val="left"/>
        <w:rPr>
          <w:rFonts w:hint="eastAsia" w:ascii="宋体" w:hAnsi="宋体" w:eastAsia="宋体" w:cs="宋体"/>
          <w:color w:val="auto"/>
          <w:sz w:val="24"/>
          <w:highlight w:val="none"/>
        </w:rPr>
      </w:pPr>
      <w:bookmarkStart w:id="16" w:name="_Toc28359005"/>
      <w:bookmarkStart w:id="17" w:name="_Toc35393793"/>
      <w:bookmarkStart w:id="18" w:name="_Toc35393624"/>
      <w:bookmarkStart w:id="19" w:name="_Toc28359082"/>
      <w:r>
        <w:rPr>
          <w:rFonts w:hint="eastAsia" w:ascii="宋体" w:hAnsi="宋体" w:eastAsia="宋体" w:cs="宋体"/>
          <w:color w:val="auto"/>
          <w:sz w:val="24"/>
          <w:highlight w:val="none"/>
        </w:rPr>
        <w:t>202</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lang w:val="en-US" w:eastAsia="zh-CN"/>
        </w:rPr>
        <w:t xml:space="preserve"> </w:t>
      </w:r>
      <w:r>
        <w:rPr>
          <w:rFonts w:hint="eastAsia" w:ascii="宋体" w:hAnsi="宋体" w:cs="宋体"/>
          <w:sz w:val="24"/>
          <w:u w:val="single"/>
          <w:lang w:val="en-US" w:eastAsia="zh-CN"/>
        </w:rPr>
        <w:t>11</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u w:val="single"/>
          <w:lang w:val="en-US" w:eastAsia="zh-CN"/>
        </w:rPr>
        <w:t>15</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日</w:t>
      </w:r>
      <w:r>
        <w:rPr>
          <w:rFonts w:hint="eastAsia" w:ascii="宋体" w:hAnsi="宋体" w:cs="宋体"/>
          <w:color w:val="auto"/>
          <w:sz w:val="24"/>
          <w:highlight w:val="none"/>
          <w:lang w:val="en-US" w:eastAsia="zh-CN"/>
        </w:rPr>
        <w:t>下</w:t>
      </w:r>
      <w:r>
        <w:rPr>
          <w:rFonts w:hint="eastAsia" w:ascii="宋体" w:hAnsi="宋体" w:eastAsia="宋体" w:cs="宋体"/>
          <w:color w:val="auto"/>
          <w:sz w:val="24"/>
          <w:highlight w:val="none"/>
        </w:rPr>
        <w:t>午</w:t>
      </w:r>
      <w:r>
        <w:rPr>
          <w:rFonts w:hint="eastAsia" w:ascii="宋体" w:hAnsi="宋体" w:cs="宋体"/>
          <w:color w:val="auto"/>
          <w:sz w:val="24"/>
          <w:highlight w:val="none"/>
          <w:lang w:val="en-US" w:eastAsia="zh-CN"/>
        </w:rPr>
        <w:t>13</w:t>
      </w:r>
      <w:r>
        <w:rPr>
          <w:rFonts w:hint="eastAsia" w:ascii="宋体" w:hAnsi="宋体" w:eastAsia="宋体" w:cs="宋体"/>
          <w:color w:val="auto"/>
          <w:kern w:val="0"/>
          <w:sz w:val="24"/>
          <w:highlight w:val="none"/>
        </w:rPr>
        <w:t>:</w:t>
      </w:r>
      <w:r>
        <w:rPr>
          <w:rFonts w:hint="eastAsia" w:ascii="宋体" w:hAnsi="宋体" w:eastAsia="宋体" w:cs="宋体"/>
          <w:color w:val="auto"/>
          <w:sz w:val="24"/>
          <w:highlight w:val="none"/>
        </w:rPr>
        <w:t>00—</w:t>
      </w:r>
      <w:r>
        <w:rPr>
          <w:rFonts w:hint="eastAsia" w:ascii="宋体" w:hAnsi="宋体" w:cs="宋体"/>
          <w:color w:val="auto"/>
          <w:sz w:val="24"/>
          <w:highlight w:val="none"/>
          <w:lang w:val="en-US" w:eastAsia="zh-CN"/>
        </w:rPr>
        <w:t>13</w:t>
      </w:r>
      <w:r>
        <w:rPr>
          <w:rFonts w:hint="eastAsia" w:ascii="宋体" w:hAnsi="宋体" w:eastAsia="宋体" w:cs="宋体"/>
          <w:color w:val="auto"/>
          <w:kern w:val="0"/>
          <w:sz w:val="24"/>
          <w:highlight w:val="none"/>
        </w:rPr>
        <w:t>:</w:t>
      </w:r>
      <w:r>
        <w:rPr>
          <w:rFonts w:hint="eastAsia" w:ascii="宋体" w:hAnsi="宋体" w:eastAsia="宋体" w:cs="宋体"/>
          <w:color w:val="auto"/>
          <w:sz w:val="24"/>
          <w:highlight w:val="none"/>
        </w:rPr>
        <w:t>30（北京时间），逾期收到或不符合规定的响应文件恕不接受。</w:t>
      </w:r>
    </w:p>
    <w:p w14:paraId="42774D39">
      <w:pPr>
        <w:spacing w:line="360" w:lineRule="auto"/>
        <w:jc w:val="left"/>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t>五、</w:t>
      </w:r>
      <w:r>
        <w:rPr>
          <w:rFonts w:hint="eastAsia" w:ascii="宋体" w:hAnsi="宋体" w:eastAsia="宋体" w:cs="宋体"/>
          <w:b/>
          <w:color w:val="auto"/>
          <w:kern w:val="0"/>
          <w:sz w:val="24"/>
          <w:highlight w:val="none"/>
          <w:lang w:val="en-US" w:eastAsia="zh-CN"/>
        </w:rPr>
        <w:t>开启</w:t>
      </w:r>
    </w:p>
    <w:p w14:paraId="58878684">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时间：</w:t>
      </w:r>
      <w:r>
        <w:rPr>
          <w:rFonts w:hint="eastAsia" w:ascii="宋体" w:hAnsi="宋体" w:eastAsia="宋体" w:cs="宋体"/>
          <w:color w:val="auto"/>
          <w:sz w:val="24"/>
          <w:highlight w:val="none"/>
        </w:rPr>
        <w:t>202</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lang w:val="en-US" w:eastAsia="zh-CN"/>
        </w:rPr>
        <w:t xml:space="preserve">  </w:t>
      </w:r>
      <w:r>
        <w:rPr>
          <w:rFonts w:hint="eastAsia" w:ascii="宋体" w:hAnsi="宋体" w:cs="宋体"/>
          <w:sz w:val="24"/>
          <w:u w:val="single"/>
          <w:lang w:val="en-US" w:eastAsia="zh-CN"/>
        </w:rPr>
        <w:t>11</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u w:val="single"/>
          <w:lang w:val="en-US" w:eastAsia="zh-CN"/>
        </w:rPr>
        <w:t>15</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日</w:t>
      </w:r>
      <w:r>
        <w:rPr>
          <w:rFonts w:hint="eastAsia" w:ascii="宋体" w:hAnsi="宋体" w:cs="宋体"/>
          <w:color w:val="auto"/>
          <w:sz w:val="24"/>
          <w:highlight w:val="none"/>
          <w:lang w:val="en-US" w:eastAsia="zh-CN"/>
        </w:rPr>
        <w:t>下</w:t>
      </w:r>
      <w:r>
        <w:rPr>
          <w:rFonts w:hint="eastAsia" w:ascii="宋体" w:hAnsi="宋体" w:eastAsia="宋体" w:cs="宋体"/>
          <w:color w:val="auto"/>
          <w:sz w:val="24"/>
          <w:highlight w:val="none"/>
        </w:rPr>
        <w:t>午</w:t>
      </w:r>
      <w:r>
        <w:rPr>
          <w:rFonts w:hint="eastAsia" w:ascii="宋体" w:hAnsi="宋体" w:cs="宋体"/>
          <w:color w:val="auto"/>
          <w:sz w:val="24"/>
          <w:highlight w:val="none"/>
          <w:u w:val="single"/>
          <w:lang w:val="en-US" w:eastAsia="zh-CN"/>
        </w:rPr>
        <w:t>13</w:t>
      </w:r>
      <w:r>
        <w:rPr>
          <w:rFonts w:hint="eastAsia" w:ascii="宋体" w:hAnsi="宋体" w:eastAsia="宋体" w:cs="宋体"/>
          <w:color w:val="auto"/>
          <w:kern w:val="0"/>
          <w:sz w:val="24"/>
          <w:highlight w:val="none"/>
          <w:u w:val="single"/>
        </w:rPr>
        <w:t>:</w:t>
      </w:r>
      <w:r>
        <w:rPr>
          <w:rFonts w:hint="eastAsia" w:ascii="宋体" w:hAnsi="宋体" w:eastAsia="宋体" w:cs="宋体"/>
          <w:color w:val="auto"/>
          <w:sz w:val="24"/>
          <w:highlight w:val="none"/>
          <w:u w:val="single"/>
        </w:rPr>
        <w:t>30</w:t>
      </w:r>
      <w:r>
        <w:rPr>
          <w:rFonts w:hint="eastAsia" w:ascii="宋体" w:hAnsi="宋体" w:eastAsia="宋体" w:cs="宋体"/>
          <w:color w:val="auto"/>
          <w:sz w:val="24"/>
          <w:highlight w:val="none"/>
          <w:lang w:val="en-US" w:eastAsia="zh-CN"/>
        </w:rPr>
        <w:t>分</w:t>
      </w:r>
      <w:r>
        <w:rPr>
          <w:rFonts w:hint="eastAsia" w:ascii="宋体" w:hAnsi="宋体" w:eastAsia="宋体" w:cs="宋体"/>
          <w:color w:val="auto"/>
          <w:sz w:val="24"/>
          <w:highlight w:val="none"/>
        </w:rPr>
        <w:t>（北京时间）。</w:t>
      </w:r>
    </w:p>
    <w:p w14:paraId="4A1B57C2">
      <w:pPr>
        <w:pStyle w:val="15"/>
        <w:keepNext w:val="0"/>
        <w:keepLines w:val="0"/>
        <w:widowControl/>
        <w:suppressLineNumbers w:val="0"/>
        <w:spacing w:before="0" w:beforeAutospacing="0" w:after="300" w:afterAutospacing="0" w:line="480" w:lineRule="auto"/>
        <w:ind w:left="0" w:right="0" w:firstLine="480" w:firstLineChars="200"/>
        <w:rPr>
          <w:rFonts w:hint="eastAsia" w:ascii="宋体" w:hAnsi="宋体" w:eastAsia="宋体" w:cs="宋体"/>
          <w:color w:val="auto"/>
          <w:sz w:val="24"/>
          <w:highlight w:val="yellow"/>
          <w:lang w:val="en-US" w:eastAsia="zh-CN"/>
        </w:rPr>
      </w:pPr>
      <w:r>
        <w:rPr>
          <w:rFonts w:hint="eastAsia" w:cs="宋体"/>
          <w:color w:val="auto"/>
          <w:sz w:val="24"/>
          <w:highlight w:val="none"/>
          <w:lang w:val="en-US" w:eastAsia="zh-CN"/>
        </w:rPr>
        <w:t>地点</w:t>
      </w:r>
      <w:r>
        <w:rPr>
          <w:rFonts w:hint="eastAsia" w:ascii="宋体" w:hAnsi="宋体" w:cs="宋体"/>
          <w:color w:val="auto"/>
          <w:sz w:val="24"/>
          <w:highlight w:val="none"/>
          <w:lang w:val="en-US" w:eastAsia="zh-CN"/>
        </w:rPr>
        <w:t>：</w:t>
      </w:r>
      <w:r>
        <w:rPr>
          <w:rFonts w:hint="eastAsia" w:cs="宋体"/>
          <w:color w:val="auto"/>
          <w:sz w:val="24"/>
          <w:highlight w:val="none"/>
          <w:lang w:val="en-US" w:eastAsia="zh-CN"/>
        </w:rPr>
        <w:t>北京市昌平区</w:t>
      </w:r>
      <w:r>
        <w:rPr>
          <w:rFonts w:hint="eastAsia" w:ascii="宋体" w:hAnsi="宋体" w:eastAsia="宋体" w:cs="宋体"/>
          <w:color w:val="404040"/>
          <w:sz w:val="24"/>
          <w:szCs w:val="24"/>
          <w:highlight w:val="none"/>
          <w:shd w:val="clear" w:fill="FFFFFF"/>
        </w:rPr>
        <w:t>超前路37号院中关村兴业创业园6号楼B单元1305</w:t>
      </w:r>
    </w:p>
    <w:p w14:paraId="0940D1AA">
      <w:pPr>
        <w:numPr>
          <w:ilvl w:val="0"/>
          <w:numId w:val="2"/>
        </w:numPr>
        <w:spacing w:line="360" w:lineRule="auto"/>
        <w:jc w:val="left"/>
        <w:rPr>
          <w:rFonts w:hint="eastAsia" w:ascii="宋体" w:hAnsi="宋体" w:eastAsia="宋体" w:cs="宋体"/>
          <w:b/>
          <w:color w:val="auto"/>
          <w:kern w:val="0"/>
          <w:sz w:val="24"/>
          <w:highlight w:val="none"/>
          <w:lang w:val="en-US" w:eastAsia="zh-CN"/>
        </w:rPr>
      </w:pPr>
      <w:r>
        <w:rPr>
          <w:rFonts w:hint="eastAsia" w:ascii="宋体" w:hAnsi="宋体" w:eastAsia="宋体" w:cs="宋体"/>
          <w:b/>
          <w:color w:val="auto"/>
          <w:kern w:val="0"/>
          <w:sz w:val="24"/>
          <w:highlight w:val="none"/>
          <w:lang w:val="en-US" w:eastAsia="zh-CN"/>
        </w:rPr>
        <w:t>公告期限</w:t>
      </w:r>
    </w:p>
    <w:p w14:paraId="361CEB98">
      <w:pPr>
        <w:numPr>
          <w:ilvl w:val="0"/>
          <w:numId w:val="0"/>
        </w:numPr>
        <w:spacing w:line="360" w:lineRule="auto"/>
        <w:ind w:firstLine="480" w:firstLineChars="200"/>
        <w:jc w:val="left"/>
        <w:rPr>
          <w:rFonts w:hint="default" w:ascii="宋体" w:hAnsi="宋体" w:eastAsia="宋体" w:cs="宋体"/>
          <w:b w:val="0"/>
          <w:bCs/>
          <w:color w:val="auto"/>
          <w:kern w:val="0"/>
          <w:sz w:val="24"/>
          <w:highlight w:val="none"/>
          <w:lang w:val="en-US" w:eastAsia="zh-CN"/>
        </w:rPr>
      </w:pPr>
      <w:r>
        <w:rPr>
          <w:rFonts w:hint="eastAsia" w:ascii="宋体" w:hAnsi="宋体" w:eastAsia="宋体" w:cs="宋体"/>
          <w:b w:val="0"/>
          <w:bCs/>
          <w:color w:val="auto"/>
          <w:kern w:val="0"/>
          <w:sz w:val="24"/>
          <w:highlight w:val="none"/>
          <w:lang w:val="en-US" w:eastAsia="zh-CN"/>
        </w:rPr>
        <w:t>自本公告发布之日起3个工作日</w:t>
      </w:r>
    </w:p>
    <w:p w14:paraId="7243202A">
      <w:pPr>
        <w:pStyle w:val="3"/>
        <w:spacing w:before="0" w:line="480" w:lineRule="auto"/>
        <w:jc w:val="left"/>
        <w:rPr>
          <w:rFonts w:ascii="Times New Roman" w:hAnsi="Times New Roman" w:eastAsia="宋体"/>
          <w:sz w:val="24"/>
          <w:szCs w:val="24"/>
          <w:highlight w:val="none"/>
        </w:rPr>
      </w:pPr>
      <w:bookmarkStart w:id="20" w:name="_Toc35393795"/>
      <w:bookmarkStart w:id="21" w:name="_Toc35393626"/>
      <w:r>
        <w:rPr>
          <w:rFonts w:hint="eastAsia" w:ascii="Times New Roman" w:hAnsi="Times New Roman" w:eastAsia="宋体"/>
          <w:sz w:val="24"/>
          <w:szCs w:val="24"/>
          <w:highlight w:val="none"/>
          <w:lang w:val="en-US" w:eastAsia="zh-CN"/>
        </w:rPr>
        <w:t>七</w:t>
      </w:r>
      <w:r>
        <w:rPr>
          <w:rFonts w:ascii="Times New Roman" w:hAnsi="Times New Roman" w:eastAsia="宋体"/>
          <w:sz w:val="24"/>
          <w:szCs w:val="24"/>
          <w:highlight w:val="none"/>
        </w:rPr>
        <w:t>、其他补充事宜</w:t>
      </w:r>
      <w:bookmarkEnd w:id="20"/>
      <w:bookmarkEnd w:id="21"/>
    </w:p>
    <w:p w14:paraId="14F7392E">
      <w:pPr>
        <w:spacing w:line="480" w:lineRule="auto"/>
        <w:ind w:firstLine="480" w:firstLineChars="200"/>
        <w:rPr>
          <w:sz w:val="24"/>
          <w:highlight w:val="none"/>
        </w:rPr>
      </w:pPr>
      <w:r>
        <w:rPr>
          <w:sz w:val="24"/>
          <w:highlight w:val="none"/>
        </w:rPr>
        <w:t>1.本项目需要落实的政府采购政策：</w:t>
      </w:r>
      <w:r>
        <w:rPr>
          <w:rFonts w:hint="eastAsia" w:ascii="宋体" w:hAnsi="宋体" w:cs="宋体"/>
          <w:sz w:val="24"/>
          <w:highlight w:val="none"/>
        </w:rPr>
        <w:t>节约能源、保护环境、扶持不发达地区和少数民族地区、促进中小企业发展、支持监狱、戒毒企业发展、促进残疾人就业、优先采购贫困地区农副产品、支持创新、绿色发展等政府采购政策</w:t>
      </w:r>
      <w:r>
        <w:rPr>
          <w:sz w:val="24"/>
          <w:highlight w:val="none"/>
        </w:rPr>
        <w:t xml:space="preserve">。 </w:t>
      </w:r>
    </w:p>
    <w:p w14:paraId="4B795187">
      <w:pPr>
        <w:spacing w:line="480" w:lineRule="auto"/>
        <w:ind w:firstLine="480" w:firstLineChars="200"/>
        <w:rPr>
          <w:rFonts w:hint="eastAsia"/>
          <w:sz w:val="24"/>
          <w:highlight w:val="none"/>
        </w:rPr>
      </w:pPr>
      <w:r>
        <w:rPr>
          <w:rFonts w:hint="eastAsia"/>
          <w:sz w:val="24"/>
          <w:highlight w:val="none"/>
          <w:lang w:val="en-US" w:eastAsia="zh-CN"/>
        </w:rPr>
        <w:t>2</w:t>
      </w:r>
      <w:r>
        <w:rPr>
          <w:rFonts w:hint="eastAsia"/>
          <w:sz w:val="24"/>
          <w:highlight w:val="none"/>
        </w:rPr>
        <w:t>.本项目采用全流程电子化采购方式， 请供应商认真学习北京市政府采购电子交易 平台发布的相关操作手册（供应商可在交易平台下载相关手册），办理 CA 数字证书或  电子营业执照、进行北京市政府采购电子交易平台注册绑定， 并认真核实 CA 数字证书</w:t>
      </w:r>
    </w:p>
    <w:p w14:paraId="36635936">
      <w:pPr>
        <w:spacing w:line="480" w:lineRule="auto"/>
        <w:ind w:firstLine="480" w:firstLineChars="200"/>
        <w:rPr>
          <w:rFonts w:hint="eastAsia"/>
          <w:sz w:val="24"/>
          <w:highlight w:val="none"/>
        </w:rPr>
      </w:pPr>
      <w:r>
        <w:rPr>
          <w:rFonts w:hint="eastAsia"/>
          <w:sz w:val="24"/>
          <w:highlight w:val="none"/>
        </w:rPr>
        <w:t>或电子营业执照情况确认是否符合本项目电子化采购流程要求。</w:t>
      </w:r>
    </w:p>
    <w:p w14:paraId="0BDC138D">
      <w:pPr>
        <w:spacing w:line="480" w:lineRule="auto"/>
        <w:ind w:firstLine="480" w:firstLineChars="200"/>
        <w:rPr>
          <w:rFonts w:hint="eastAsia"/>
          <w:sz w:val="24"/>
          <w:highlight w:val="none"/>
        </w:rPr>
      </w:pPr>
      <w:r>
        <w:rPr>
          <w:rFonts w:hint="eastAsia"/>
          <w:sz w:val="24"/>
          <w:highlight w:val="none"/>
        </w:rPr>
        <w:t>CA 数字证书服务热线 010-58511086</w:t>
      </w:r>
    </w:p>
    <w:p w14:paraId="64BAC953">
      <w:pPr>
        <w:spacing w:line="480" w:lineRule="auto"/>
        <w:ind w:firstLine="480" w:firstLineChars="200"/>
        <w:rPr>
          <w:rFonts w:hint="eastAsia"/>
          <w:sz w:val="24"/>
          <w:highlight w:val="none"/>
        </w:rPr>
      </w:pPr>
      <w:r>
        <w:rPr>
          <w:rFonts w:hint="eastAsia"/>
          <w:sz w:val="24"/>
          <w:highlight w:val="none"/>
        </w:rPr>
        <w:t>电子营业执照服务热线 400-699-7000</w:t>
      </w:r>
    </w:p>
    <w:p w14:paraId="492D2FD8">
      <w:pPr>
        <w:spacing w:line="480" w:lineRule="auto"/>
        <w:ind w:firstLine="480" w:firstLineChars="200"/>
        <w:rPr>
          <w:rFonts w:hint="eastAsia"/>
          <w:sz w:val="24"/>
          <w:highlight w:val="none"/>
        </w:rPr>
      </w:pPr>
      <w:r>
        <w:rPr>
          <w:rFonts w:hint="eastAsia"/>
          <w:sz w:val="24"/>
          <w:highlight w:val="none"/>
        </w:rPr>
        <w:t>技术支持服务热线    010-86483801</w:t>
      </w:r>
    </w:p>
    <w:p w14:paraId="524E1F4A">
      <w:pPr>
        <w:spacing w:line="480" w:lineRule="auto"/>
        <w:ind w:firstLine="480" w:firstLineChars="200"/>
        <w:rPr>
          <w:rFonts w:hint="eastAsia"/>
          <w:sz w:val="24"/>
          <w:highlight w:val="none"/>
        </w:rPr>
      </w:pPr>
      <w:r>
        <w:rPr>
          <w:rFonts w:hint="eastAsia"/>
          <w:sz w:val="24"/>
          <w:highlight w:val="none"/>
          <w:lang w:val="en-US" w:eastAsia="zh-CN"/>
        </w:rPr>
        <w:t>2</w:t>
      </w:r>
      <w:r>
        <w:rPr>
          <w:rFonts w:hint="eastAsia"/>
          <w:sz w:val="24"/>
          <w:highlight w:val="none"/>
        </w:rPr>
        <w:t>.1 办理 CA 数字证书或电子营业执照</w:t>
      </w:r>
    </w:p>
    <w:p w14:paraId="237D92B2">
      <w:pPr>
        <w:spacing w:line="480" w:lineRule="auto"/>
        <w:ind w:firstLine="480" w:firstLineChars="200"/>
        <w:rPr>
          <w:rFonts w:hint="eastAsia"/>
          <w:sz w:val="24"/>
          <w:highlight w:val="none"/>
        </w:rPr>
      </w:pPr>
      <w:r>
        <w:rPr>
          <w:rFonts w:hint="eastAsia"/>
          <w:sz w:val="24"/>
          <w:highlight w:val="none"/>
        </w:rPr>
        <w:t>供应商登录北京市政府采购电子交易平台查阅 “用户指南”— “操作指南”— “ 市场主体 CA 办理操作流程指引” /“电子营业执照使用指南” ，按照程序要求办理。</w:t>
      </w:r>
    </w:p>
    <w:p w14:paraId="47274C66">
      <w:pPr>
        <w:spacing w:line="480" w:lineRule="auto"/>
        <w:ind w:firstLine="480" w:firstLineChars="200"/>
        <w:rPr>
          <w:rFonts w:hint="eastAsia"/>
          <w:sz w:val="24"/>
          <w:highlight w:val="none"/>
        </w:rPr>
      </w:pPr>
      <w:r>
        <w:rPr>
          <w:rFonts w:hint="eastAsia"/>
          <w:sz w:val="24"/>
          <w:highlight w:val="none"/>
          <w:lang w:val="en-US" w:eastAsia="zh-CN"/>
        </w:rPr>
        <w:t>2</w:t>
      </w:r>
      <w:r>
        <w:rPr>
          <w:rFonts w:hint="eastAsia"/>
          <w:sz w:val="24"/>
          <w:highlight w:val="none"/>
        </w:rPr>
        <w:t>.2 注册</w:t>
      </w:r>
    </w:p>
    <w:p w14:paraId="608A2E9A">
      <w:pPr>
        <w:spacing w:line="480" w:lineRule="auto"/>
        <w:ind w:firstLine="480" w:firstLineChars="200"/>
        <w:rPr>
          <w:rFonts w:hint="eastAsia"/>
          <w:sz w:val="24"/>
          <w:highlight w:val="none"/>
        </w:rPr>
      </w:pPr>
      <w:r>
        <w:rPr>
          <w:rFonts w:hint="eastAsia"/>
          <w:sz w:val="24"/>
          <w:highlight w:val="none"/>
        </w:rPr>
        <w:t>供应商登录北京市政府采购电子交易平台“用户指南”— “操作指南”— “ 市场主体注册入库操作流程指引”进行自助注册绑定。</w:t>
      </w:r>
    </w:p>
    <w:p w14:paraId="5DE71DB2">
      <w:pPr>
        <w:spacing w:line="480" w:lineRule="auto"/>
        <w:ind w:firstLine="480" w:firstLineChars="200"/>
        <w:rPr>
          <w:rFonts w:hint="eastAsia"/>
          <w:sz w:val="24"/>
          <w:highlight w:val="none"/>
        </w:rPr>
      </w:pPr>
      <w:r>
        <w:rPr>
          <w:rFonts w:hint="eastAsia"/>
          <w:sz w:val="24"/>
          <w:highlight w:val="none"/>
          <w:lang w:val="en-US" w:eastAsia="zh-CN"/>
        </w:rPr>
        <w:t>2</w:t>
      </w:r>
      <w:r>
        <w:rPr>
          <w:rFonts w:hint="eastAsia"/>
          <w:sz w:val="24"/>
          <w:highlight w:val="none"/>
        </w:rPr>
        <w:t>.3 驱动、客户端下载</w:t>
      </w:r>
    </w:p>
    <w:p w14:paraId="2FB2FFC1">
      <w:pPr>
        <w:spacing w:line="480" w:lineRule="auto"/>
        <w:ind w:firstLine="480" w:firstLineChars="200"/>
        <w:rPr>
          <w:rFonts w:hint="eastAsia"/>
          <w:sz w:val="24"/>
          <w:highlight w:val="none"/>
        </w:rPr>
      </w:pPr>
      <w:r>
        <w:rPr>
          <w:rFonts w:hint="eastAsia"/>
          <w:sz w:val="24"/>
          <w:highlight w:val="none"/>
        </w:rPr>
        <w:t>供应商登录北京市政府采购电子交易平台“用户指南”— “工具下载”— “招标采购系统文件驱动安装包”下载相关驱动。</w:t>
      </w:r>
    </w:p>
    <w:p w14:paraId="07DCC59B">
      <w:pPr>
        <w:spacing w:line="480" w:lineRule="auto"/>
        <w:ind w:firstLine="480" w:firstLineChars="200"/>
        <w:rPr>
          <w:rFonts w:hint="eastAsia"/>
          <w:sz w:val="24"/>
          <w:highlight w:val="none"/>
        </w:rPr>
      </w:pPr>
      <w:r>
        <w:rPr>
          <w:rFonts w:hint="eastAsia"/>
          <w:sz w:val="24"/>
          <w:highlight w:val="none"/>
        </w:rPr>
        <w:t>供应商登录北京市政府采购电子交易平台“用户指南”— “ 工具下载”— “ 投标文件编制工具”下载相关客户端。</w:t>
      </w:r>
    </w:p>
    <w:p w14:paraId="0E2B3FDC">
      <w:pPr>
        <w:spacing w:line="480" w:lineRule="auto"/>
        <w:ind w:firstLine="480" w:firstLineChars="200"/>
        <w:rPr>
          <w:rFonts w:hint="eastAsia"/>
          <w:sz w:val="24"/>
          <w:highlight w:val="none"/>
        </w:rPr>
      </w:pPr>
      <w:r>
        <w:rPr>
          <w:rFonts w:hint="eastAsia"/>
          <w:sz w:val="24"/>
          <w:highlight w:val="none"/>
          <w:lang w:val="en-US" w:eastAsia="zh-CN"/>
        </w:rPr>
        <w:t>2</w:t>
      </w:r>
      <w:r>
        <w:rPr>
          <w:rFonts w:hint="eastAsia"/>
          <w:sz w:val="24"/>
          <w:highlight w:val="none"/>
        </w:rPr>
        <w:t>.4 获取电子竞争性磋商文件</w:t>
      </w:r>
    </w:p>
    <w:p w14:paraId="1A74E322">
      <w:pPr>
        <w:spacing w:line="480" w:lineRule="auto"/>
        <w:ind w:firstLine="480" w:firstLineChars="200"/>
        <w:rPr>
          <w:rFonts w:hint="eastAsia"/>
          <w:sz w:val="24"/>
          <w:highlight w:val="none"/>
        </w:rPr>
      </w:pPr>
      <w:r>
        <w:rPr>
          <w:rFonts w:hint="eastAsia"/>
          <w:sz w:val="24"/>
          <w:highlight w:val="none"/>
        </w:rPr>
        <w:t>供应商使用 CA 数字证书或电子营业执照登录北京市政府采购电子交易平台获取电子竞争性磋商文件。</w:t>
      </w:r>
    </w:p>
    <w:p w14:paraId="162A90F4">
      <w:pPr>
        <w:spacing w:line="480" w:lineRule="auto"/>
        <w:ind w:firstLine="480" w:firstLineChars="200"/>
        <w:rPr>
          <w:rFonts w:hint="eastAsia"/>
          <w:sz w:val="24"/>
          <w:highlight w:val="none"/>
        </w:rPr>
      </w:pPr>
      <w:r>
        <w:rPr>
          <w:rFonts w:hint="eastAsia"/>
          <w:sz w:val="24"/>
          <w:highlight w:val="none"/>
        </w:rPr>
        <w:t>供应商如计划参与多个采购包的响应，应在登录北京市政府采购电子交易平台后， 在【我的项目】栏目依次选择对应采购包，进入项目工作台招标/采购文件环节分别按 采购包下载采购文件电子版。未在规定期限内按上述操作获取文件的采购包， 供应商无</w:t>
      </w:r>
    </w:p>
    <w:p w14:paraId="5EB26C76">
      <w:pPr>
        <w:spacing w:line="480" w:lineRule="auto"/>
        <w:rPr>
          <w:rFonts w:hint="eastAsia"/>
          <w:sz w:val="24"/>
          <w:highlight w:val="none"/>
        </w:rPr>
      </w:pPr>
      <w:r>
        <w:rPr>
          <w:rFonts w:hint="eastAsia"/>
          <w:sz w:val="24"/>
          <w:highlight w:val="none"/>
        </w:rPr>
        <w:t>法</w:t>
      </w:r>
      <w:r>
        <w:rPr>
          <w:rFonts w:hint="eastAsia"/>
          <w:sz w:val="24"/>
          <w:highlight w:val="none"/>
          <w:lang w:val="en-US" w:eastAsia="zh-CN"/>
        </w:rPr>
        <w:t>提交</w:t>
      </w:r>
      <w:r>
        <w:rPr>
          <w:rFonts w:hint="eastAsia"/>
          <w:sz w:val="24"/>
          <w:highlight w:val="none"/>
        </w:rPr>
        <w:t>相应包的电子响应文件。</w:t>
      </w:r>
    </w:p>
    <w:p w14:paraId="18690D48">
      <w:pPr>
        <w:spacing w:line="480" w:lineRule="auto"/>
        <w:ind w:firstLine="480" w:firstLineChars="200"/>
        <w:rPr>
          <w:rFonts w:hint="eastAsia"/>
          <w:sz w:val="24"/>
          <w:highlight w:val="none"/>
        </w:rPr>
      </w:pPr>
      <w:r>
        <w:rPr>
          <w:rFonts w:hint="eastAsia"/>
          <w:sz w:val="24"/>
          <w:highlight w:val="none"/>
          <w:lang w:val="en-US" w:eastAsia="zh-CN"/>
        </w:rPr>
        <w:t>2</w:t>
      </w:r>
      <w:r>
        <w:rPr>
          <w:rFonts w:hint="eastAsia"/>
          <w:sz w:val="24"/>
          <w:highlight w:val="none"/>
        </w:rPr>
        <w:t>.5 编制电子响应文件</w:t>
      </w:r>
    </w:p>
    <w:p w14:paraId="10206B81">
      <w:pPr>
        <w:spacing w:line="480" w:lineRule="auto"/>
        <w:ind w:firstLine="480" w:firstLineChars="200"/>
        <w:rPr>
          <w:rFonts w:hint="eastAsia"/>
          <w:sz w:val="24"/>
          <w:highlight w:val="none"/>
        </w:rPr>
      </w:pPr>
      <w:r>
        <w:rPr>
          <w:rFonts w:hint="eastAsia"/>
          <w:sz w:val="24"/>
          <w:highlight w:val="none"/>
        </w:rPr>
        <w:t>供应商应使用电子投标客户端编制电子响应文件并进行线上响应， 供应商电子响应  文件需要加密并加盖电子签章，如无法按照要求在电子响应文件中加盖电子签章和加密，请及时通过技术支持服务热线联系技术人员。</w:t>
      </w:r>
    </w:p>
    <w:p w14:paraId="4715DC99">
      <w:pPr>
        <w:spacing w:line="480" w:lineRule="auto"/>
        <w:ind w:firstLine="480" w:firstLineChars="200"/>
        <w:rPr>
          <w:rFonts w:hint="eastAsia" w:ascii="Times New Roman" w:hAnsi="Times New Roman" w:eastAsia="宋体" w:cs="Times New Roman"/>
          <w:kern w:val="2"/>
          <w:sz w:val="24"/>
          <w:szCs w:val="24"/>
          <w:highlight w:val="none"/>
          <w:lang w:val="en-US" w:eastAsia="zh-CN" w:bidi="ar-SA"/>
        </w:rPr>
      </w:pPr>
      <w:r>
        <w:rPr>
          <w:rFonts w:hint="eastAsia" w:ascii="Times New Roman" w:hAnsi="Times New Roman" w:eastAsia="宋体" w:cs="Times New Roman"/>
          <w:kern w:val="2"/>
          <w:sz w:val="24"/>
          <w:szCs w:val="24"/>
          <w:highlight w:val="none"/>
          <w:lang w:val="en-US" w:eastAsia="zh-CN" w:bidi="ar-SA"/>
        </w:rPr>
        <w:t>2.6 提交电子响应文件</w:t>
      </w:r>
    </w:p>
    <w:p w14:paraId="4BFC005E">
      <w:pPr>
        <w:spacing w:line="480" w:lineRule="auto"/>
        <w:ind w:firstLine="480" w:firstLineChars="200"/>
        <w:rPr>
          <w:rFonts w:hint="eastAsia" w:ascii="Times New Roman" w:hAnsi="Times New Roman" w:eastAsia="宋体" w:cs="Times New Roman"/>
          <w:kern w:val="2"/>
          <w:sz w:val="24"/>
          <w:szCs w:val="24"/>
          <w:highlight w:val="none"/>
          <w:lang w:val="en-US" w:eastAsia="zh-CN" w:bidi="ar-SA"/>
        </w:rPr>
      </w:pPr>
      <w:r>
        <w:rPr>
          <w:rFonts w:hint="eastAsia" w:ascii="Times New Roman" w:hAnsi="Times New Roman" w:eastAsia="宋体" w:cs="Times New Roman"/>
          <w:kern w:val="2"/>
          <w:sz w:val="24"/>
          <w:szCs w:val="24"/>
          <w:highlight w:val="none"/>
          <w:lang w:val="en-US" w:eastAsia="zh-CN" w:bidi="ar-SA"/>
        </w:rPr>
        <w:t>供应商应于响应文件提交截止时间前在平台提交电子响应文件， 上传电子响应文件过程中请保持与互联网的连接畅通。</w:t>
      </w:r>
    </w:p>
    <w:p w14:paraId="0C12E2CA">
      <w:pPr>
        <w:spacing w:line="480" w:lineRule="auto"/>
        <w:ind w:firstLine="480" w:firstLineChars="200"/>
        <w:rPr>
          <w:rFonts w:hint="eastAsia" w:ascii="Times New Roman" w:hAnsi="Times New Roman" w:eastAsia="宋体" w:cs="Times New Roman"/>
          <w:kern w:val="2"/>
          <w:sz w:val="24"/>
          <w:szCs w:val="24"/>
          <w:highlight w:val="none"/>
          <w:lang w:val="en-US" w:eastAsia="zh-CN" w:bidi="ar-SA"/>
        </w:rPr>
      </w:pPr>
      <w:r>
        <w:rPr>
          <w:rFonts w:hint="eastAsia" w:ascii="Times New Roman" w:hAnsi="Times New Roman" w:eastAsia="宋体" w:cs="Times New Roman"/>
          <w:kern w:val="2"/>
          <w:sz w:val="24"/>
          <w:szCs w:val="24"/>
          <w:highlight w:val="none"/>
          <w:lang w:val="en-US" w:eastAsia="zh-CN" w:bidi="ar-SA"/>
        </w:rPr>
        <w:t>2.7 开启响应文件</w:t>
      </w:r>
    </w:p>
    <w:p w14:paraId="2397D9B3">
      <w:pPr>
        <w:spacing w:line="480" w:lineRule="auto"/>
        <w:ind w:firstLine="480" w:firstLineChars="200"/>
        <w:rPr>
          <w:rFonts w:hint="eastAsia"/>
          <w:sz w:val="24"/>
          <w:highlight w:val="none"/>
        </w:rPr>
      </w:pPr>
      <w:r>
        <w:rPr>
          <w:rFonts w:hint="eastAsia" w:ascii="Times New Roman" w:hAnsi="Times New Roman" w:eastAsia="宋体" w:cs="Times New Roman"/>
          <w:kern w:val="2"/>
          <w:sz w:val="24"/>
          <w:szCs w:val="24"/>
          <w:highlight w:val="none"/>
          <w:lang w:val="en-US" w:eastAsia="zh-CN" w:bidi="ar-SA"/>
        </w:rPr>
        <w:t>供应商于磋商文件规定的开启时间、在开启地点使用 CA 数字证书或电子营业执照登录北京市政府采购电子交易平台解密并开启响应文件。如因供应商问题， 解密不成功，则</w:t>
      </w:r>
      <w:r>
        <w:rPr>
          <w:rFonts w:hint="eastAsia" w:ascii="Times New Roman" w:hAnsi="Times New Roman" w:eastAsia="宋体" w:cs="Times New Roman"/>
          <w:b/>
          <w:bCs/>
          <w:kern w:val="2"/>
          <w:sz w:val="24"/>
          <w:szCs w:val="24"/>
          <w:highlight w:val="none"/>
          <w:lang w:val="en-US" w:eastAsia="zh-CN" w:bidi="ar-SA"/>
        </w:rPr>
        <w:t>响应无效</w:t>
      </w:r>
      <w:r>
        <w:rPr>
          <w:rFonts w:hint="eastAsia" w:ascii="Times New Roman" w:hAnsi="Times New Roman" w:eastAsia="宋体" w:cs="Times New Roman"/>
          <w:kern w:val="2"/>
          <w:sz w:val="24"/>
          <w:szCs w:val="24"/>
          <w:highlight w:val="none"/>
          <w:lang w:val="en-US" w:eastAsia="zh-CN" w:bidi="ar-SA"/>
        </w:rPr>
        <w:t>。</w:t>
      </w:r>
    </w:p>
    <w:p w14:paraId="4B793F7C">
      <w:pPr>
        <w:spacing w:line="480" w:lineRule="auto"/>
        <w:ind w:firstLine="482" w:firstLineChars="200"/>
        <w:rPr>
          <w:rFonts w:hint="eastAsia" w:ascii="Times New Roman" w:hAnsi="Times New Roman" w:eastAsia="宋体" w:cs="Times New Roman"/>
          <w:b/>
          <w:bCs/>
          <w:kern w:val="2"/>
          <w:sz w:val="24"/>
          <w:szCs w:val="24"/>
          <w:highlight w:val="none"/>
          <w:lang w:val="zh-TW" w:eastAsia="zh-CN" w:bidi="ar-SA"/>
        </w:rPr>
      </w:pPr>
      <w:r>
        <w:rPr>
          <w:rFonts w:hint="eastAsia" w:ascii="Times New Roman" w:hAnsi="Times New Roman" w:eastAsia="宋体" w:cs="Times New Roman"/>
          <w:b/>
          <w:bCs/>
          <w:kern w:val="2"/>
          <w:sz w:val="24"/>
          <w:szCs w:val="24"/>
          <w:highlight w:val="none"/>
          <w:lang w:val="en-US" w:eastAsia="zh-CN" w:bidi="ar-SA"/>
        </w:rPr>
        <w:t xml:space="preserve">3. </w:t>
      </w:r>
      <w:r>
        <w:rPr>
          <w:rFonts w:hint="eastAsia" w:ascii="宋体" w:hAnsi="宋体" w:eastAsia="宋体" w:cs="宋体"/>
          <w:b/>
          <w:bCs/>
          <w:color w:val="auto"/>
          <w:sz w:val="24"/>
          <w:highlight w:val="none"/>
        </w:rPr>
        <w:t>投标人应准备纸质投标文件(上传电子投标文件的打印版)2份，交由招标代理机构。递交时间为202</w:t>
      </w:r>
      <w:r>
        <w:rPr>
          <w:rFonts w:hint="eastAsia" w:ascii="宋体" w:hAnsi="宋体" w:cs="宋体"/>
          <w:b/>
          <w:bCs/>
          <w:color w:val="auto"/>
          <w:sz w:val="24"/>
          <w:highlight w:val="none"/>
          <w:lang w:val="en-US" w:eastAsia="zh-CN"/>
        </w:rPr>
        <w:t>4</w:t>
      </w:r>
      <w:r>
        <w:rPr>
          <w:rFonts w:hint="eastAsia" w:ascii="宋体" w:hAnsi="宋体" w:eastAsia="宋体" w:cs="宋体"/>
          <w:b/>
          <w:bCs/>
          <w:color w:val="auto"/>
          <w:sz w:val="24"/>
          <w:highlight w:val="none"/>
        </w:rPr>
        <w:t>年</w:t>
      </w:r>
      <w:r>
        <w:rPr>
          <w:rFonts w:hint="eastAsia" w:ascii="宋体" w:hAnsi="宋体" w:cs="宋体"/>
          <w:b/>
          <w:bCs/>
          <w:color w:val="auto"/>
          <w:sz w:val="24"/>
          <w:highlight w:val="none"/>
          <w:lang w:val="en-US" w:eastAsia="zh-CN"/>
        </w:rPr>
        <w:t>11</w:t>
      </w:r>
      <w:r>
        <w:rPr>
          <w:rFonts w:hint="eastAsia" w:ascii="宋体" w:hAnsi="宋体" w:eastAsia="宋体" w:cs="宋体"/>
          <w:b/>
          <w:bCs/>
          <w:color w:val="auto"/>
          <w:sz w:val="24"/>
          <w:highlight w:val="none"/>
        </w:rPr>
        <w:t>月</w:t>
      </w:r>
      <w:r>
        <w:rPr>
          <w:rFonts w:hint="eastAsia" w:ascii="宋体" w:hAnsi="宋体" w:cs="宋体"/>
          <w:b/>
          <w:bCs/>
          <w:color w:val="auto"/>
          <w:sz w:val="24"/>
          <w:highlight w:val="none"/>
          <w:lang w:val="en-US" w:eastAsia="zh-CN"/>
        </w:rPr>
        <w:t>15</w:t>
      </w:r>
      <w:r>
        <w:rPr>
          <w:rFonts w:hint="eastAsia" w:ascii="宋体" w:hAnsi="宋体" w:eastAsia="宋体" w:cs="宋体"/>
          <w:b/>
          <w:bCs/>
          <w:color w:val="auto"/>
          <w:sz w:val="24"/>
          <w:highlight w:val="none"/>
        </w:rPr>
        <w:t>日</w:t>
      </w:r>
      <w:r>
        <w:rPr>
          <w:rFonts w:hint="eastAsia" w:ascii="宋体" w:hAnsi="宋体" w:cs="宋体"/>
          <w:b/>
          <w:bCs/>
          <w:color w:val="auto"/>
          <w:sz w:val="24"/>
          <w:highlight w:val="none"/>
          <w:lang w:val="en-US" w:eastAsia="zh-CN"/>
        </w:rPr>
        <w:t>下</w:t>
      </w:r>
      <w:r>
        <w:rPr>
          <w:rFonts w:hint="eastAsia" w:ascii="宋体" w:hAnsi="宋体" w:eastAsia="宋体" w:cs="宋体"/>
          <w:b/>
          <w:bCs/>
          <w:color w:val="auto"/>
          <w:sz w:val="24"/>
          <w:highlight w:val="none"/>
        </w:rPr>
        <w:t>午</w:t>
      </w:r>
      <w:r>
        <w:rPr>
          <w:rFonts w:hint="eastAsia" w:ascii="宋体" w:hAnsi="宋体" w:cs="宋体"/>
          <w:b/>
          <w:bCs/>
          <w:color w:val="auto"/>
          <w:sz w:val="24"/>
          <w:highlight w:val="none"/>
          <w:lang w:val="en-US" w:eastAsia="zh-CN"/>
        </w:rPr>
        <w:t>13</w:t>
      </w:r>
      <w:r>
        <w:rPr>
          <w:rFonts w:hint="eastAsia" w:ascii="宋体" w:hAnsi="宋体" w:eastAsia="宋体" w:cs="宋体"/>
          <w:b/>
          <w:bCs/>
          <w:color w:val="auto"/>
          <w:sz w:val="24"/>
          <w:highlight w:val="none"/>
        </w:rPr>
        <w:t>:</w:t>
      </w:r>
      <w:r>
        <w:rPr>
          <w:rFonts w:hint="eastAsia" w:ascii="宋体" w:hAnsi="宋体" w:cs="宋体"/>
          <w:b/>
          <w:bCs/>
          <w:color w:val="auto"/>
          <w:sz w:val="24"/>
          <w:highlight w:val="none"/>
          <w:lang w:val="en-US" w:eastAsia="zh-CN"/>
        </w:rPr>
        <w:t>30</w:t>
      </w:r>
      <w:r>
        <w:rPr>
          <w:rFonts w:hint="eastAsia" w:ascii="宋体" w:hAnsi="宋体" w:eastAsia="宋体" w:cs="宋体"/>
          <w:b/>
          <w:bCs/>
          <w:color w:val="auto"/>
          <w:sz w:val="24"/>
          <w:highlight w:val="none"/>
        </w:rPr>
        <w:t>分，递交地点为北京市昌平区超前路37号院中关村兴业创业园6号楼B单元1305。若纸质文件与上传电子投标文件不符</w:t>
      </w:r>
      <w:r>
        <w:rPr>
          <w:rFonts w:hint="eastAsia" w:ascii="宋体" w:hAnsi="宋体" w:cs="宋体"/>
          <w:b/>
          <w:bCs/>
          <w:color w:val="auto"/>
          <w:sz w:val="24"/>
          <w:highlight w:val="none"/>
          <w:lang w:eastAsia="zh-CN"/>
        </w:rPr>
        <w:t>，以上传电子投标文件为准。</w:t>
      </w:r>
    </w:p>
    <w:p w14:paraId="6FC60B07">
      <w:pPr>
        <w:pStyle w:val="3"/>
        <w:spacing w:before="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八</w:t>
      </w:r>
      <w:r>
        <w:rPr>
          <w:rFonts w:hint="eastAsia" w:ascii="宋体" w:hAnsi="宋体" w:eastAsia="宋体" w:cs="宋体"/>
          <w:color w:val="auto"/>
          <w:sz w:val="24"/>
          <w:szCs w:val="24"/>
          <w:highlight w:val="none"/>
        </w:rPr>
        <w:t>、其他补充事宜</w:t>
      </w:r>
    </w:p>
    <w:p w14:paraId="7CA04D69">
      <w:pPr>
        <w:widowControl/>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需要落实的政府采购政策：节约能源、保护环境、扶持不发达地区和少数民族地区、促进中小企业发展、支持监狱、戒毒企业发展、促进残疾人就业等政府采购政策、优先采购贫困地区农副产品等政府采购政策。</w:t>
      </w:r>
    </w:p>
    <w:p w14:paraId="3F488113">
      <w:pPr>
        <w:pStyle w:val="3"/>
        <w:spacing w:beforeLines="5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九</w:t>
      </w:r>
      <w:r>
        <w:rPr>
          <w:rFonts w:hint="eastAsia" w:ascii="宋体" w:hAnsi="宋体" w:eastAsia="宋体" w:cs="宋体"/>
          <w:color w:val="auto"/>
          <w:sz w:val="24"/>
          <w:szCs w:val="24"/>
          <w:highlight w:val="none"/>
        </w:rPr>
        <w:t>、对本项目提出询问，请按以下方式联系。</w:t>
      </w:r>
    </w:p>
    <w:p w14:paraId="648C49B6">
      <w:pPr>
        <w:widowControl/>
        <w:spacing w:line="360" w:lineRule="auto"/>
        <w:jc w:val="left"/>
        <w:rPr>
          <w:rFonts w:hint="eastAsia" w:ascii="宋体" w:hAnsi="宋体" w:eastAsia="宋体" w:cs="宋体"/>
          <w:b/>
          <w:color w:val="auto"/>
          <w:sz w:val="24"/>
          <w:highlight w:val="none"/>
        </w:rPr>
      </w:pPr>
      <w:r>
        <w:rPr>
          <w:rFonts w:hint="eastAsia" w:ascii="宋体" w:hAnsi="宋体" w:eastAsia="宋体" w:cs="宋体"/>
          <w:color w:val="auto"/>
          <w:sz w:val="24"/>
          <w:highlight w:val="none"/>
        </w:rPr>
        <w:t>　　</w:t>
      </w:r>
      <w:r>
        <w:rPr>
          <w:rFonts w:hint="eastAsia" w:ascii="宋体" w:hAnsi="宋体" w:eastAsia="宋体" w:cs="宋体"/>
          <w:b/>
          <w:color w:val="auto"/>
          <w:sz w:val="24"/>
          <w:highlight w:val="none"/>
        </w:rPr>
        <w:t>1.采购人信息</w:t>
      </w:r>
    </w:p>
    <w:p w14:paraId="78C221D4">
      <w:pPr>
        <w:spacing w:line="360" w:lineRule="auto"/>
        <w:ind w:firstLine="480" w:firstLineChars="20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名    称：</w:t>
      </w:r>
      <w:r>
        <w:rPr>
          <w:rFonts w:hint="eastAsia" w:ascii="宋体" w:hAnsi="宋体" w:cs="宋体"/>
          <w:color w:val="auto"/>
          <w:sz w:val="24"/>
          <w:highlight w:val="none"/>
          <w:lang w:eastAsia="zh-CN"/>
        </w:rPr>
        <w:t>北京市昌平区城北街道办事处</w:t>
      </w:r>
    </w:p>
    <w:p w14:paraId="4F1FE5B8">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地    址：</w:t>
      </w:r>
      <w:r>
        <w:rPr>
          <w:rFonts w:hint="eastAsia" w:ascii="宋体" w:hAnsi="宋体" w:eastAsia="宋体" w:cs="宋体"/>
          <w:color w:val="auto"/>
          <w:sz w:val="24"/>
          <w:highlight w:val="none"/>
          <w:lang w:eastAsia="zh-CN"/>
        </w:rPr>
        <w:t>北京市昌平区</w:t>
      </w:r>
      <w:r>
        <w:rPr>
          <w:rFonts w:hint="eastAsia" w:ascii="宋体" w:hAnsi="宋体" w:eastAsia="宋体" w:cs="宋体"/>
          <w:color w:val="auto"/>
          <w:sz w:val="24"/>
          <w:highlight w:val="none"/>
          <w:lang w:val="en-US" w:eastAsia="zh-CN"/>
        </w:rPr>
        <w:t>水库路1号</w:t>
      </w:r>
    </w:p>
    <w:p w14:paraId="57CD5572">
      <w:pPr>
        <w:spacing w:line="360" w:lineRule="auto"/>
        <w:ind w:firstLine="480" w:firstLineChars="200"/>
        <w:jc w:val="left"/>
        <w:rPr>
          <w:rFonts w:hint="eastAsia" w:ascii="宋体" w:hAnsi="宋体" w:cs="宋体"/>
          <w:color w:val="auto"/>
          <w:sz w:val="24"/>
          <w:highlight w:val="none"/>
          <w:lang w:val="en-US" w:eastAsia="zh-CN"/>
        </w:rPr>
      </w:pPr>
      <w:r>
        <w:rPr>
          <w:rFonts w:hint="eastAsia" w:ascii="宋体" w:hAnsi="宋体" w:eastAsia="宋体" w:cs="宋体"/>
          <w:color w:val="auto"/>
          <w:sz w:val="24"/>
          <w:highlight w:val="none"/>
        </w:rPr>
        <w:t>联系方式：</w:t>
      </w:r>
      <w:r>
        <w:rPr>
          <w:rFonts w:hint="eastAsia" w:ascii="宋体" w:hAnsi="宋体" w:cs="宋体"/>
          <w:kern w:val="0"/>
          <w:sz w:val="24"/>
          <w:szCs w:val="24"/>
          <w:highlight w:val="none"/>
          <w:lang w:val="en-US" w:eastAsia="zh-CN" w:bidi="ar"/>
        </w:rPr>
        <w:t>朱科长、010-89731245</w:t>
      </w:r>
    </w:p>
    <w:p w14:paraId="5F17F414">
      <w:pPr>
        <w:spacing w:line="360" w:lineRule="auto"/>
        <w:ind w:firstLine="480" w:firstLineChars="200"/>
        <w:jc w:val="left"/>
        <w:rPr>
          <w:rFonts w:hint="eastAsia" w:ascii="宋体" w:hAnsi="宋体" w:cs="宋体"/>
          <w:color w:val="auto"/>
          <w:sz w:val="24"/>
          <w:highlight w:val="none"/>
          <w:lang w:val="en-US" w:eastAsia="zh-CN"/>
        </w:rPr>
      </w:pPr>
    </w:p>
    <w:p w14:paraId="23EEDB01">
      <w:pPr>
        <w:spacing w:line="360" w:lineRule="auto"/>
        <w:ind w:firstLine="482" w:firstLineChars="200"/>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2.采购代理机构信息</w:t>
      </w:r>
    </w:p>
    <w:bookmarkEnd w:id="16"/>
    <w:bookmarkEnd w:id="17"/>
    <w:bookmarkEnd w:id="18"/>
    <w:bookmarkEnd w:id="19"/>
    <w:p w14:paraId="42822955">
      <w:pPr>
        <w:spacing w:line="360" w:lineRule="auto"/>
        <w:ind w:firstLine="720" w:firstLineChars="300"/>
        <w:jc w:val="left"/>
        <w:rPr>
          <w:rFonts w:hint="eastAsia" w:ascii="宋体" w:hAnsi="宋体" w:eastAsia="宋体" w:cs="宋体"/>
          <w:sz w:val="24"/>
          <w:highlight w:val="none"/>
        </w:rPr>
      </w:pPr>
      <w:r>
        <w:rPr>
          <w:rFonts w:hint="eastAsia" w:ascii="宋体" w:hAnsi="宋体" w:eastAsia="宋体" w:cs="宋体"/>
          <w:sz w:val="24"/>
          <w:highlight w:val="none"/>
        </w:rPr>
        <w:t>名    称：北京永拓工程咨询股份有限公司</w:t>
      </w:r>
    </w:p>
    <w:p w14:paraId="72A1B8AE">
      <w:pPr>
        <w:spacing w:line="360" w:lineRule="auto"/>
        <w:ind w:firstLine="720" w:firstLineChars="300"/>
        <w:jc w:val="left"/>
        <w:rPr>
          <w:rFonts w:hint="eastAsia" w:ascii="宋体" w:hAnsi="宋体" w:eastAsia="宋体" w:cs="宋体"/>
          <w:sz w:val="24"/>
          <w:highlight w:val="none"/>
        </w:rPr>
      </w:pPr>
      <w:r>
        <w:rPr>
          <w:rFonts w:hint="eastAsia" w:ascii="宋体" w:hAnsi="宋体" w:eastAsia="宋体" w:cs="宋体"/>
          <w:sz w:val="24"/>
          <w:highlight w:val="none"/>
        </w:rPr>
        <w:t>地    址：北京市昌平区超前路37号院中关村兴业创业园6号楼B单元1305室</w:t>
      </w:r>
    </w:p>
    <w:p w14:paraId="3B0A2B31">
      <w:pPr>
        <w:spacing w:line="360" w:lineRule="auto"/>
        <w:ind w:firstLine="720" w:firstLineChars="300"/>
        <w:jc w:val="left"/>
        <w:rPr>
          <w:rFonts w:hint="eastAsia" w:ascii="宋体" w:hAnsi="宋体" w:eastAsia="宋体" w:cs="宋体"/>
          <w:sz w:val="24"/>
          <w:highlight w:val="none"/>
          <w:u w:val="single"/>
          <w:lang w:val="en-US" w:eastAsia="zh-CN"/>
        </w:rPr>
      </w:pPr>
      <w:r>
        <w:rPr>
          <w:rFonts w:hint="eastAsia" w:ascii="宋体" w:hAnsi="宋体" w:eastAsia="宋体" w:cs="宋体"/>
          <w:sz w:val="24"/>
          <w:highlight w:val="none"/>
        </w:rPr>
        <w:t>联系方式：</w:t>
      </w:r>
      <w:r>
        <w:rPr>
          <w:rFonts w:hint="eastAsia" w:ascii="宋体" w:hAnsi="宋体" w:eastAsia="宋体" w:cs="宋体"/>
          <w:sz w:val="24"/>
          <w:szCs w:val="24"/>
          <w:highlight w:val="none"/>
        </w:rPr>
        <w:t>孙工、刘工010-</w:t>
      </w:r>
      <w:r>
        <w:rPr>
          <w:rFonts w:hint="eastAsia" w:ascii="宋体" w:hAnsi="宋体" w:eastAsia="宋体" w:cs="宋体"/>
          <w:sz w:val="24"/>
          <w:szCs w:val="24"/>
          <w:highlight w:val="none"/>
          <w:lang w:val="en-US" w:eastAsia="zh-CN"/>
        </w:rPr>
        <w:t>60700287</w:t>
      </w:r>
    </w:p>
    <w:p w14:paraId="122EEA03">
      <w:pPr>
        <w:spacing w:line="360" w:lineRule="auto"/>
        <w:ind w:firstLine="482" w:firstLineChars="200"/>
        <w:rPr>
          <w:rFonts w:hint="eastAsia" w:ascii="宋体" w:hAnsi="宋体" w:eastAsia="宋体" w:cs="宋体"/>
          <w:b/>
          <w:sz w:val="24"/>
          <w:highlight w:val="none"/>
          <w:u w:val="none"/>
        </w:rPr>
      </w:pPr>
      <w:r>
        <w:rPr>
          <w:rFonts w:hint="eastAsia" w:ascii="宋体" w:hAnsi="宋体" w:eastAsia="宋体" w:cs="宋体"/>
          <w:b/>
          <w:sz w:val="24"/>
          <w:highlight w:val="none"/>
          <w:u w:val="none"/>
        </w:rPr>
        <w:t>3.项目联系方式</w:t>
      </w:r>
    </w:p>
    <w:p w14:paraId="4C05E790">
      <w:pPr>
        <w:pStyle w:val="9"/>
        <w:spacing w:line="360" w:lineRule="auto"/>
        <w:ind w:firstLine="720" w:firstLineChars="300"/>
        <w:rPr>
          <w:rFonts w:hint="eastAsia" w:ascii="宋体" w:hAnsi="宋体" w:eastAsia="宋体" w:cs="宋体"/>
          <w:sz w:val="24"/>
          <w:szCs w:val="24"/>
          <w:highlight w:val="none"/>
        </w:rPr>
      </w:pPr>
      <w:r>
        <w:rPr>
          <w:rFonts w:hint="eastAsia" w:ascii="宋体" w:hAnsi="宋体" w:eastAsia="宋体" w:cs="宋体"/>
          <w:sz w:val="24"/>
          <w:szCs w:val="24"/>
          <w:highlight w:val="none"/>
        </w:rPr>
        <w:t>项目联系人：孙工、刘工</w:t>
      </w:r>
    </w:p>
    <w:p w14:paraId="3B525063">
      <w:pPr>
        <w:pStyle w:val="9"/>
        <w:spacing w:line="360" w:lineRule="auto"/>
        <w:ind w:firstLine="720" w:firstLineChars="300"/>
        <w:rPr>
          <w:rFonts w:hint="eastAsia" w:ascii="宋体" w:hAnsi="宋体" w:eastAsia="宋体" w:cs="宋体"/>
          <w:sz w:val="24"/>
          <w:szCs w:val="24"/>
          <w:highlight w:val="none"/>
        </w:rPr>
      </w:pPr>
      <w:r>
        <w:rPr>
          <w:rFonts w:hint="eastAsia" w:ascii="宋体" w:hAnsi="宋体" w:eastAsia="宋体" w:cs="宋体"/>
          <w:sz w:val="24"/>
          <w:szCs w:val="24"/>
          <w:highlight w:val="none"/>
        </w:rPr>
        <w:t>电     话：010-60700287</w:t>
      </w:r>
    </w:p>
    <w:p w14:paraId="31498FA3">
      <w:pPr>
        <w:spacing w:line="360" w:lineRule="auto"/>
        <w:ind w:firstLine="5880" w:firstLineChars="2450"/>
        <w:jc w:val="right"/>
        <w:rPr>
          <w:rFonts w:hint="eastAsia" w:ascii="宋体" w:hAnsi="宋体" w:eastAsia="宋体" w:cs="宋体"/>
          <w:color w:val="auto"/>
          <w:sz w:val="24"/>
          <w:highlight w:val="none"/>
        </w:rPr>
      </w:pPr>
    </w:p>
    <w:p w14:paraId="0DAFAB4A">
      <w:pPr>
        <w:spacing w:line="360" w:lineRule="auto"/>
        <w:jc w:val="center"/>
        <w:outlineLvl w:val="0"/>
        <w:rPr>
          <w:rFonts w:hint="eastAsia" w:ascii="宋体" w:hAnsi="宋体" w:eastAsia="宋体" w:cs="宋体"/>
          <w:b/>
          <w:color w:val="auto"/>
          <w:sz w:val="32"/>
          <w:szCs w:val="32"/>
          <w:highlight w:val="none"/>
        </w:rPr>
      </w:pPr>
      <w:bookmarkStart w:id="22" w:name="_Toc305158854"/>
      <w:bookmarkStart w:id="23" w:name="_Toc305158928"/>
      <w:bookmarkStart w:id="24" w:name="_Toc512937850"/>
      <w:bookmarkStart w:id="25" w:name="_Toc226965856"/>
      <w:bookmarkStart w:id="26" w:name="_Toc97371942"/>
      <w:bookmarkStart w:id="27" w:name="_Toc353873938"/>
      <w:bookmarkStart w:id="28" w:name="_Toc127151777"/>
      <w:bookmarkStart w:id="29" w:name="_Toc264969275"/>
      <w:bookmarkStart w:id="30" w:name="_Toc353825548"/>
      <w:bookmarkStart w:id="31" w:name="_Toc265228423"/>
      <w:bookmarkStart w:id="32" w:name="_Toc127161488"/>
      <w:bookmarkStart w:id="33" w:name="_Toc150774783"/>
      <w:bookmarkStart w:id="34" w:name="_Toc195842950"/>
      <w:r>
        <w:rPr>
          <w:rFonts w:hint="eastAsia" w:ascii="宋体" w:hAnsi="宋体" w:eastAsia="宋体" w:cs="宋体"/>
          <w:b/>
          <w:color w:val="auto"/>
          <w:sz w:val="36"/>
          <w:szCs w:val="36"/>
          <w:highlight w:val="none"/>
        </w:rPr>
        <w:br w:type="page"/>
      </w:r>
      <w:bookmarkStart w:id="35" w:name="_Toc17654"/>
      <w:r>
        <w:rPr>
          <w:rFonts w:hint="eastAsia" w:ascii="宋体" w:hAnsi="宋体" w:eastAsia="宋体" w:cs="宋体"/>
          <w:b/>
          <w:color w:val="auto"/>
          <w:sz w:val="36"/>
          <w:szCs w:val="36"/>
          <w:highlight w:val="none"/>
        </w:rPr>
        <w:t>第二章   供应商须知</w:t>
      </w:r>
      <w:bookmarkEnd w:id="22"/>
      <w:bookmarkEnd w:id="23"/>
      <w:bookmarkEnd w:id="24"/>
      <w:bookmarkEnd w:id="25"/>
      <w:bookmarkEnd w:id="26"/>
      <w:bookmarkEnd w:id="27"/>
      <w:bookmarkEnd w:id="28"/>
      <w:bookmarkEnd w:id="29"/>
      <w:bookmarkEnd w:id="30"/>
      <w:bookmarkEnd w:id="31"/>
      <w:bookmarkEnd w:id="32"/>
      <w:bookmarkEnd w:id="33"/>
      <w:bookmarkEnd w:id="34"/>
      <w:bookmarkEnd w:id="35"/>
    </w:p>
    <w:p w14:paraId="57CE8A26">
      <w:pPr>
        <w:pStyle w:val="3"/>
        <w:tabs>
          <w:tab w:val="center" w:pos="4592"/>
          <w:tab w:val="left" w:pos="7860"/>
        </w:tabs>
        <w:spacing w:before="0" w:line="360" w:lineRule="auto"/>
        <w:rPr>
          <w:rFonts w:hint="eastAsia" w:ascii="宋体" w:hAnsi="宋体" w:eastAsia="宋体" w:cs="宋体"/>
          <w:b w:val="0"/>
          <w:color w:val="auto"/>
          <w:sz w:val="28"/>
          <w:highlight w:val="none"/>
        </w:rPr>
      </w:pPr>
      <w:bookmarkStart w:id="36" w:name="_Toc195842884"/>
      <w:bookmarkStart w:id="37" w:name="_Toc164351613"/>
      <w:bookmarkStart w:id="38" w:name="_Toc520356144"/>
      <w:bookmarkStart w:id="39" w:name="_Toc164229360"/>
      <w:bookmarkStart w:id="40" w:name="_Toc150774724"/>
      <w:bookmarkStart w:id="41" w:name="_Toc149720812"/>
      <w:bookmarkStart w:id="42" w:name="_Toc150509270"/>
      <w:bookmarkStart w:id="43" w:name="_Toc142311021"/>
      <w:bookmarkStart w:id="44" w:name="_Toc151193617"/>
      <w:bookmarkStart w:id="45" w:name="_Toc226965709"/>
      <w:bookmarkStart w:id="46" w:name="_Toc164608633"/>
      <w:bookmarkStart w:id="47" w:name="_Toc151193907"/>
      <w:bookmarkStart w:id="48" w:name="_Toc226965792"/>
      <w:bookmarkStart w:id="49" w:name="_Toc150774619"/>
      <w:bookmarkStart w:id="50" w:name="_Toc127151720"/>
      <w:bookmarkStart w:id="51" w:name="_Toc150480757"/>
      <w:bookmarkStart w:id="52" w:name="_Toc151193761"/>
      <w:bookmarkStart w:id="53" w:name="_Toc127161433"/>
      <w:bookmarkStart w:id="54" w:name="_Toc151193689"/>
      <w:bookmarkStart w:id="55" w:name="_Toc151190146"/>
      <w:bookmarkStart w:id="56" w:name="_Toc226337215"/>
      <w:bookmarkStart w:id="57" w:name="_Toc164229214"/>
      <w:bookmarkStart w:id="58" w:name="_Toc164608788"/>
      <w:bookmarkStart w:id="59" w:name="_Toc127151519"/>
      <w:bookmarkStart w:id="60" w:name="_Toc226309763"/>
      <w:bookmarkStart w:id="61" w:name="_Toc151193833"/>
      <w:r>
        <w:rPr>
          <w:rFonts w:hint="eastAsia" w:ascii="宋体" w:hAnsi="宋体" w:eastAsia="宋体" w:cs="宋体"/>
          <w:color w:val="auto"/>
          <w:sz w:val="28"/>
          <w:highlight w:val="none"/>
        </w:rPr>
        <w:t>供应商须知资料表</w:t>
      </w:r>
    </w:p>
    <w:p w14:paraId="66F9C4AE">
      <w:pPr>
        <w:jc w:val="center"/>
        <w:rPr>
          <w:rFonts w:hint="eastAsia" w:ascii="宋体" w:hAnsi="宋体" w:eastAsia="宋体" w:cs="宋体"/>
          <w:b/>
          <w:color w:val="auto"/>
          <w:sz w:val="28"/>
          <w:szCs w:val="28"/>
          <w:highlight w:val="none"/>
        </w:rPr>
      </w:pPr>
    </w:p>
    <w:p w14:paraId="0B91B80A">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本表是对供应商须知的具体补充和修改，如有矛盾，均以本资料表为准。标记“</w:t>
      </w:r>
      <w:r>
        <w:rPr>
          <w:rFonts w:hint="eastAsia" w:ascii="宋体" w:hAnsi="宋体" w:eastAsia="宋体" w:cs="宋体"/>
          <w:b/>
          <w:color w:val="auto"/>
          <w:sz w:val="24"/>
          <w:highlight w:val="none"/>
        </w:rPr>
        <w:t>■</w:t>
      </w:r>
      <w:r>
        <w:rPr>
          <w:rFonts w:hint="eastAsia" w:ascii="宋体" w:hAnsi="宋体" w:eastAsia="宋体" w:cs="宋体"/>
          <w:color w:val="auto"/>
          <w:sz w:val="24"/>
          <w:highlight w:val="none"/>
        </w:rPr>
        <w:t>”的选项意为适用于本项目，标记“</w:t>
      </w:r>
      <w:r>
        <w:rPr>
          <w:rFonts w:hint="eastAsia" w:ascii="宋体" w:hAnsi="宋体" w:eastAsia="宋体" w:cs="宋体"/>
          <w:color w:val="auto"/>
          <w:highlight w:val="none"/>
        </w:rPr>
        <w:t>□</w:t>
      </w:r>
      <w:r>
        <w:rPr>
          <w:rFonts w:hint="eastAsia" w:ascii="宋体" w:hAnsi="宋体" w:eastAsia="宋体" w:cs="宋体"/>
          <w:color w:val="auto"/>
          <w:sz w:val="24"/>
          <w:highlight w:val="none"/>
        </w:rPr>
        <w:t>”的选项意为不适用于本项目。</w:t>
      </w:r>
    </w:p>
    <w:tbl>
      <w:tblPr>
        <w:tblStyle w:val="18"/>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14:paraId="70D1D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noWrap w:val="0"/>
            <w:vAlign w:val="center"/>
          </w:tcPr>
          <w:p w14:paraId="3BC68421">
            <w:pPr>
              <w:jc w:val="center"/>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条款号</w:t>
            </w:r>
          </w:p>
        </w:tc>
        <w:tc>
          <w:tcPr>
            <w:tcW w:w="1701" w:type="dxa"/>
            <w:noWrap w:val="0"/>
            <w:vAlign w:val="center"/>
          </w:tcPr>
          <w:p w14:paraId="79724BE6">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条目</w:t>
            </w:r>
          </w:p>
        </w:tc>
        <w:tc>
          <w:tcPr>
            <w:tcW w:w="7253" w:type="dxa"/>
            <w:noWrap w:val="0"/>
            <w:vAlign w:val="center"/>
          </w:tcPr>
          <w:p w14:paraId="616FB7B1">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内容</w:t>
            </w:r>
          </w:p>
        </w:tc>
      </w:tr>
      <w:tr w14:paraId="22DB0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5595EBFF">
            <w:pPr>
              <w:pStyle w:val="9"/>
              <w:adjustRightInd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w:t>
            </w:r>
          </w:p>
        </w:tc>
        <w:tc>
          <w:tcPr>
            <w:tcW w:w="1701" w:type="dxa"/>
            <w:noWrap w:val="0"/>
            <w:vAlign w:val="center"/>
          </w:tcPr>
          <w:p w14:paraId="012FEEB4">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项目属性</w:t>
            </w:r>
          </w:p>
        </w:tc>
        <w:tc>
          <w:tcPr>
            <w:tcW w:w="7253" w:type="dxa"/>
            <w:noWrap w:val="0"/>
            <w:vAlign w:val="center"/>
          </w:tcPr>
          <w:p w14:paraId="118848E5">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项目属性：</w:t>
            </w:r>
          </w:p>
          <w:p w14:paraId="2AF90DDB">
            <w:pPr>
              <w:jc w:val="left"/>
              <w:rPr>
                <w:rFonts w:hint="eastAsia" w:ascii="宋体" w:hAnsi="宋体" w:eastAsia="宋体" w:cs="宋体"/>
                <w:color w:val="auto"/>
                <w:sz w:val="24"/>
                <w:highlight w:val="none"/>
              </w:rPr>
            </w:pPr>
            <w:r>
              <w:rPr>
                <w:rFonts w:hint="eastAsia" w:ascii="宋体" w:hAnsi="宋体" w:eastAsia="宋体" w:cs="宋体"/>
                <w:color w:val="auto"/>
                <w:highlight w:val="none"/>
              </w:rPr>
              <w:t>□</w:t>
            </w:r>
            <w:r>
              <w:rPr>
                <w:rFonts w:hint="eastAsia" w:ascii="宋体" w:hAnsi="宋体" w:eastAsia="宋体" w:cs="宋体"/>
                <w:color w:val="auto"/>
                <w:sz w:val="24"/>
                <w:highlight w:val="none"/>
              </w:rPr>
              <w:t>服务</w:t>
            </w:r>
          </w:p>
          <w:p w14:paraId="66430CDE">
            <w:pPr>
              <w:jc w:val="left"/>
              <w:rPr>
                <w:rFonts w:hint="eastAsia" w:ascii="宋体" w:hAnsi="宋体" w:eastAsia="宋体" w:cs="宋体"/>
                <w:color w:val="auto"/>
                <w:sz w:val="24"/>
                <w:highlight w:val="none"/>
              </w:rPr>
            </w:pPr>
            <w:r>
              <w:rPr>
                <w:rFonts w:hint="eastAsia" w:ascii="宋体" w:hAnsi="宋体" w:eastAsia="宋体" w:cs="宋体"/>
                <w:color w:val="auto"/>
                <w:highlight w:val="none"/>
              </w:rPr>
              <w:t>□</w:t>
            </w:r>
            <w:r>
              <w:rPr>
                <w:rFonts w:hint="eastAsia" w:ascii="宋体" w:hAnsi="宋体" w:eastAsia="宋体" w:cs="宋体"/>
                <w:color w:val="auto"/>
                <w:sz w:val="24"/>
                <w:highlight w:val="none"/>
              </w:rPr>
              <w:t>货物</w:t>
            </w:r>
          </w:p>
          <w:p w14:paraId="186A648D">
            <w:pPr>
              <w:jc w:val="left"/>
              <w:rPr>
                <w:rFonts w:hint="eastAsia" w:ascii="宋体" w:hAnsi="宋体" w:eastAsia="宋体" w:cs="宋体"/>
                <w:color w:val="auto"/>
                <w:sz w:val="24"/>
                <w:highlight w:val="none"/>
                <w:u w:val="single"/>
              </w:rPr>
            </w:pPr>
            <w:r>
              <w:rPr>
                <w:rFonts w:hint="eastAsia" w:ascii="宋体" w:hAnsi="宋体" w:eastAsia="宋体" w:cs="宋体"/>
                <w:b/>
                <w:color w:val="auto"/>
                <w:sz w:val="24"/>
                <w:highlight w:val="none"/>
              </w:rPr>
              <w:t>■</w:t>
            </w:r>
            <w:r>
              <w:rPr>
                <w:rFonts w:hint="eastAsia" w:ascii="宋体" w:hAnsi="宋体" w:eastAsia="宋体" w:cs="宋体"/>
                <w:color w:val="auto"/>
                <w:sz w:val="24"/>
                <w:highlight w:val="none"/>
              </w:rPr>
              <w:t>工程</w:t>
            </w:r>
          </w:p>
        </w:tc>
      </w:tr>
      <w:tr w14:paraId="048D6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2BB2A7ED">
            <w:pPr>
              <w:pStyle w:val="9"/>
              <w:adjustRightInd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w:t>
            </w:r>
          </w:p>
        </w:tc>
        <w:tc>
          <w:tcPr>
            <w:tcW w:w="1701" w:type="dxa"/>
            <w:noWrap w:val="0"/>
            <w:vAlign w:val="center"/>
          </w:tcPr>
          <w:p w14:paraId="61C17528">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科研仪器设备</w:t>
            </w:r>
          </w:p>
        </w:tc>
        <w:tc>
          <w:tcPr>
            <w:tcW w:w="7253" w:type="dxa"/>
            <w:noWrap w:val="0"/>
            <w:vAlign w:val="center"/>
          </w:tcPr>
          <w:p w14:paraId="0D4745F3">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是否属于科研仪器设备采购项目：</w:t>
            </w:r>
          </w:p>
          <w:p w14:paraId="66543B09">
            <w:pPr>
              <w:jc w:val="left"/>
              <w:rPr>
                <w:rFonts w:hint="eastAsia" w:ascii="宋体" w:hAnsi="宋体" w:eastAsia="宋体" w:cs="宋体"/>
                <w:color w:val="auto"/>
                <w:sz w:val="24"/>
                <w:highlight w:val="none"/>
              </w:rPr>
            </w:pPr>
            <w:r>
              <w:rPr>
                <w:rFonts w:hint="eastAsia" w:ascii="宋体" w:hAnsi="宋体" w:eastAsia="宋体" w:cs="宋体"/>
                <w:color w:val="auto"/>
                <w:highlight w:val="none"/>
              </w:rPr>
              <w:t>□</w:t>
            </w:r>
            <w:r>
              <w:rPr>
                <w:rFonts w:hint="eastAsia" w:ascii="宋体" w:hAnsi="宋体" w:eastAsia="宋体" w:cs="宋体"/>
                <w:color w:val="auto"/>
                <w:sz w:val="24"/>
                <w:highlight w:val="none"/>
              </w:rPr>
              <w:t>是</w:t>
            </w:r>
          </w:p>
          <w:p w14:paraId="50377101">
            <w:pPr>
              <w:jc w:val="left"/>
              <w:rPr>
                <w:rFonts w:hint="eastAsia" w:ascii="宋体" w:hAnsi="宋体" w:eastAsia="宋体" w:cs="宋体"/>
                <w:color w:val="auto"/>
                <w:sz w:val="24"/>
                <w:highlight w:val="none"/>
              </w:rPr>
            </w:pPr>
            <w:r>
              <w:rPr>
                <w:rFonts w:hint="eastAsia" w:ascii="宋体" w:hAnsi="宋体" w:eastAsia="宋体" w:cs="宋体"/>
                <w:b/>
                <w:color w:val="auto"/>
                <w:sz w:val="24"/>
                <w:highlight w:val="none"/>
              </w:rPr>
              <w:t>■</w:t>
            </w:r>
            <w:r>
              <w:rPr>
                <w:rFonts w:hint="eastAsia" w:ascii="宋体" w:hAnsi="宋体" w:eastAsia="宋体" w:cs="宋体"/>
                <w:color w:val="auto"/>
                <w:sz w:val="24"/>
                <w:highlight w:val="none"/>
              </w:rPr>
              <w:t>否</w:t>
            </w:r>
          </w:p>
        </w:tc>
      </w:tr>
      <w:tr w14:paraId="2E7EF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noWrap w:val="0"/>
            <w:vAlign w:val="center"/>
          </w:tcPr>
          <w:p w14:paraId="1F14E899">
            <w:pPr>
              <w:pStyle w:val="9"/>
              <w:adjustRightInd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w:t>
            </w:r>
          </w:p>
        </w:tc>
        <w:tc>
          <w:tcPr>
            <w:tcW w:w="1701" w:type="dxa"/>
            <w:noWrap w:val="0"/>
            <w:vAlign w:val="center"/>
          </w:tcPr>
          <w:p w14:paraId="0B785FFF">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现场考察</w:t>
            </w:r>
          </w:p>
        </w:tc>
        <w:tc>
          <w:tcPr>
            <w:tcW w:w="7253" w:type="dxa"/>
            <w:noWrap w:val="0"/>
            <w:vAlign w:val="center"/>
          </w:tcPr>
          <w:p w14:paraId="4B08C3B5">
            <w:pPr>
              <w:jc w:val="left"/>
              <w:rPr>
                <w:rFonts w:hint="eastAsia" w:ascii="宋体" w:hAnsi="宋体" w:eastAsia="宋体" w:cs="宋体"/>
                <w:color w:val="auto"/>
                <w:sz w:val="24"/>
                <w:highlight w:val="none"/>
              </w:rPr>
            </w:pPr>
            <w:r>
              <w:rPr>
                <w:rFonts w:hint="eastAsia" w:ascii="宋体" w:hAnsi="宋体" w:eastAsia="宋体" w:cs="宋体"/>
                <w:b/>
                <w:color w:val="auto"/>
                <w:sz w:val="24"/>
                <w:highlight w:val="none"/>
              </w:rPr>
              <w:t>■</w:t>
            </w:r>
            <w:r>
              <w:rPr>
                <w:rFonts w:hint="eastAsia" w:ascii="宋体" w:hAnsi="宋体" w:eastAsia="宋体" w:cs="宋体"/>
                <w:color w:val="auto"/>
                <w:sz w:val="24"/>
                <w:highlight w:val="none"/>
              </w:rPr>
              <w:t>不组织</w:t>
            </w:r>
          </w:p>
          <w:p w14:paraId="7A181DBD">
            <w:pPr>
              <w:jc w:val="left"/>
              <w:rPr>
                <w:rFonts w:hint="eastAsia" w:ascii="宋体" w:hAnsi="宋体" w:eastAsia="宋体" w:cs="宋体"/>
                <w:bCs/>
                <w:color w:val="auto"/>
                <w:sz w:val="24"/>
                <w:highlight w:val="none"/>
              </w:rPr>
            </w:pPr>
            <w:r>
              <w:rPr>
                <w:rFonts w:hint="eastAsia" w:ascii="宋体" w:hAnsi="宋体" w:eastAsia="宋体" w:cs="宋体"/>
                <w:color w:val="auto"/>
                <w:highlight w:val="none"/>
              </w:rPr>
              <w:t>□</w:t>
            </w:r>
            <w:r>
              <w:rPr>
                <w:rFonts w:hint="eastAsia" w:ascii="宋体" w:hAnsi="宋体" w:eastAsia="宋体" w:cs="宋体"/>
                <w:color w:val="auto"/>
                <w:sz w:val="24"/>
                <w:highlight w:val="none"/>
              </w:rPr>
              <w:t>组织，考察时间：</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lang w:bidi="ar"/>
              </w:rPr>
              <w:t>年</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lang w:bidi="ar"/>
              </w:rPr>
              <w:t>月</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lang w:bidi="ar"/>
              </w:rPr>
              <w:t>日</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lang w:bidi="ar"/>
              </w:rPr>
              <w:t>点</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lang w:bidi="ar"/>
              </w:rPr>
              <w:t>分</w:t>
            </w:r>
          </w:p>
          <w:p w14:paraId="227B264C">
            <w:pPr>
              <w:pStyle w:val="9"/>
              <w:adjustRightInd w:val="0"/>
              <w:snapToGrid w:val="0"/>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考察地点：</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w:t>
            </w:r>
          </w:p>
        </w:tc>
      </w:tr>
      <w:tr w14:paraId="59EF5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noWrap w:val="0"/>
            <w:vAlign w:val="center"/>
          </w:tcPr>
          <w:p w14:paraId="24033EDA">
            <w:pPr>
              <w:pStyle w:val="9"/>
              <w:adjustRightInd w:val="0"/>
              <w:snapToGrid w:val="0"/>
              <w:jc w:val="center"/>
              <w:rPr>
                <w:rFonts w:hint="eastAsia" w:ascii="宋体" w:hAnsi="宋体" w:eastAsia="宋体" w:cs="宋体"/>
                <w:color w:val="auto"/>
                <w:sz w:val="24"/>
                <w:szCs w:val="24"/>
                <w:highlight w:val="none"/>
              </w:rPr>
            </w:pPr>
          </w:p>
        </w:tc>
        <w:tc>
          <w:tcPr>
            <w:tcW w:w="1701" w:type="dxa"/>
            <w:noWrap w:val="0"/>
            <w:vAlign w:val="center"/>
          </w:tcPr>
          <w:p w14:paraId="6080F740">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磋商前答疑会</w:t>
            </w:r>
          </w:p>
        </w:tc>
        <w:tc>
          <w:tcPr>
            <w:tcW w:w="7253" w:type="dxa"/>
            <w:noWrap w:val="0"/>
            <w:vAlign w:val="center"/>
          </w:tcPr>
          <w:p w14:paraId="1CB30F17">
            <w:pPr>
              <w:jc w:val="left"/>
              <w:rPr>
                <w:rFonts w:hint="eastAsia" w:ascii="宋体" w:hAnsi="宋体" w:eastAsia="宋体" w:cs="宋体"/>
                <w:color w:val="auto"/>
                <w:sz w:val="24"/>
                <w:highlight w:val="none"/>
              </w:rPr>
            </w:pPr>
            <w:r>
              <w:rPr>
                <w:rFonts w:hint="eastAsia" w:ascii="宋体" w:hAnsi="宋体" w:eastAsia="宋体" w:cs="宋体"/>
                <w:b/>
                <w:color w:val="auto"/>
                <w:sz w:val="24"/>
                <w:highlight w:val="none"/>
              </w:rPr>
              <w:t>■</w:t>
            </w:r>
            <w:r>
              <w:rPr>
                <w:rFonts w:hint="eastAsia" w:ascii="宋体" w:hAnsi="宋体" w:eastAsia="宋体" w:cs="宋体"/>
                <w:color w:val="auto"/>
                <w:sz w:val="24"/>
                <w:highlight w:val="none"/>
              </w:rPr>
              <w:t>不召开</w:t>
            </w:r>
          </w:p>
          <w:p w14:paraId="1678FFEA">
            <w:pPr>
              <w:jc w:val="left"/>
              <w:rPr>
                <w:rFonts w:hint="eastAsia" w:ascii="宋体" w:hAnsi="宋体" w:eastAsia="宋体" w:cs="宋体"/>
                <w:color w:val="auto"/>
                <w:sz w:val="24"/>
                <w:highlight w:val="none"/>
              </w:rPr>
            </w:pPr>
            <w:r>
              <w:rPr>
                <w:rFonts w:hint="eastAsia" w:ascii="宋体" w:hAnsi="宋体" w:eastAsia="宋体" w:cs="宋体"/>
                <w:color w:val="auto"/>
                <w:highlight w:val="none"/>
              </w:rPr>
              <w:t>□</w:t>
            </w:r>
            <w:r>
              <w:rPr>
                <w:rFonts w:hint="eastAsia" w:ascii="宋体" w:hAnsi="宋体" w:eastAsia="宋体" w:cs="宋体"/>
                <w:color w:val="auto"/>
                <w:sz w:val="24"/>
                <w:highlight w:val="none"/>
              </w:rPr>
              <w:t>召开，召开时间：</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lang w:bidi="ar"/>
              </w:rPr>
              <w:t>年</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lang w:bidi="ar"/>
              </w:rPr>
              <w:t>月</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lang w:bidi="ar"/>
              </w:rPr>
              <w:t>日</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lang w:bidi="ar"/>
              </w:rPr>
              <w:t>点</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lang w:bidi="ar"/>
              </w:rPr>
              <w:t>分</w:t>
            </w:r>
          </w:p>
          <w:p w14:paraId="39A3B000">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召开地点：</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w:t>
            </w:r>
          </w:p>
        </w:tc>
      </w:tr>
      <w:tr w14:paraId="7A9F3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noWrap w:val="0"/>
            <w:vAlign w:val="center"/>
          </w:tcPr>
          <w:p w14:paraId="27CD5B2B">
            <w:pPr>
              <w:pStyle w:val="9"/>
              <w:adjustRightInd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4.2.5</w:t>
            </w:r>
          </w:p>
        </w:tc>
        <w:tc>
          <w:tcPr>
            <w:tcW w:w="1701" w:type="dxa"/>
            <w:noWrap w:val="0"/>
            <w:vAlign w:val="center"/>
          </w:tcPr>
          <w:p w14:paraId="1B48B2F1">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标的所属行业</w:t>
            </w:r>
          </w:p>
        </w:tc>
        <w:tc>
          <w:tcPr>
            <w:tcW w:w="7253" w:type="dxa"/>
            <w:noWrap w:val="0"/>
            <w:vAlign w:val="center"/>
          </w:tcPr>
          <w:p w14:paraId="2970F219">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本项目采购标的对应的中小企业划分标准所属行业：</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06"/>
              <w:gridCol w:w="3521"/>
            </w:tblGrid>
            <w:tr w14:paraId="4E8D5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495" w:type="pct"/>
                  <w:tcBorders>
                    <w:top w:val="single" w:color="auto" w:sz="4" w:space="0"/>
                    <w:left w:val="single" w:color="auto" w:sz="4" w:space="0"/>
                    <w:bottom w:val="single" w:color="auto" w:sz="4" w:space="0"/>
                    <w:right w:val="single" w:color="auto" w:sz="4" w:space="0"/>
                  </w:tcBorders>
                  <w:noWrap w:val="0"/>
                  <w:vAlign w:val="center"/>
                </w:tcPr>
                <w:p w14:paraId="42D32D73">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标的名称</w:t>
                  </w:r>
                </w:p>
              </w:tc>
              <w:tc>
                <w:tcPr>
                  <w:tcW w:w="2505" w:type="pct"/>
                  <w:tcBorders>
                    <w:top w:val="single" w:color="auto" w:sz="4" w:space="0"/>
                    <w:left w:val="single" w:color="auto" w:sz="4" w:space="0"/>
                    <w:bottom w:val="single" w:color="auto" w:sz="4" w:space="0"/>
                    <w:right w:val="single" w:color="auto" w:sz="4" w:space="0"/>
                  </w:tcBorders>
                  <w:noWrap w:val="0"/>
                  <w:vAlign w:val="center"/>
                </w:tcPr>
                <w:p w14:paraId="0377814D">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中小企业划分标准所属行业</w:t>
                  </w:r>
                </w:p>
              </w:tc>
            </w:tr>
            <w:tr w14:paraId="6A8ED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495" w:type="pct"/>
                  <w:tcBorders>
                    <w:top w:val="single" w:color="auto" w:sz="4" w:space="0"/>
                    <w:left w:val="single" w:color="auto" w:sz="4" w:space="0"/>
                    <w:bottom w:val="single" w:color="auto" w:sz="4" w:space="0"/>
                    <w:right w:val="single" w:color="auto" w:sz="4" w:space="0"/>
                  </w:tcBorders>
                  <w:noWrap w:val="0"/>
                  <w:vAlign w:val="center"/>
                </w:tcPr>
                <w:p w14:paraId="1F1F17E4">
                  <w:pPr>
                    <w:jc w:val="center"/>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eastAsia="zh-CN"/>
                    </w:rPr>
                    <w:t>昌平区2024年背街小巷环境精细化治理—城北街道自提升项目工程</w:t>
                  </w:r>
                </w:p>
              </w:tc>
              <w:tc>
                <w:tcPr>
                  <w:tcW w:w="2505" w:type="pct"/>
                  <w:tcBorders>
                    <w:top w:val="single" w:color="auto" w:sz="4" w:space="0"/>
                    <w:left w:val="single" w:color="auto" w:sz="4" w:space="0"/>
                    <w:bottom w:val="single" w:color="auto" w:sz="4" w:space="0"/>
                    <w:right w:val="single" w:color="auto" w:sz="4" w:space="0"/>
                  </w:tcBorders>
                  <w:noWrap w:val="0"/>
                  <w:vAlign w:val="center"/>
                </w:tcPr>
                <w:p w14:paraId="201EADB9">
                  <w:pPr>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建筑业</w:t>
                  </w:r>
                </w:p>
              </w:tc>
            </w:tr>
          </w:tbl>
          <w:p w14:paraId="316029A3">
            <w:pPr>
              <w:jc w:val="left"/>
              <w:rPr>
                <w:rFonts w:hint="eastAsia" w:ascii="宋体" w:hAnsi="宋体" w:eastAsia="宋体" w:cs="宋体"/>
                <w:color w:val="auto"/>
                <w:sz w:val="24"/>
                <w:highlight w:val="none"/>
              </w:rPr>
            </w:pPr>
          </w:p>
        </w:tc>
      </w:tr>
      <w:tr w14:paraId="1312A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8" w:hRule="atLeast"/>
          <w:jc w:val="center"/>
        </w:trPr>
        <w:tc>
          <w:tcPr>
            <w:tcW w:w="988" w:type="dxa"/>
            <w:noWrap w:val="0"/>
            <w:vAlign w:val="center"/>
          </w:tcPr>
          <w:p w14:paraId="17EFB627">
            <w:pPr>
              <w:pStyle w:val="9"/>
              <w:adjustRightInd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w:t>
            </w:r>
          </w:p>
        </w:tc>
        <w:tc>
          <w:tcPr>
            <w:tcW w:w="1701" w:type="dxa"/>
            <w:noWrap w:val="0"/>
            <w:vAlign w:val="center"/>
          </w:tcPr>
          <w:p w14:paraId="4199324F">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报价</w:t>
            </w:r>
          </w:p>
        </w:tc>
        <w:tc>
          <w:tcPr>
            <w:tcW w:w="7253" w:type="dxa"/>
            <w:noWrap w:val="0"/>
            <w:vAlign w:val="center"/>
          </w:tcPr>
          <w:p w14:paraId="2EBADE42">
            <w:pPr>
              <w:widowControl/>
              <w:jc w:val="left"/>
              <w:rPr>
                <w:rFonts w:hint="eastAsia" w:ascii="宋体" w:hAnsi="宋体" w:eastAsia="宋体" w:cs="宋体"/>
                <w:color w:val="auto"/>
                <w:highlight w:val="none"/>
              </w:rPr>
            </w:pPr>
            <w:r>
              <w:rPr>
                <w:rFonts w:hint="eastAsia" w:ascii="宋体" w:hAnsi="宋体" w:eastAsia="宋体" w:cs="宋体"/>
                <w:color w:val="auto"/>
                <w:kern w:val="0"/>
                <w:sz w:val="24"/>
                <w:highlight w:val="none"/>
                <w:lang w:bidi="ar"/>
              </w:rPr>
              <w:t>本项目磋商控制价：</w:t>
            </w:r>
            <w:r>
              <w:rPr>
                <w:rFonts w:hint="eastAsia" w:ascii="宋体" w:hAnsi="宋体" w:cs="宋体"/>
                <w:bCs w:val="0"/>
                <w:color w:val="auto"/>
                <w:kern w:val="0"/>
                <w:sz w:val="24"/>
                <w:szCs w:val="24"/>
                <w:highlight w:val="none"/>
                <w:shd w:val="clear"/>
                <w:lang w:bidi="ar"/>
              </w:rPr>
              <w:t>1937</w:t>
            </w:r>
            <w:r>
              <w:rPr>
                <w:rFonts w:hint="eastAsia" w:ascii="宋体" w:hAnsi="宋体" w:cs="宋体"/>
                <w:bCs w:val="0"/>
                <w:color w:val="auto"/>
                <w:kern w:val="0"/>
                <w:sz w:val="24"/>
                <w:szCs w:val="24"/>
                <w:highlight w:val="none"/>
                <w:shd w:val="clear"/>
                <w:lang w:val="en-US" w:eastAsia="zh-CN" w:bidi="ar"/>
              </w:rPr>
              <w:t>6</w:t>
            </w:r>
            <w:r>
              <w:rPr>
                <w:rFonts w:hint="eastAsia" w:ascii="宋体" w:hAnsi="宋体" w:cs="宋体"/>
                <w:bCs w:val="0"/>
                <w:color w:val="auto"/>
                <w:kern w:val="0"/>
                <w:sz w:val="24"/>
                <w:szCs w:val="24"/>
                <w:highlight w:val="none"/>
                <w:shd w:val="clear"/>
                <w:lang w:bidi="ar"/>
              </w:rPr>
              <w:t>34</w:t>
            </w:r>
            <w:r>
              <w:rPr>
                <w:rFonts w:hint="eastAsia" w:ascii="宋体" w:hAnsi="宋体" w:cs="宋体"/>
                <w:bCs w:val="0"/>
                <w:color w:val="auto"/>
                <w:kern w:val="0"/>
                <w:sz w:val="24"/>
                <w:szCs w:val="24"/>
                <w:highlight w:val="none"/>
                <w:shd w:val="clear"/>
                <w:lang w:val="en-US" w:eastAsia="zh-CN" w:bidi="ar"/>
              </w:rPr>
              <w:t>.26</w:t>
            </w:r>
            <w:r>
              <w:rPr>
                <w:rFonts w:hint="eastAsia" w:ascii="宋体" w:hAnsi="宋体" w:eastAsia="宋体" w:cs="宋体"/>
                <w:color w:val="auto"/>
                <w:kern w:val="0"/>
                <w:sz w:val="24"/>
                <w:highlight w:val="none"/>
                <w:lang w:bidi="ar"/>
              </w:rPr>
              <w:t xml:space="preserve">元 </w:t>
            </w:r>
          </w:p>
          <w:p w14:paraId="2564B6DB">
            <w:pPr>
              <w:keepNext w:val="0"/>
              <w:keepLines w:val="0"/>
              <w:widowControl/>
              <w:suppressLineNumbers w:val="0"/>
              <w:jc w:val="left"/>
              <w:rPr>
                <w:rFonts w:hint="eastAsia" w:ascii="宋体" w:hAnsi="宋体" w:eastAsia="宋体" w:cs="宋体"/>
                <w:color w:val="auto"/>
                <w:highlight w:val="none"/>
              </w:rPr>
            </w:pPr>
            <w:r>
              <w:rPr>
                <w:rFonts w:hint="eastAsia" w:ascii="宋体" w:hAnsi="宋体" w:eastAsia="宋体" w:cs="宋体"/>
                <w:color w:val="auto"/>
                <w:kern w:val="0"/>
                <w:sz w:val="24"/>
                <w:highlight w:val="none"/>
                <w:lang w:bidi="ar"/>
              </w:rPr>
              <w:t>其中：单位工程的分部分项工程合价为：</w:t>
            </w:r>
            <w:r>
              <w:rPr>
                <w:rFonts w:hint="eastAsia" w:ascii="宋体" w:hAnsi="宋体" w:cs="宋体"/>
                <w:color w:val="auto"/>
                <w:kern w:val="0"/>
                <w:sz w:val="24"/>
                <w:highlight w:val="none"/>
                <w:lang w:val="en-US" w:eastAsia="zh-CN" w:bidi="ar"/>
              </w:rPr>
              <w:t>1527164.51</w:t>
            </w:r>
            <w:r>
              <w:rPr>
                <w:rFonts w:hint="eastAsia" w:ascii="宋体" w:hAnsi="宋体" w:eastAsia="宋体" w:cs="宋体"/>
                <w:color w:val="auto"/>
                <w:kern w:val="0"/>
                <w:sz w:val="24"/>
                <w:highlight w:val="none"/>
                <w:lang w:bidi="ar"/>
              </w:rPr>
              <w:t xml:space="preserve">元； </w:t>
            </w:r>
          </w:p>
          <w:p w14:paraId="58447A92">
            <w:pPr>
              <w:widowControl/>
              <w:jc w:val="left"/>
              <w:rPr>
                <w:rFonts w:hint="eastAsia" w:ascii="宋体" w:hAnsi="宋体" w:eastAsia="宋体" w:cs="宋体"/>
                <w:color w:val="auto"/>
                <w:highlight w:val="none"/>
              </w:rPr>
            </w:pPr>
            <w:r>
              <w:rPr>
                <w:rFonts w:hint="eastAsia" w:ascii="宋体" w:hAnsi="宋体" w:eastAsia="宋体" w:cs="宋体"/>
                <w:color w:val="auto"/>
                <w:kern w:val="0"/>
                <w:sz w:val="24"/>
                <w:highlight w:val="none"/>
                <w:lang w:bidi="ar"/>
              </w:rPr>
              <w:t>措施项目合价</w:t>
            </w:r>
            <w:r>
              <w:rPr>
                <w:rFonts w:hint="eastAsia" w:ascii="宋体" w:hAnsi="宋体" w:eastAsia="宋体" w:cs="宋体"/>
                <w:color w:val="auto"/>
                <w:kern w:val="2"/>
                <w:sz w:val="24"/>
                <w:highlight w:val="none"/>
                <w:lang w:bidi="ar"/>
              </w:rPr>
              <w:t>为：</w:t>
            </w:r>
            <w:r>
              <w:rPr>
                <w:rFonts w:hint="eastAsia" w:ascii="宋体" w:hAnsi="宋体" w:cs="宋体"/>
                <w:b w:val="0"/>
                <w:bCs w:val="0"/>
                <w:color w:val="auto"/>
                <w:sz w:val="24"/>
                <w:szCs w:val="24"/>
                <w:lang w:val="en-US" w:eastAsia="zh-CN"/>
              </w:rPr>
              <w:t>250481.6</w:t>
            </w:r>
            <w:r>
              <w:rPr>
                <w:rFonts w:hint="eastAsia" w:ascii="宋体" w:hAnsi="宋体" w:eastAsia="宋体" w:cs="宋体"/>
                <w:color w:val="auto"/>
                <w:kern w:val="2"/>
                <w:sz w:val="24"/>
                <w:highlight w:val="none"/>
                <w:lang w:bidi="ar"/>
              </w:rPr>
              <w:t>元</w:t>
            </w:r>
            <w:r>
              <w:rPr>
                <w:rFonts w:hint="eastAsia" w:ascii="宋体" w:hAnsi="宋体" w:eastAsia="宋体" w:cs="宋体"/>
                <w:color w:val="auto"/>
                <w:kern w:val="0"/>
                <w:sz w:val="24"/>
                <w:highlight w:val="none"/>
                <w:lang w:bidi="ar"/>
              </w:rPr>
              <w:t xml:space="preserve">； </w:t>
            </w:r>
          </w:p>
          <w:p w14:paraId="64DD458C">
            <w:pPr>
              <w:widowControl/>
              <w:jc w:val="left"/>
              <w:rPr>
                <w:rFonts w:hint="eastAsia" w:ascii="宋体" w:hAnsi="宋体" w:eastAsia="宋体" w:cs="宋体"/>
                <w:color w:val="auto"/>
                <w:highlight w:val="none"/>
              </w:rPr>
            </w:pPr>
            <w:r>
              <w:rPr>
                <w:rFonts w:hint="eastAsia" w:ascii="宋体" w:hAnsi="宋体" w:eastAsia="宋体" w:cs="宋体"/>
                <w:color w:val="auto"/>
                <w:kern w:val="0"/>
                <w:sz w:val="24"/>
                <w:highlight w:val="none"/>
                <w:lang w:bidi="ar"/>
              </w:rPr>
              <w:t xml:space="preserve">其它项目合价为：0元； </w:t>
            </w:r>
          </w:p>
          <w:p w14:paraId="71B2FC40">
            <w:pPr>
              <w:widowControl/>
              <w:jc w:val="left"/>
              <w:rPr>
                <w:rFonts w:hint="eastAsia" w:ascii="宋体" w:hAnsi="宋体" w:eastAsia="宋体" w:cs="宋体"/>
                <w:color w:val="auto"/>
                <w:highlight w:val="none"/>
              </w:rPr>
            </w:pPr>
            <w:r>
              <w:rPr>
                <w:rFonts w:hint="eastAsia" w:ascii="宋体" w:hAnsi="宋体" w:eastAsia="宋体" w:cs="宋体"/>
                <w:color w:val="auto"/>
                <w:kern w:val="0"/>
                <w:sz w:val="24"/>
                <w:highlight w:val="none"/>
                <w:lang w:bidi="ar"/>
              </w:rPr>
              <w:t>税金的合价为：</w:t>
            </w:r>
            <w:r>
              <w:rPr>
                <w:rFonts w:hint="eastAsia" w:ascii="宋体" w:hAnsi="宋体" w:cs="宋体"/>
                <w:b w:val="0"/>
                <w:bCs w:val="0"/>
                <w:color w:val="auto"/>
                <w:sz w:val="24"/>
                <w:szCs w:val="24"/>
                <w:lang w:val="en-US" w:eastAsia="zh-CN"/>
              </w:rPr>
              <w:t>159988.15</w:t>
            </w:r>
            <w:r>
              <w:rPr>
                <w:rFonts w:hint="eastAsia" w:ascii="宋体" w:hAnsi="宋体" w:eastAsia="宋体" w:cs="宋体"/>
                <w:color w:val="auto"/>
                <w:kern w:val="2"/>
                <w:sz w:val="24"/>
                <w:highlight w:val="none"/>
                <w:lang w:bidi="ar"/>
              </w:rPr>
              <w:t>元</w:t>
            </w:r>
            <w:r>
              <w:rPr>
                <w:rFonts w:hint="eastAsia" w:ascii="宋体" w:hAnsi="宋体" w:eastAsia="宋体" w:cs="宋体"/>
                <w:color w:val="auto"/>
                <w:kern w:val="0"/>
                <w:sz w:val="24"/>
                <w:highlight w:val="none"/>
                <w:lang w:bidi="ar"/>
              </w:rPr>
              <w:t xml:space="preserve">。 </w:t>
            </w:r>
          </w:p>
          <w:p w14:paraId="68C5EBF2">
            <w:pPr>
              <w:widowControl/>
              <w:jc w:val="left"/>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其它说明：</w:t>
            </w:r>
          </w:p>
          <w:p w14:paraId="1BD700F2">
            <w:pPr>
              <w:widowControl/>
              <w:jc w:val="left"/>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规费（不含税）合计金额：</w:t>
            </w:r>
            <w:r>
              <w:rPr>
                <w:rFonts w:hint="eastAsia" w:ascii="宋体" w:hAnsi="宋体" w:cs="宋体"/>
                <w:b w:val="0"/>
                <w:bCs w:val="0"/>
                <w:color w:val="auto"/>
                <w:sz w:val="24"/>
                <w:szCs w:val="24"/>
                <w:lang w:val="en-US" w:eastAsia="zh-CN"/>
              </w:rPr>
              <w:t>80305.21</w:t>
            </w:r>
            <w:r>
              <w:rPr>
                <w:rFonts w:hint="eastAsia" w:ascii="宋体" w:hAnsi="宋体" w:eastAsia="宋体" w:cs="宋体"/>
                <w:color w:val="auto"/>
                <w:kern w:val="2"/>
                <w:sz w:val="24"/>
                <w:highlight w:val="none"/>
                <w:lang w:bidi="ar"/>
              </w:rPr>
              <w:t>元</w:t>
            </w:r>
            <w:r>
              <w:rPr>
                <w:rFonts w:hint="eastAsia" w:ascii="宋体" w:hAnsi="宋体" w:eastAsia="宋体" w:cs="宋体"/>
                <w:color w:val="auto"/>
                <w:kern w:val="0"/>
                <w:sz w:val="24"/>
                <w:highlight w:val="none"/>
                <w:lang w:bidi="ar"/>
              </w:rPr>
              <w:t>；</w:t>
            </w:r>
          </w:p>
          <w:p w14:paraId="2156A24F">
            <w:pPr>
              <w:widowControl/>
              <w:jc w:val="left"/>
              <w:rPr>
                <w:rFonts w:hint="eastAsia" w:ascii="宋体" w:hAnsi="宋体" w:eastAsia="宋体" w:cs="宋体"/>
                <w:color w:val="auto"/>
                <w:highlight w:val="none"/>
              </w:rPr>
            </w:pPr>
            <w:r>
              <w:rPr>
                <w:rFonts w:hint="eastAsia" w:ascii="宋体" w:hAnsi="宋体" w:eastAsia="宋体" w:cs="宋体"/>
                <w:color w:val="auto"/>
                <w:kern w:val="0"/>
                <w:sz w:val="24"/>
                <w:highlight w:val="none"/>
                <w:lang w:bidi="ar"/>
              </w:rPr>
              <w:t xml:space="preserve">专业工程暂估价（含税）合计金额：0元； </w:t>
            </w:r>
          </w:p>
          <w:p w14:paraId="56EC5896">
            <w:pPr>
              <w:widowControl/>
              <w:jc w:val="left"/>
              <w:rPr>
                <w:rFonts w:hint="eastAsia" w:ascii="宋体" w:hAnsi="宋体" w:eastAsia="宋体" w:cs="宋体"/>
                <w:color w:val="auto"/>
                <w:highlight w:val="none"/>
              </w:rPr>
            </w:pPr>
            <w:r>
              <w:rPr>
                <w:rFonts w:hint="eastAsia" w:ascii="宋体" w:hAnsi="宋体" w:eastAsia="宋体" w:cs="宋体"/>
                <w:color w:val="auto"/>
                <w:kern w:val="0"/>
                <w:sz w:val="24"/>
                <w:highlight w:val="none"/>
                <w:lang w:bidi="ar"/>
              </w:rPr>
              <w:t xml:space="preserve">材料和工程设备暂估价（含税）合计金额：0 元； </w:t>
            </w:r>
          </w:p>
          <w:p w14:paraId="6E8BE5FB">
            <w:pPr>
              <w:widowControl/>
              <w:jc w:val="left"/>
              <w:rPr>
                <w:rFonts w:hint="eastAsia" w:ascii="宋体" w:hAnsi="宋体" w:eastAsia="宋体" w:cs="宋体"/>
                <w:color w:val="auto"/>
                <w:highlight w:val="none"/>
              </w:rPr>
            </w:pPr>
            <w:r>
              <w:rPr>
                <w:rFonts w:hint="eastAsia" w:ascii="宋体" w:hAnsi="宋体" w:eastAsia="宋体" w:cs="宋体"/>
                <w:color w:val="auto"/>
                <w:kern w:val="0"/>
                <w:sz w:val="24"/>
                <w:highlight w:val="none"/>
                <w:lang w:bidi="ar"/>
              </w:rPr>
              <w:t xml:space="preserve">暂列金（不含计日工）（含税）合计金额：0元； </w:t>
            </w:r>
          </w:p>
          <w:p w14:paraId="56AC3E23">
            <w:pPr>
              <w:widowControl/>
              <w:jc w:val="left"/>
              <w:rPr>
                <w:rFonts w:hint="eastAsia" w:ascii="宋体" w:hAnsi="宋体" w:eastAsia="宋体" w:cs="宋体"/>
                <w:color w:val="auto"/>
                <w:highlight w:val="none"/>
              </w:rPr>
            </w:pPr>
            <w:r>
              <w:rPr>
                <w:rFonts w:hint="eastAsia" w:ascii="宋体" w:hAnsi="宋体" w:eastAsia="宋体" w:cs="宋体"/>
                <w:color w:val="auto"/>
                <w:kern w:val="0"/>
                <w:sz w:val="24"/>
                <w:highlight w:val="none"/>
                <w:lang w:bidi="ar"/>
              </w:rPr>
              <w:t>安全文明施工费（含税）合计金额：</w:t>
            </w:r>
            <w:r>
              <w:rPr>
                <w:rFonts w:hint="eastAsia" w:ascii="宋体" w:hAnsi="宋体" w:cs="宋体"/>
                <w:b w:val="0"/>
                <w:bCs w:val="0"/>
                <w:color w:val="auto"/>
                <w:kern w:val="0"/>
                <w:sz w:val="24"/>
                <w:szCs w:val="24"/>
                <w:highlight w:val="none"/>
                <w:lang w:val="en-US" w:eastAsia="zh-CN" w:bidi="ar"/>
              </w:rPr>
              <w:t>77732.39</w:t>
            </w:r>
            <w:r>
              <w:rPr>
                <w:rFonts w:hint="eastAsia" w:ascii="宋体" w:hAnsi="宋体" w:eastAsia="宋体" w:cs="宋体"/>
                <w:color w:val="auto"/>
                <w:kern w:val="0"/>
                <w:sz w:val="24"/>
                <w:highlight w:val="none"/>
                <w:lang w:bidi="ar"/>
              </w:rPr>
              <w:t xml:space="preserve">元； </w:t>
            </w:r>
          </w:p>
          <w:p w14:paraId="66E467D6">
            <w:pPr>
              <w:widowControl/>
              <w:jc w:val="left"/>
              <w:rPr>
                <w:rFonts w:hint="eastAsia" w:eastAsia="宋体"/>
                <w:highlight w:val="none"/>
                <w:lang w:val="en-US" w:eastAsia="zh-CN"/>
              </w:rPr>
            </w:pPr>
            <w:r>
              <w:rPr>
                <w:rFonts w:hint="eastAsia" w:ascii="宋体" w:hAnsi="宋体" w:eastAsia="宋体" w:cs="宋体"/>
                <w:color w:val="auto"/>
                <w:kern w:val="0"/>
                <w:sz w:val="24"/>
                <w:highlight w:val="none"/>
                <w:lang w:bidi="ar"/>
              </w:rPr>
              <w:t>赶工增加费（含税）合计金额（如有）：0元。</w:t>
            </w:r>
          </w:p>
        </w:tc>
      </w:tr>
      <w:tr w14:paraId="3144E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7C04D26">
            <w:pPr>
              <w:pStyle w:val="9"/>
              <w:adjustRightInd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w:t>
            </w:r>
          </w:p>
        </w:tc>
        <w:tc>
          <w:tcPr>
            <w:tcW w:w="1701" w:type="dxa"/>
            <w:vMerge w:val="restart"/>
            <w:noWrap w:val="0"/>
            <w:vAlign w:val="center"/>
          </w:tcPr>
          <w:p w14:paraId="5A3300C1">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磋商保证金</w:t>
            </w:r>
          </w:p>
        </w:tc>
        <w:tc>
          <w:tcPr>
            <w:tcW w:w="7253" w:type="dxa"/>
            <w:noWrap w:val="0"/>
            <w:vAlign w:val="center"/>
          </w:tcPr>
          <w:p w14:paraId="5D8027DA">
            <w:pPr>
              <w:pStyle w:val="9"/>
              <w:adjustRightInd w:val="0"/>
              <w:snapToGrid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磋商保证金金额</w:t>
            </w:r>
            <w:r>
              <w:rPr>
                <w:rFonts w:hint="eastAsia" w:ascii="宋体" w:hAnsi="宋体" w:eastAsia="宋体" w:cs="宋体"/>
                <w:color w:val="auto"/>
                <w:sz w:val="24"/>
                <w:szCs w:val="24"/>
                <w:highlight w:val="none"/>
                <w:u w:val="single"/>
              </w:rPr>
              <w:t>：</w:t>
            </w:r>
            <w:r>
              <w:rPr>
                <w:rFonts w:hint="eastAsia" w:hAnsi="宋体" w:cs="宋体"/>
                <w:b/>
                <w:bCs/>
                <w:color w:val="auto"/>
                <w:sz w:val="24"/>
                <w:szCs w:val="24"/>
                <w:highlight w:val="none"/>
                <w:u w:val="single"/>
                <w:lang w:val="en-US" w:eastAsia="zh-CN"/>
              </w:rPr>
              <w:t>0</w:t>
            </w:r>
            <w:r>
              <w:rPr>
                <w:rFonts w:hint="eastAsia" w:ascii="宋体" w:hAnsi="宋体" w:eastAsia="宋体" w:cs="宋体"/>
                <w:color w:val="auto"/>
                <w:sz w:val="24"/>
                <w:szCs w:val="24"/>
                <w:highlight w:val="none"/>
                <w:u w:val="single"/>
              </w:rPr>
              <w:t>元。</w:t>
            </w:r>
          </w:p>
          <w:p w14:paraId="070B731F">
            <w:pPr>
              <w:pStyle w:val="9"/>
              <w:adjustRightInd w:val="0"/>
              <w:snapToGrid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磋商保证金收受人信息：</w:t>
            </w:r>
          </w:p>
          <w:p w14:paraId="5FE4DF89">
            <w:pPr>
              <w:pStyle w:val="9"/>
              <w:adjustRightInd w:val="0"/>
              <w:snapToGrid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*磋商保证金可采用下列形式之一种：支票、汇票、电汇、政府采购投标担保函或者政府采购监督管理部门认可的其它非现金方式。</w:t>
            </w:r>
          </w:p>
          <w:p w14:paraId="6D94E296">
            <w:pPr>
              <w:pStyle w:val="9"/>
              <w:adjustRightInd w:val="0"/>
              <w:snapToGrid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*开户名（全称）：北京永拓工程咨询股份有限公司</w:t>
            </w:r>
          </w:p>
          <w:p w14:paraId="17119D05">
            <w:pPr>
              <w:pStyle w:val="9"/>
              <w:adjustRightInd w:val="0"/>
              <w:snapToGrid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*开户银行：平安银行北京朝阳门支行</w:t>
            </w:r>
          </w:p>
          <w:p w14:paraId="2A45D235">
            <w:pPr>
              <w:rPr>
                <w:rFonts w:hint="eastAsia" w:ascii="宋体" w:hAnsi="宋体" w:eastAsia="宋体" w:cs="宋体"/>
                <w:color w:val="auto"/>
                <w:highlight w:val="none"/>
              </w:rPr>
            </w:pPr>
            <w:r>
              <w:rPr>
                <w:rFonts w:hint="eastAsia" w:ascii="宋体" w:hAnsi="宋体" w:eastAsia="宋体" w:cs="宋体"/>
                <w:color w:val="auto"/>
                <w:sz w:val="24"/>
                <w:highlight w:val="none"/>
              </w:rPr>
              <w:t>*账号：15000098772801</w:t>
            </w:r>
          </w:p>
          <w:p w14:paraId="1F75BB0A">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(注：无论以何种形式提交，保证金均应于递交响应文件截止时间前缴至采购代理机构账户，磋商保证金如为电汇，须在电汇说明中写明“采购文件编号及分包号”。)</w:t>
            </w:r>
          </w:p>
        </w:tc>
      </w:tr>
      <w:tr w14:paraId="7DA18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069A7DA">
            <w:pPr>
              <w:pStyle w:val="9"/>
              <w:adjustRightInd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11.7.5</w:t>
            </w:r>
          </w:p>
        </w:tc>
        <w:tc>
          <w:tcPr>
            <w:tcW w:w="1701" w:type="dxa"/>
            <w:vMerge w:val="continue"/>
            <w:noWrap w:val="0"/>
            <w:vAlign w:val="center"/>
          </w:tcPr>
          <w:p w14:paraId="33AA3485">
            <w:pPr>
              <w:jc w:val="center"/>
              <w:rPr>
                <w:rFonts w:hint="eastAsia" w:ascii="宋体" w:hAnsi="宋体" w:eastAsia="宋体" w:cs="宋体"/>
                <w:color w:val="auto"/>
                <w:sz w:val="24"/>
                <w:highlight w:val="none"/>
              </w:rPr>
            </w:pPr>
          </w:p>
        </w:tc>
        <w:tc>
          <w:tcPr>
            <w:tcW w:w="7253" w:type="dxa"/>
            <w:noWrap w:val="0"/>
            <w:vAlign w:val="center"/>
          </w:tcPr>
          <w:p w14:paraId="6245B2CC">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磋商保证金不予退还的其他情形：</w:t>
            </w:r>
          </w:p>
          <w:p w14:paraId="46294E54">
            <w:pPr>
              <w:jc w:val="left"/>
              <w:rPr>
                <w:rFonts w:hint="eastAsia" w:ascii="宋体" w:hAnsi="宋体" w:eastAsia="宋体" w:cs="宋体"/>
                <w:color w:val="auto"/>
                <w:sz w:val="24"/>
                <w:highlight w:val="none"/>
              </w:rPr>
            </w:pPr>
            <w:r>
              <w:rPr>
                <w:rFonts w:hint="eastAsia" w:ascii="宋体" w:hAnsi="宋体" w:eastAsia="宋体" w:cs="宋体"/>
                <w:b/>
                <w:color w:val="auto"/>
                <w:sz w:val="24"/>
                <w:highlight w:val="none"/>
              </w:rPr>
              <w:t>■</w:t>
            </w:r>
            <w:r>
              <w:rPr>
                <w:rFonts w:hint="eastAsia" w:ascii="宋体" w:hAnsi="宋体" w:eastAsia="宋体" w:cs="宋体"/>
                <w:color w:val="auto"/>
                <w:sz w:val="24"/>
                <w:highlight w:val="none"/>
              </w:rPr>
              <w:t>无</w:t>
            </w:r>
          </w:p>
          <w:p w14:paraId="3A66BA75">
            <w:pPr>
              <w:pStyle w:val="9"/>
              <w:adjustRightInd w:val="0"/>
              <w:snapToGrid w:val="0"/>
              <w:rPr>
                <w:rFonts w:hint="eastAsia" w:ascii="宋体" w:hAnsi="宋体" w:eastAsia="宋体" w:cs="宋体"/>
                <w:color w:val="auto"/>
                <w:sz w:val="24"/>
                <w:szCs w:val="24"/>
                <w:highlight w:val="none"/>
              </w:rPr>
            </w:pPr>
            <w:r>
              <w:rPr>
                <w:rFonts w:hint="eastAsia" w:ascii="宋体" w:hAnsi="宋体" w:eastAsia="宋体" w:cs="宋体"/>
                <w:color w:val="auto"/>
                <w:highlight w:val="none"/>
              </w:rPr>
              <w:t>□</w:t>
            </w:r>
            <w:r>
              <w:rPr>
                <w:rFonts w:hint="eastAsia" w:ascii="宋体" w:hAnsi="宋体" w:eastAsia="宋体" w:cs="宋体"/>
                <w:color w:val="auto"/>
                <w:sz w:val="24"/>
                <w:highlight w:val="none"/>
              </w:rPr>
              <w:t>有，具体情形：</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w:t>
            </w:r>
          </w:p>
        </w:tc>
      </w:tr>
      <w:tr w14:paraId="4024C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62914D88">
            <w:pPr>
              <w:pStyle w:val="9"/>
              <w:adjustRightInd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w:t>
            </w:r>
          </w:p>
        </w:tc>
        <w:tc>
          <w:tcPr>
            <w:tcW w:w="1701" w:type="dxa"/>
            <w:noWrap w:val="0"/>
            <w:vAlign w:val="center"/>
          </w:tcPr>
          <w:p w14:paraId="261D7FC6">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响应有效期</w:t>
            </w:r>
          </w:p>
        </w:tc>
        <w:tc>
          <w:tcPr>
            <w:tcW w:w="7253" w:type="dxa"/>
            <w:noWrap w:val="0"/>
            <w:vAlign w:val="center"/>
          </w:tcPr>
          <w:p w14:paraId="488FED16">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自提交响应文件的截止之日起算90日历天。</w:t>
            </w:r>
          </w:p>
        </w:tc>
      </w:tr>
      <w:tr w14:paraId="748B5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701F3DE">
            <w:pPr>
              <w:pStyle w:val="9"/>
              <w:adjustRightInd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w:t>
            </w:r>
          </w:p>
        </w:tc>
        <w:tc>
          <w:tcPr>
            <w:tcW w:w="1701" w:type="dxa"/>
            <w:noWrap w:val="0"/>
            <w:vAlign w:val="center"/>
          </w:tcPr>
          <w:p w14:paraId="02E8F21A">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成交供应商的确认</w:t>
            </w:r>
          </w:p>
        </w:tc>
        <w:tc>
          <w:tcPr>
            <w:tcW w:w="7253" w:type="dxa"/>
            <w:noWrap w:val="0"/>
            <w:vAlign w:val="center"/>
          </w:tcPr>
          <w:p w14:paraId="12DF1F42">
            <w:pPr>
              <w:pStyle w:val="9"/>
              <w:adjustRightInd w:val="0"/>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采购人是否授权磋商小组直接确定成交供应商：</w:t>
            </w:r>
          </w:p>
          <w:p w14:paraId="68A2AD0E">
            <w:pPr>
              <w:pStyle w:val="9"/>
              <w:adjustRightInd w:val="0"/>
              <w:snapToGrid w:val="0"/>
              <w:rPr>
                <w:rFonts w:hint="eastAsia" w:ascii="宋体" w:hAnsi="宋体" w:eastAsia="宋体" w:cs="宋体"/>
                <w:color w:val="auto"/>
                <w:sz w:val="24"/>
                <w:highlight w:val="none"/>
              </w:rPr>
            </w:pPr>
            <w:r>
              <w:rPr>
                <w:rFonts w:hint="eastAsia" w:ascii="宋体" w:hAnsi="宋体" w:cs="宋体"/>
                <w:color w:val="auto"/>
                <w:highlight w:val="none"/>
                <w:lang w:eastAsia="zh-CN"/>
              </w:rPr>
              <w:t>□</w:t>
            </w:r>
            <w:r>
              <w:rPr>
                <w:rFonts w:hint="eastAsia" w:ascii="宋体" w:hAnsi="宋体" w:eastAsia="宋体" w:cs="宋体"/>
                <w:color w:val="auto"/>
                <w:sz w:val="24"/>
                <w:highlight w:val="none"/>
              </w:rPr>
              <w:t>否</w:t>
            </w:r>
          </w:p>
          <w:p w14:paraId="1D035388">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■是</w:t>
            </w:r>
          </w:p>
          <w:p w14:paraId="09FF22C3">
            <w:pPr>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成交候选人并列的，按照以下方式确定成交供应商：得分相同的，</w:t>
            </w:r>
            <w:r>
              <w:rPr>
                <w:rFonts w:hint="eastAsia" w:ascii="宋体" w:hAnsi="宋体" w:cs="宋体"/>
                <w:color w:val="auto"/>
                <w:sz w:val="24"/>
                <w:highlight w:val="none"/>
                <w:lang w:val="en-US" w:eastAsia="zh-CN"/>
              </w:rPr>
              <w:t>按照技术部分中整体方案得分最高者为成交人</w:t>
            </w:r>
            <w:r>
              <w:rPr>
                <w:rFonts w:hint="eastAsia" w:ascii="宋体" w:hAnsi="宋体" w:eastAsia="宋体" w:cs="宋体"/>
                <w:color w:val="auto"/>
                <w:sz w:val="24"/>
                <w:highlight w:val="none"/>
              </w:rPr>
              <w:t>。</w:t>
            </w:r>
          </w:p>
        </w:tc>
      </w:tr>
      <w:tr w14:paraId="1623B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2F72BD4D">
            <w:pPr>
              <w:pStyle w:val="9"/>
              <w:adjustRightInd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23.5</w:t>
            </w:r>
          </w:p>
        </w:tc>
        <w:tc>
          <w:tcPr>
            <w:tcW w:w="1701" w:type="dxa"/>
            <w:noWrap w:val="0"/>
            <w:vAlign w:val="center"/>
          </w:tcPr>
          <w:p w14:paraId="2FC9907F">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分包</w:t>
            </w:r>
          </w:p>
        </w:tc>
        <w:tc>
          <w:tcPr>
            <w:tcW w:w="7253" w:type="dxa"/>
            <w:noWrap w:val="0"/>
            <w:vAlign w:val="center"/>
          </w:tcPr>
          <w:p w14:paraId="39B2A305">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本项目是否允许分包： </w:t>
            </w:r>
          </w:p>
          <w:p w14:paraId="6F55019A">
            <w:pPr>
              <w:jc w:val="left"/>
              <w:rPr>
                <w:rFonts w:hint="eastAsia" w:ascii="宋体" w:hAnsi="宋体" w:eastAsia="宋体" w:cs="宋体"/>
                <w:color w:val="auto"/>
                <w:sz w:val="24"/>
                <w:highlight w:val="none"/>
              </w:rPr>
            </w:pPr>
            <w:r>
              <w:rPr>
                <w:rFonts w:hint="eastAsia" w:ascii="宋体" w:hAnsi="宋体" w:eastAsia="宋体" w:cs="宋体"/>
                <w:b/>
                <w:color w:val="auto"/>
                <w:sz w:val="24"/>
                <w:highlight w:val="none"/>
              </w:rPr>
              <w:t>■</w:t>
            </w:r>
            <w:r>
              <w:rPr>
                <w:rFonts w:hint="eastAsia" w:ascii="宋体" w:hAnsi="宋体" w:eastAsia="宋体" w:cs="宋体"/>
                <w:color w:val="auto"/>
                <w:sz w:val="24"/>
                <w:highlight w:val="none"/>
              </w:rPr>
              <w:t>不允许</w:t>
            </w:r>
          </w:p>
          <w:p w14:paraId="07816B09">
            <w:pPr>
              <w:jc w:val="left"/>
              <w:rPr>
                <w:rFonts w:hint="eastAsia" w:ascii="宋体" w:hAnsi="宋体" w:eastAsia="宋体" w:cs="宋体"/>
                <w:color w:val="auto"/>
                <w:sz w:val="24"/>
                <w:highlight w:val="none"/>
              </w:rPr>
            </w:pPr>
            <w:r>
              <w:rPr>
                <w:rFonts w:hint="eastAsia" w:ascii="宋体" w:hAnsi="宋体" w:eastAsia="宋体" w:cs="宋体"/>
                <w:color w:val="auto"/>
                <w:highlight w:val="none"/>
              </w:rPr>
              <w:t>□</w:t>
            </w:r>
            <w:r>
              <w:rPr>
                <w:rFonts w:hint="eastAsia" w:ascii="宋体" w:hAnsi="宋体" w:eastAsia="宋体" w:cs="宋体"/>
                <w:color w:val="auto"/>
                <w:sz w:val="24"/>
                <w:highlight w:val="none"/>
              </w:rPr>
              <w:t>允许，具体要求：</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w:t>
            </w:r>
          </w:p>
          <w:p w14:paraId="0DF15B84">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（1）可以分包履行的具体内容：</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w:t>
            </w:r>
          </w:p>
          <w:p w14:paraId="790ABD82">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（2）允许分包的金额或者比例：</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w:t>
            </w:r>
          </w:p>
          <w:p w14:paraId="5589D534">
            <w:pPr>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（3）其他要求：</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w:t>
            </w:r>
          </w:p>
        </w:tc>
      </w:tr>
      <w:tr w14:paraId="5B066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68E31516">
            <w:pPr>
              <w:pStyle w:val="9"/>
              <w:adjustRightInd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24.1.1</w:t>
            </w:r>
          </w:p>
        </w:tc>
        <w:tc>
          <w:tcPr>
            <w:tcW w:w="1701" w:type="dxa"/>
            <w:noWrap w:val="0"/>
            <w:vAlign w:val="center"/>
          </w:tcPr>
          <w:p w14:paraId="148FDCD1">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询问</w:t>
            </w:r>
          </w:p>
        </w:tc>
        <w:tc>
          <w:tcPr>
            <w:tcW w:w="7253" w:type="dxa"/>
            <w:noWrap w:val="0"/>
            <w:vAlign w:val="center"/>
          </w:tcPr>
          <w:p w14:paraId="06BA80AA">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询问送达形式：请以信函或传真的形式。</w:t>
            </w:r>
          </w:p>
        </w:tc>
      </w:tr>
      <w:tr w14:paraId="3E31C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C387DA0">
            <w:pPr>
              <w:pStyle w:val="9"/>
              <w:adjustRightInd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w:t>
            </w:r>
          </w:p>
        </w:tc>
        <w:tc>
          <w:tcPr>
            <w:tcW w:w="1701" w:type="dxa"/>
            <w:noWrap w:val="0"/>
            <w:vAlign w:val="center"/>
          </w:tcPr>
          <w:p w14:paraId="23C93CC2">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联系方式</w:t>
            </w:r>
          </w:p>
        </w:tc>
        <w:tc>
          <w:tcPr>
            <w:tcW w:w="7253" w:type="dxa"/>
            <w:noWrap w:val="0"/>
            <w:vAlign w:val="center"/>
          </w:tcPr>
          <w:p w14:paraId="64A843E5">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接收询问和质疑的联系方式</w:t>
            </w:r>
          </w:p>
          <w:p w14:paraId="71A806B0">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联系部门：招标部；</w:t>
            </w:r>
          </w:p>
          <w:p w14:paraId="2546330D">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联系电话：</w:t>
            </w:r>
            <w:r>
              <w:rPr>
                <w:rFonts w:hint="eastAsia" w:ascii="宋体" w:hAnsi="宋体" w:eastAsia="宋体" w:cs="宋体"/>
                <w:color w:val="auto"/>
                <w:sz w:val="24"/>
                <w:highlight w:val="none"/>
                <w:lang w:val="en-US" w:eastAsia="zh-CN"/>
              </w:rPr>
              <w:t>010-60700287</w:t>
            </w:r>
            <w:r>
              <w:rPr>
                <w:rFonts w:hint="eastAsia" w:ascii="宋体" w:hAnsi="宋体" w:eastAsia="宋体" w:cs="宋体"/>
                <w:color w:val="auto"/>
                <w:sz w:val="24"/>
                <w:highlight w:val="none"/>
              </w:rPr>
              <w:t>；</w:t>
            </w:r>
          </w:p>
          <w:p w14:paraId="7250761F">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通讯地址：北京市昌平区超前路37号院中关村兴业创业园6号楼B单元1305室。</w:t>
            </w:r>
          </w:p>
        </w:tc>
      </w:tr>
      <w:tr w14:paraId="00752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F1613F3">
            <w:pPr>
              <w:pStyle w:val="9"/>
              <w:adjustRightInd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w:t>
            </w:r>
          </w:p>
        </w:tc>
        <w:tc>
          <w:tcPr>
            <w:tcW w:w="1701" w:type="dxa"/>
            <w:noWrap w:val="0"/>
            <w:vAlign w:val="center"/>
          </w:tcPr>
          <w:p w14:paraId="2311BCFA">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代理费</w:t>
            </w:r>
          </w:p>
        </w:tc>
        <w:tc>
          <w:tcPr>
            <w:tcW w:w="7253" w:type="dxa"/>
            <w:noWrap w:val="0"/>
            <w:vAlign w:val="center"/>
          </w:tcPr>
          <w:p w14:paraId="5BA449FB">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收费对象：</w:t>
            </w:r>
          </w:p>
          <w:p w14:paraId="3517A506">
            <w:pPr>
              <w:jc w:val="left"/>
              <w:rPr>
                <w:rFonts w:hint="eastAsia" w:ascii="宋体" w:hAnsi="宋体" w:eastAsia="宋体" w:cs="宋体"/>
                <w:color w:val="auto"/>
                <w:sz w:val="24"/>
                <w:highlight w:val="none"/>
              </w:rPr>
            </w:pPr>
            <w:r>
              <w:rPr>
                <w:rFonts w:hint="eastAsia" w:ascii="宋体" w:hAnsi="宋体" w:eastAsia="宋体" w:cs="宋体"/>
                <w:color w:val="auto"/>
                <w:highlight w:val="none"/>
              </w:rPr>
              <w:t>□</w:t>
            </w:r>
            <w:r>
              <w:rPr>
                <w:rFonts w:hint="eastAsia" w:ascii="宋体" w:hAnsi="宋体" w:eastAsia="宋体" w:cs="宋体"/>
                <w:color w:val="auto"/>
                <w:sz w:val="24"/>
                <w:highlight w:val="none"/>
              </w:rPr>
              <w:t>采购人</w:t>
            </w:r>
          </w:p>
          <w:p w14:paraId="74697753">
            <w:pPr>
              <w:jc w:val="left"/>
              <w:rPr>
                <w:rFonts w:hint="eastAsia" w:ascii="宋体" w:hAnsi="宋体" w:eastAsia="宋体" w:cs="宋体"/>
                <w:color w:val="auto"/>
                <w:sz w:val="24"/>
                <w:highlight w:val="none"/>
              </w:rPr>
            </w:pPr>
            <w:r>
              <w:rPr>
                <w:rFonts w:hint="eastAsia" w:ascii="宋体" w:hAnsi="宋体" w:eastAsia="宋体" w:cs="宋体"/>
                <w:b/>
                <w:color w:val="auto"/>
                <w:sz w:val="24"/>
                <w:highlight w:val="none"/>
              </w:rPr>
              <w:t>■</w:t>
            </w:r>
            <w:r>
              <w:rPr>
                <w:rFonts w:hint="eastAsia" w:ascii="宋体" w:hAnsi="宋体" w:eastAsia="宋体" w:cs="宋体"/>
                <w:color w:val="auto"/>
                <w:sz w:val="24"/>
                <w:highlight w:val="none"/>
              </w:rPr>
              <w:t>成交供应商</w:t>
            </w:r>
          </w:p>
          <w:p w14:paraId="17570B4E">
            <w:pPr>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收费标准：根据国家发展计划委员会颁布的《招标代理服务收费管理暂行办法》（计价格[2002]1980 号），招标代理服务费用按差额定率累进法以成交金额为基数进行计算；</w:t>
            </w:r>
          </w:p>
          <w:p w14:paraId="61942C3F">
            <w:pPr>
              <w:jc w:val="lef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缴纳时间：</w:t>
            </w:r>
            <w:r>
              <w:rPr>
                <w:rFonts w:hint="eastAsia" w:ascii="宋体" w:hAnsi="宋体" w:cs="宋体"/>
                <w:color w:val="auto"/>
                <w:sz w:val="24"/>
                <w:highlight w:val="none"/>
                <w:lang w:val="en-US" w:eastAsia="zh-CN"/>
              </w:rPr>
              <w:t>依据代理协议中要求时间。</w:t>
            </w:r>
          </w:p>
        </w:tc>
      </w:tr>
    </w:tbl>
    <w:p w14:paraId="46D309EE">
      <w:pPr>
        <w:tabs>
          <w:tab w:val="left" w:pos="5580"/>
        </w:tabs>
        <w:adjustRightInd w:val="0"/>
        <w:spacing w:line="360" w:lineRule="auto"/>
        <w:jc w:val="distribute"/>
        <w:rPr>
          <w:rFonts w:hint="eastAsia" w:ascii="宋体" w:hAnsi="宋体" w:eastAsia="宋体" w:cs="宋体"/>
          <w:color w:val="auto"/>
          <w:sz w:val="24"/>
          <w:highlight w:val="none"/>
        </w:rPr>
        <w:sectPr>
          <w:footerReference r:id="rId9" w:type="first"/>
          <w:footerReference r:id="rId8" w:type="default"/>
          <w:pgSz w:w="11907" w:h="16840"/>
          <w:pgMar w:top="1418" w:right="1134" w:bottom="1418" w:left="1701" w:header="851" w:footer="851" w:gutter="0"/>
          <w:pgNumType w:fmt="decimal" w:start="1"/>
          <w:cols w:space="720" w:num="1"/>
          <w:titlePg/>
          <w:docGrid w:linePitch="462" w:charSpace="0"/>
        </w:sectPr>
      </w:pPr>
    </w:p>
    <w:p w14:paraId="17E02E19">
      <w:pPr>
        <w:spacing w:before="240" w:beforeLines="100" w:after="240" w:afterLines="100"/>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供应商须知</w:t>
      </w:r>
    </w:p>
    <w:p w14:paraId="35A7A595">
      <w:pPr>
        <w:pStyle w:val="3"/>
        <w:tabs>
          <w:tab w:val="center" w:pos="4592"/>
          <w:tab w:val="left" w:pos="7860"/>
        </w:tabs>
        <w:spacing w:before="0" w:line="360" w:lineRule="auto"/>
        <w:jc w:val="left"/>
        <w:rPr>
          <w:rFonts w:hint="eastAsia" w:ascii="宋体" w:hAnsi="宋体" w:eastAsia="宋体" w:cs="宋体"/>
          <w:color w:val="auto"/>
          <w:sz w:val="28"/>
          <w:highlight w:val="none"/>
        </w:rPr>
      </w:pPr>
      <w:bookmarkStart w:id="62" w:name="_Toc520356143"/>
      <w:bookmarkStart w:id="63" w:name="_Toc127151518"/>
      <w:r>
        <w:rPr>
          <w:rFonts w:hint="eastAsia" w:ascii="宋体" w:hAnsi="宋体" w:eastAsia="宋体" w:cs="宋体"/>
          <w:color w:val="auto"/>
          <w:sz w:val="28"/>
          <w:highlight w:val="none"/>
        </w:rPr>
        <w:tab/>
      </w:r>
      <w:bookmarkStart w:id="64" w:name="_Toc264969208"/>
      <w:bookmarkStart w:id="65" w:name="_Toc150509269"/>
      <w:bookmarkStart w:id="66" w:name="_Toc226337214"/>
      <w:bookmarkStart w:id="67" w:name="_Toc150774723"/>
      <w:bookmarkStart w:id="68" w:name="_Toc226965708"/>
      <w:bookmarkStart w:id="69" w:name="_Toc151193760"/>
      <w:bookmarkStart w:id="70" w:name="_Toc305158860"/>
      <w:bookmarkStart w:id="71" w:name="_Toc305158786"/>
      <w:bookmarkStart w:id="72" w:name="_Toc151193688"/>
      <w:bookmarkStart w:id="73" w:name="_Toc265228356"/>
      <w:bookmarkStart w:id="74" w:name="_Toc151190145"/>
      <w:bookmarkStart w:id="75" w:name="_Toc150480756"/>
      <w:bookmarkStart w:id="76" w:name="_Toc226309762"/>
      <w:bookmarkStart w:id="77" w:name="_Toc151193906"/>
      <w:bookmarkStart w:id="78" w:name="_Toc151193616"/>
      <w:bookmarkStart w:id="79" w:name="_Toc150774618"/>
      <w:bookmarkStart w:id="80" w:name="_Toc151193832"/>
      <w:bookmarkStart w:id="81" w:name="_Toc142311020"/>
      <w:bookmarkStart w:id="82" w:name="_Toc195842883"/>
      <w:bookmarkStart w:id="83" w:name="_Toc226965791"/>
      <w:r>
        <w:rPr>
          <w:rFonts w:hint="eastAsia" w:ascii="宋体" w:hAnsi="宋体" w:eastAsia="宋体" w:cs="宋体"/>
          <w:color w:val="auto"/>
          <w:sz w:val="28"/>
          <w:highlight w:val="none"/>
        </w:rPr>
        <w:t>一   说  明</w:t>
      </w:r>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Pr>
          <w:rFonts w:hint="eastAsia" w:ascii="宋体" w:hAnsi="宋体" w:eastAsia="宋体" w:cs="宋体"/>
          <w:color w:val="auto"/>
          <w:sz w:val="28"/>
          <w:highlight w:val="none"/>
        </w:rPr>
        <w:tab/>
      </w:r>
    </w:p>
    <w:p w14:paraId="0135737D">
      <w:pPr>
        <w:numPr>
          <w:ilvl w:val="0"/>
          <w:numId w:val="3"/>
        </w:numPr>
        <w:tabs>
          <w:tab w:val="left" w:pos="360"/>
          <w:tab w:val="clear" w:pos="900"/>
        </w:tabs>
        <w:snapToGrid w:val="0"/>
        <w:spacing w:line="360" w:lineRule="auto"/>
        <w:ind w:left="357" w:hanging="357"/>
        <w:outlineLvl w:val="1"/>
        <w:rPr>
          <w:rFonts w:hint="eastAsia" w:ascii="宋体" w:hAnsi="宋体" w:eastAsia="宋体" w:cs="宋体"/>
          <w:color w:val="auto"/>
          <w:sz w:val="24"/>
          <w:highlight w:val="none"/>
        </w:rPr>
      </w:pPr>
      <w:bookmarkStart w:id="84" w:name="_Toc305158861"/>
      <w:bookmarkStart w:id="85" w:name="_Toc264969209"/>
      <w:bookmarkStart w:id="86" w:name="_Toc305158787"/>
      <w:bookmarkStart w:id="87" w:name="_Toc265228357"/>
      <w:r>
        <w:rPr>
          <w:rFonts w:hint="eastAsia" w:ascii="宋体" w:hAnsi="宋体" w:eastAsia="宋体" w:cs="宋体"/>
          <w:color w:val="auto"/>
          <w:sz w:val="24"/>
          <w:highlight w:val="none"/>
        </w:rPr>
        <w:t>采购人、采购代理机构、供应商</w:t>
      </w:r>
      <w:bookmarkEnd w:id="84"/>
      <w:bookmarkEnd w:id="85"/>
      <w:bookmarkEnd w:id="86"/>
      <w:bookmarkEnd w:id="87"/>
      <w:r>
        <w:rPr>
          <w:rFonts w:hint="eastAsia" w:ascii="宋体" w:hAnsi="宋体" w:eastAsia="宋体" w:cs="宋体"/>
          <w:color w:val="auto"/>
          <w:sz w:val="24"/>
          <w:highlight w:val="none"/>
        </w:rPr>
        <w:t>、联合体</w:t>
      </w:r>
    </w:p>
    <w:p w14:paraId="7B18B2BF">
      <w:pPr>
        <w:numPr>
          <w:ilvl w:val="1"/>
          <w:numId w:val="3"/>
        </w:numPr>
        <w:tabs>
          <w:tab w:val="left" w:pos="1080"/>
          <w:tab w:val="left" w:pos="2014"/>
          <w:tab w:val="left" w:pos="5521"/>
        </w:tabs>
        <w:snapToGrid w:val="0"/>
        <w:spacing w:line="360" w:lineRule="auto"/>
        <w:ind w:left="108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采购人、采购代理机构：指依法进行政府采购的国家机关、事业单位、团体组织，及其委托的采购代理机构。本项目采购人、采购代理机构见第一章《采购邀请》。</w:t>
      </w:r>
    </w:p>
    <w:p w14:paraId="6B8B9D59">
      <w:pPr>
        <w:numPr>
          <w:ilvl w:val="1"/>
          <w:numId w:val="3"/>
        </w:numPr>
        <w:tabs>
          <w:tab w:val="left" w:pos="1080"/>
          <w:tab w:val="left" w:pos="2014"/>
          <w:tab w:val="left" w:pos="5521"/>
        </w:tabs>
        <w:snapToGrid w:val="0"/>
        <w:spacing w:line="360" w:lineRule="auto"/>
        <w:ind w:left="108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供应商（也称“申请人”）：指向采购人提供货物、工程或者服务的法人、其他组织或者自然人。</w:t>
      </w:r>
    </w:p>
    <w:p w14:paraId="5C7360D8">
      <w:pPr>
        <w:numPr>
          <w:ilvl w:val="1"/>
          <w:numId w:val="3"/>
        </w:numPr>
        <w:tabs>
          <w:tab w:val="left" w:pos="1080"/>
          <w:tab w:val="left" w:pos="2014"/>
          <w:tab w:val="left" w:pos="5521"/>
        </w:tabs>
        <w:snapToGrid w:val="0"/>
        <w:spacing w:line="360" w:lineRule="auto"/>
        <w:ind w:left="108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联合体：指两个以上的自然人、法人或者其他组织组成一个联合体，以一个供应商的身份共同参加政府采购。</w:t>
      </w:r>
    </w:p>
    <w:p w14:paraId="4116AA9F">
      <w:pPr>
        <w:numPr>
          <w:ilvl w:val="0"/>
          <w:numId w:val="3"/>
        </w:numPr>
        <w:tabs>
          <w:tab w:val="left" w:pos="360"/>
          <w:tab w:val="clear" w:pos="900"/>
        </w:tabs>
        <w:snapToGrid w:val="0"/>
        <w:spacing w:line="360" w:lineRule="auto"/>
        <w:ind w:left="357" w:hanging="357"/>
        <w:outlineLvl w:val="1"/>
        <w:rPr>
          <w:rFonts w:hint="eastAsia" w:ascii="宋体" w:hAnsi="宋体" w:eastAsia="宋体" w:cs="宋体"/>
          <w:color w:val="auto"/>
          <w:sz w:val="24"/>
          <w:highlight w:val="none"/>
        </w:rPr>
      </w:pPr>
      <w:bookmarkStart w:id="88" w:name="_Toc150774725"/>
      <w:bookmarkStart w:id="89" w:name="_Toc150774620"/>
      <w:bookmarkStart w:id="90" w:name="_Toc150480758"/>
      <w:bookmarkStart w:id="91" w:name="_Toc226337216"/>
      <w:bookmarkStart w:id="92" w:name="_Toc127151520"/>
      <w:bookmarkStart w:id="93" w:name="_Toc164229215"/>
      <w:bookmarkStart w:id="94" w:name="_Toc305158788"/>
      <w:bookmarkStart w:id="95" w:name="_Toc151193618"/>
      <w:bookmarkStart w:id="96" w:name="_Toc151193834"/>
      <w:bookmarkStart w:id="97" w:name="_Toc226309764"/>
      <w:bookmarkStart w:id="98" w:name="_Toc164229361"/>
      <w:bookmarkStart w:id="99" w:name="_Toc264969210"/>
      <w:bookmarkStart w:id="100" w:name="_Toc127161434"/>
      <w:bookmarkStart w:id="101" w:name="_Toc151190147"/>
      <w:bookmarkStart w:id="102" w:name="_Toc142311022"/>
      <w:bookmarkStart w:id="103" w:name="_Toc150509271"/>
      <w:bookmarkStart w:id="104" w:name="_Toc151193908"/>
      <w:bookmarkStart w:id="105" w:name="_Toc164608634"/>
      <w:bookmarkStart w:id="106" w:name="_Toc164608789"/>
      <w:bookmarkStart w:id="107" w:name="_Toc226965793"/>
      <w:bookmarkStart w:id="108" w:name="_Toc164351614"/>
      <w:bookmarkStart w:id="109" w:name="_Toc265228358"/>
      <w:bookmarkStart w:id="110" w:name="_Toc195842885"/>
      <w:bookmarkStart w:id="111" w:name="_Toc151193762"/>
      <w:bookmarkStart w:id="112" w:name="_Toc226965710"/>
      <w:bookmarkStart w:id="113" w:name="_Toc149720813"/>
      <w:bookmarkStart w:id="114" w:name="_Toc127151721"/>
      <w:bookmarkStart w:id="115" w:name="_Toc305158862"/>
      <w:bookmarkStart w:id="116" w:name="_Toc151193690"/>
      <w:r>
        <w:rPr>
          <w:rFonts w:hint="eastAsia" w:ascii="宋体" w:hAnsi="宋体" w:eastAsia="宋体" w:cs="宋体"/>
          <w:color w:val="auto"/>
          <w:sz w:val="24"/>
          <w:highlight w:val="none"/>
        </w:rPr>
        <w:t>资金来源</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r>
        <w:rPr>
          <w:rFonts w:hint="eastAsia" w:ascii="宋体" w:hAnsi="宋体" w:eastAsia="宋体" w:cs="宋体"/>
          <w:color w:val="auto"/>
          <w:sz w:val="24"/>
          <w:highlight w:val="none"/>
        </w:rPr>
        <w:t>、项目属性、科研仪器设备采购</w:t>
      </w:r>
    </w:p>
    <w:p w14:paraId="66314DF4">
      <w:pPr>
        <w:numPr>
          <w:ilvl w:val="1"/>
          <w:numId w:val="3"/>
        </w:numPr>
        <w:tabs>
          <w:tab w:val="left" w:pos="1080"/>
          <w:tab w:val="left" w:pos="2014"/>
        </w:tabs>
        <w:snapToGrid w:val="0"/>
        <w:spacing w:line="360" w:lineRule="auto"/>
        <w:ind w:left="108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资金来源为财政性资金和/或本项目采购中无法与财政性资金分割的非财政性资金。</w:t>
      </w:r>
    </w:p>
    <w:p w14:paraId="602F6649">
      <w:pPr>
        <w:numPr>
          <w:ilvl w:val="1"/>
          <w:numId w:val="3"/>
        </w:numPr>
        <w:tabs>
          <w:tab w:val="left" w:pos="1080"/>
          <w:tab w:val="left" w:pos="2014"/>
        </w:tabs>
        <w:snapToGrid w:val="0"/>
        <w:spacing w:line="360" w:lineRule="auto"/>
        <w:ind w:left="108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项目属性见《供应商须知资料表》。</w:t>
      </w:r>
    </w:p>
    <w:p w14:paraId="79E75903">
      <w:pPr>
        <w:numPr>
          <w:ilvl w:val="1"/>
          <w:numId w:val="3"/>
        </w:numPr>
        <w:tabs>
          <w:tab w:val="left" w:pos="1080"/>
          <w:tab w:val="left" w:pos="2014"/>
        </w:tabs>
        <w:snapToGrid w:val="0"/>
        <w:spacing w:line="360" w:lineRule="auto"/>
        <w:ind w:left="108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是否属于科研仪器设备采购见《供应商须知资料表》。</w:t>
      </w:r>
    </w:p>
    <w:p w14:paraId="6DF8783A">
      <w:pPr>
        <w:numPr>
          <w:ilvl w:val="0"/>
          <w:numId w:val="3"/>
        </w:numPr>
        <w:tabs>
          <w:tab w:val="left" w:pos="360"/>
        </w:tabs>
        <w:snapToGrid w:val="0"/>
        <w:spacing w:line="360" w:lineRule="auto"/>
        <w:ind w:left="357" w:hanging="357"/>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现场考察、磋商前答疑会</w:t>
      </w:r>
    </w:p>
    <w:p w14:paraId="00FE1F45">
      <w:pPr>
        <w:numPr>
          <w:ilvl w:val="1"/>
          <w:numId w:val="3"/>
        </w:numPr>
        <w:tabs>
          <w:tab w:val="left" w:pos="1080"/>
          <w:tab w:val="left" w:pos="2014"/>
        </w:tabs>
        <w:snapToGrid w:val="0"/>
        <w:spacing w:line="360" w:lineRule="auto"/>
        <w:ind w:left="1080" w:hanging="720"/>
        <w:rPr>
          <w:rFonts w:hint="eastAsia" w:ascii="宋体" w:hAnsi="宋体" w:eastAsia="宋体" w:cs="宋体"/>
          <w:color w:val="auto"/>
          <w:sz w:val="28"/>
          <w:highlight w:val="none"/>
        </w:rPr>
      </w:pPr>
      <w:r>
        <w:rPr>
          <w:rFonts w:hint="eastAsia" w:ascii="宋体" w:hAnsi="宋体" w:eastAsia="宋体" w:cs="宋体"/>
          <w:color w:val="auto"/>
          <w:sz w:val="24"/>
          <w:highlight w:val="none"/>
        </w:rPr>
        <w:t>若《供应商须知资料表》中规定了组织现场考察、召开磋商前答疑会，则供应商应按要求在规定的时间和地点参加。</w:t>
      </w:r>
      <w:bookmarkStart w:id="117" w:name="_Toc151193910"/>
      <w:bookmarkStart w:id="118" w:name="_Toc226309766"/>
      <w:bookmarkStart w:id="119" w:name="_Toc151190149"/>
      <w:bookmarkStart w:id="120" w:name="_Toc226965712"/>
      <w:bookmarkStart w:id="121" w:name="_Toc226337218"/>
      <w:bookmarkStart w:id="122" w:name="_Toc305158790"/>
      <w:bookmarkStart w:id="123" w:name="_Toc305158864"/>
      <w:bookmarkStart w:id="124" w:name="_Toc264969212"/>
      <w:bookmarkStart w:id="125" w:name="_Toc150509273"/>
      <w:bookmarkStart w:id="126" w:name="_Toc142311024"/>
      <w:bookmarkStart w:id="127" w:name="_Toc150774622"/>
      <w:bookmarkStart w:id="128" w:name="_Toc151193620"/>
      <w:bookmarkStart w:id="129" w:name="_Toc150480760"/>
      <w:bookmarkStart w:id="130" w:name="_Toc151193764"/>
      <w:bookmarkStart w:id="131" w:name="_Toc195842887"/>
      <w:bookmarkStart w:id="132" w:name="_Toc226965795"/>
      <w:bookmarkStart w:id="133" w:name="_Toc265228360"/>
      <w:bookmarkStart w:id="134" w:name="_Toc520356146"/>
      <w:bookmarkStart w:id="135" w:name="_Toc151193692"/>
      <w:bookmarkStart w:id="136" w:name="_Toc127151522"/>
      <w:bookmarkStart w:id="137" w:name="_Toc150774727"/>
      <w:bookmarkStart w:id="138" w:name="_Toc151193836"/>
    </w:p>
    <w:p w14:paraId="7E354294">
      <w:pPr>
        <w:numPr>
          <w:ilvl w:val="1"/>
          <w:numId w:val="3"/>
        </w:numPr>
        <w:tabs>
          <w:tab w:val="left" w:pos="1080"/>
          <w:tab w:val="left" w:pos="2014"/>
        </w:tabs>
        <w:snapToGrid w:val="0"/>
        <w:spacing w:line="360" w:lineRule="auto"/>
        <w:ind w:left="108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由于未参加现场考察或磋商前答疑会而导致对项目实际情况不了解，影响响应文件编制、报价准确性、综合因素响应不全面等问题的，由供应商自行承担不利评审后果。</w:t>
      </w:r>
    </w:p>
    <w:p w14:paraId="135806A2">
      <w:pPr>
        <w:numPr>
          <w:ilvl w:val="0"/>
          <w:numId w:val="3"/>
        </w:numPr>
        <w:tabs>
          <w:tab w:val="left" w:pos="360"/>
          <w:tab w:val="clear" w:pos="900"/>
        </w:tabs>
        <w:snapToGrid w:val="0"/>
        <w:spacing w:line="360" w:lineRule="auto"/>
        <w:ind w:left="357" w:hanging="357"/>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政府采购政策（包括但不限于下列具体政策要求）</w:t>
      </w:r>
    </w:p>
    <w:p w14:paraId="6A0720F9">
      <w:pPr>
        <w:numPr>
          <w:ilvl w:val="1"/>
          <w:numId w:val="3"/>
        </w:numPr>
        <w:tabs>
          <w:tab w:val="left" w:pos="1080"/>
          <w:tab w:val="left" w:pos="2014"/>
        </w:tabs>
        <w:snapToGrid w:val="0"/>
        <w:spacing w:line="360" w:lineRule="auto"/>
        <w:ind w:left="108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采购本国货物、工程和服务</w:t>
      </w:r>
    </w:p>
    <w:p w14:paraId="2A8A4F6B">
      <w:pPr>
        <w:numPr>
          <w:ilvl w:val="0"/>
          <w:numId w:val="0"/>
        </w:numPr>
        <w:tabs>
          <w:tab w:val="left" w:pos="1080"/>
          <w:tab w:val="left" w:pos="2014"/>
        </w:tabs>
        <w:snapToGrid w:val="0"/>
        <w:spacing w:line="360" w:lineRule="auto"/>
        <w:ind w:left="360" w:leftChars="0"/>
        <w:rPr>
          <w:rFonts w:hint="eastAsia" w:ascii="宋体" w:hAnsi="宋体" w:eastAsia="宋体" w:cs="宋体"/>
          <w:color w:val="auto"/>
          <w:sz w:val="24"/>
          <w:highlight w:val="none"/>
        </w:rPr>
      </w:pPr>
      <w:r>
        <w:rPr>
          <w:rFonts w:hint="eastAsia" w:ascii="宋体" w:hAnsi="宋体" w:eastAsia="宋体" w:cs="宋体"/>
          <w:color w:val="auto"/>
          <w:sz w:val="24"/>
          <w:highlight w:val="none"/>
        </w:rPr>
        <w:t>4.1.1   政府采购应当采购本国货物、工程和服务。但有</w:t>
      </w:r>
      <w:r>
        <w:rPr>
          <w:rFonts w:hint="eastAsia" w:ascii="宋体" w:hAnsi="宋体" w:eastAsia="宋体" w:cs="宋体"/>
          <w:b/>
          <w:bCs/>
          <w:color w:val="auto"/>
          <w:sz w:val="24"/>
          <w:highlight w:val="none"/>
        </w:rPr>
        <w:t>《中华人民共和国政府采购法》</w:t>
      </w:r>
      <w:r>
        <w:rPr>
          <w:rFonts w:hint="eastAsia" w:ascii="宋体" w:hAnsi="宋体" w:eastAsia="宋体" w:cs="宋体"/>
          <w:color w:val="auto"/>
          <w:sz w:val="24"/>
          <w:highlight w:val="none"/>
        </w:rPr>
        <w:t>第十条规定情形的除外。</w:t>
      </w:r>
    </w:p>
    <w:p w14:paraId="14E497B6">
      <w:pPr>
        <w:numPr>
          <w:ilvl w:val="0"/>
          <w:numId w:val="0"/>
        </w:numPr>
        <w:tabs>
          <w:tab w:val="left" w:pos="1080"/>
          <w:tab w:val="left" w:pos="2014"/>
        </w:tabs>
        <w:snapToGrid w:val="0"/>
        <w:spacing w:line="360" w:lineRule="auto"/>
        <w:ind w:left="360" w:leftChars="0"/>
        <w:rPr>
          <w:rFonts w:hint="eastAsia" w:ascii="宋体" w:hAnsi="宋体" w:eastAsia="宋体" w:cs="宋体"/>
          <w:color w:val="auto"/>
          <w:sz w:val="24"/>
          <w:highlight w:val="none"/>
        </w:rPr>
      </w:pPr>
      <w:r>
        <w:rPr>
          <w:rFonts w:hint="eastAsia" w:ascii="宋体" w:hAnsi="宋体" w:eastAsia="宋体" w:cs="宋体"/>
          <w:color w:val="auto"/>
          <w:sz w:val="24"/>
          <w:highlight w:val="none"/>
        </w:rPr>
        <w:t>4.1.2   本项目如接受非本国货物、工程、服务参与投标， 则具体要求见第四章《采购需求》。</w:t>
      </w:r>
    </w:p>
    <w:p w14:paraId="2ADF35F2">
      <w:pPr>
        <w:numPr>
          <w:ilvl w:val="0"/>
          <w:numId w:val="0"/>
        </w:numPr>
        <w:tabs>
          <w:tab w:val="left" w:pos="1080"/>
          <w:tab w:val="left" w:pos="2014"/>
        </w:tabs>
        <w:snapToGrid w:val="0"/>
        <w:spacing w:line="360" w:lineRule="auto"/>
        <w:ind w:left="360" w:leftChars="0"/>
        <w:rPr>
          <w:rFonts w:hint="eastAsia" w:ascii="宋体" w:hAnsi="宋体" w:eastAsia="宋体" w:cs="宋体"/>
          <w:color w:val="auto"/>
          <w:sz w:val="24"/>
          <w:highlight w:val="none"/>
        </w:rPr>
      </w:pPr>
      <w:r>
        <w:rPr>
          <w:rFonts w:hint="eastAsia" w:ascii="宋体" w:hAnsi="宋体" w:eastAsia="宋体" w:cs="宋体"/>
          <w:color w:val="auto"/>
          <w:sz w:val="24"/>
          <w:highlight w:val="none"/>
        </w:rPr>
        <w:t>4.1.3   进口产品指通过中国海关报关验放进入中国境内且产自关境外的产品，包括已经进入中国境内的进口产品。关于进口产品的相关规定依据《政府采购进口产品管理办法》（财库〔2007〕119 号文）、《关于政府采购进口产品管理有关问题的通知》（财办库〔2008〕248号文）。</w:t>
      </w:r>
    </w:p>
    <w:p w14:paraId="3BAAAB32">
      <w:pPr>
        <w:numPr>
          <w:ilvl w:val="1"/>
          <w:numId w:val="3"/>
        </w:numPr>
        <w:tabs>
          <w:tab w:val="left" w:pos="1080"/>
          <w:tab w:val="left" w:pos="2014"/>
        </w:tabs>
        <w:snapToGrid w:val="0"/>
        <w:spacing w:line="360" w:lineRule="auto"/>
        <w:ind w:left="108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中小企业、监狱企业及残疾人福利性单位</w:t>
      </w:r>
    </w:p>
    <w:p w14:paraId="4FD3290D">
      <w:pPr>
        <w:numPr>
          <w:ilvl w:val="2"/>
          <w:numId w:val="3"/>
        </w:numPr>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中小企业定义：</w:t>
      </w:r>
    </w:p>
    <w:p w14:paraId="58FC375A">
      <w:pPr>
        <w:pStyle w:val="32"/>
        <w:numPr>
          <w:ilvl w:val="0"/>
          <w:numId w:val="4"/>
        </w:numPr>
        <w:tabs>
          <w:tab w:val="left" w:pos="1980"/>
          <w:tab w:val="left" w:pos="2035"/>
          <w:tab w:val="left" w:pos="2977"/>
        </w:tabs>
        <w:snapToGrid w:val="0"/>
        <w:spacing w:line="360" w:lineRule="auto"/>
        <w:ind w:firstLineChars="0"/>
        <w:rPr>
          <w:rFonts w:hint="eastAsia" w:ascii="宋体" w:hAnsi="宋体" w:eastAsia="宋体" w:cs="宋体"/>
          <w:vanish/>
          <w:color w:val="auto"/>
          <w:sz w:val="24"/>
          <w:szCs w:val="24"/>
          <w:highlight w:val="none"/>
        </w:rPr>
      </w:pPr>
    </w:p>
    <w:p w14:paraId="24111FB6">
      <w:pPr>
        <w:pStyle w:val="32"/>
        <w:numPr>
          <w:ilvl w:val="0"/>
          <w:numId w:val="4"/>
        </w:numPr>
        <w:tabs>
          <w:tab w:val="left" w:pos="1980"/>
          <w:tab w:val="left" w:pos="2035"/>
          <w:tab w:val="left" w:pos="2977"/>
        </w:tabs>
        <w:snapToGrid w:val="0"/>
        <w:spacing w:line="360" w:lineRule="auto"/>
        <w:ind w:firstLineChars="0"/>
        <w:rPr>
          <w:rFonts w:hint="eastAsia" w:ascii="宋体" w:hAnsi="宋体" w:eastAsia="宋体" w:cs="宋体"/>
          <w:vanish/>
          <w:color w:val="auto"/>
          <w:sz w:val="24"/>
          <w:szCs w:val="24"/>
          <w:highlight w:val="none"/>
        </w:rPr>
      </w:pPr>
    </w:p>
    <w:p w14:paraId="1F641A7F">
      <w:pPr>
        <w:pStyle w:val="32"/>
        <w:numPr>
          <w:ilvl w:val="0"/>
          <w:numId w:val="4"/>
        </w:numPr>
        <w:tabs>
          <w:tab w:val="left" w:pos="1980"/>
          <w:tab w:val="left" w:pos="2035"/>
          <w:tab w:val="left" w:pos="2977"/>
        </w:tabs>
        <w:snapToGrid w:val="0"/>
        <w:spacing w:line="360" w:lineRule="auto"/>
        <w:ind w:firstLineChars="0"/>
        <w:rPr>
          <w:rFonts w:hint="eastAsia" w:ascii="宋体" w:hAnsi="宋体" w:eastAsia="宋体" w:cs="宋体"/>
          <w:vanish/>
          <w:color w:val="auto"/>
          <w:sz w:val="24"/>
          <w:szCs w:val="24"/>
          <w:highlight w:val="none"/>
        </w:rPr>
      </w:pPr>
    </w:p>
    <w:p w14:paraId="15371BB6">
      <w:pPr>
        <w:pStyle w:val="32"/>
        <w:numPr>
          <w:ilvl w:val="0"/>
          <w:numId w:val="4"/>
        </w:numPr>
        <w:tabs>
          <w:tab w:val="left" w:pos="1980"/>
          <w:tab w:val="left" w:pos="2035"/>
          <w:tab w:val="left" w:pos="2977"/>
        </w:tabs>
        <w:snapToGrid w:val="0"/>
        <w:spacing w:line="360" w:lineRule="auto"/>
        <w:ind w:firstLineChars="0"/>
        <w:rPr>
          <w:rFonts w:hint="eastAsia" w:ascii="宋体" w:hAnsi="宋体" w:eastAsia="宋体" w:cs="宋体"/>
          <w:vanish/>
          <w:color w:val="auto"/>
          <w:sz w:val="24"/>
          <w:szCs w:val="24"/>
          <w:highlight w:val="none"/>
        </w:rPr>
      </w:pPr>
    </w:p>
    <w:p w14:paraId="35ED39A8">
      <w:pPr>
        <w:pStyle w:val="32"/>
        <w:numPr>
          <w:ilvl w:val="1"/>
          <w:numId w:val="4"/>
        </w:numPr>
        <w:tabs>
          <w:tab w:val="left" w:pos="1980"/>
          <w:tab w:val="left" w:pos="2035"/>
          <w:tab w:val="left" w:pos="2977"/>
        </w:tabs>
        <w:snapToGrid w:val="0"/>
        <w:spacing w:line="360" w:lineRule="auto"/>
        <w:ind w:firstLineChars="0"/>
        <w:rPr>
          <w:rFonts w:hint="eastAsia" w:ascii="宋体" w:hAnsi="宋体" w:eastAsia="宋体" w:cs="宋体"/>
          <w:vanish/>
          <w:color w:val="auto"/>
          <w:sz w:val="24"/>
          <w:szCs w:val="24"/>
          <w:highlight w:val="none"/>
        </w:rPr>
      </w:pPr>
    </w:p>
    <w:p w14:paraId="13A8DFDA">
      <w:pPr>
        <w:pStyle w:val="32"/>
        <w:numPr>
          <w:ilvl w:val="1"/>
          <w:numId w:val="4"/>
        </w:numPr>
        <w:tabs>
          <w:tab w:val="left" w:pos="1980"/>
          <w:tab w:val="left" w:pos="2035"/>
          <w:tab w:val="left" w:pos="2977"/>
        </w:tabs>
        <w:snapToGrid w:val="0"/>
        <w:spacing w:line="360" w:lineRule="auto"/>
        <w:ind w:firstLineChars="0"/>
        <w:rPr>
          <w:rFonts w:hint="eastAsia" w:ascii="宋体" w:hAnsi="宋体" w:eastAsia="宋体" w:cs="宋体"/>
          <w:vanish/>
          <w:color w:val="auto"/>
          <w:sz w:val="24"/>
          <w:szCs w:val="24"/>
          <w:highlight w:val="none"/>
        </w:rPr>
      </w:pPr>
    </w:p>
    <w:p w14:paraId="3BB35260">
      <w:pPr>
        <w:pStyle w:val="32"/>
        <w:numPr>
          <w:ilvl w:val="2"/>
          <w:numId w:val="4"/>
        </w:numPr>
        <w:tabs>
          <w:tab w:val="left" w:pos="2035"/>
          <w:tab w:val="left" w:pos="2977"/>
        </w:tabs>
        <w:snapToGrid w:val="0"/>
        <w:spacing w:line="360" w:lineRule="auto"/>
        <w:ind w:firstLineChars="0"/>
        <w:rPr>
          <w:rFonts w:hint="eastAsia" w:ascii="宋体" w:hAnsi="宋体" w:eastAsia="宋体" w:cs="宋体"/>
          <w:vanish/>
          <w:color w:val="auto"/>
          <w:sz w:val="24"/>
          <w:szCs w:val="24"/>
          <w:highlight w:val="none"/>
        </w:rPr>
      </w:pPr>
    </w:p>
    <w:p w14:paraId="7E91BA1F">
      <w:pPr>
        <w:numPr>
          <w:ilvl w:val="3"/>
          <w:numId w:val="4"/>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auto"/>
          <w:sz w:val="24"/>
          <w:highlight w:val="none"/>
        </w:rPr>
      </w:pPr>
      <w:r>
        <w:rPr>
          <w:rFonts w:hint="eastAsia" w:ascii="宋体" w:hAnsi="宋体" w:eastAsia="宋体" w:cs="宋体"/>
          <w:color w:val="auto"/>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 号）、《关于印发中小企业划型标准规定的通知》（工信部联企业〔2011〕300 号）。</w:t>
      </w:r>
    </w:p>
    <w:p w14:paraId="0A4B04FF">
      <w:pPr>
        <w:numPr>
          <w:ilvl w:val="3"/>
          <w:numId w:val="4"/>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供应商提供的货物、工程或者服务符合下列情形的，享受中小企业扶持政策：</w:t>
      </w:r>
    </w:p>
    <w:p w14:paraId="03D7F300">
      <w:pPr>
        <w:tabs>
          <w:tab w:val="left" w:pos="1980"/>
        </w:tabs>
        <w:snapToGrid w:val="0"/>
        <w:spacing w:line="360" w:lineRule="auto"/>
        <w:ind w:left="2835" w:leftChars="1350"/>
        <w:rPr>
          <w:rFonts w:hint="eastAsia" w:ascii="宋体" w:hAnsi="宋体" w:eastAsia="宋体" w:cs="宋体"/>
          <w:color w:val="auto"/>
          <w:sz w:val="24"/>
          <w:highlight w:val="none"/>
        </w:rPr>
      </w:pPr>
      <w:r>
        <w:rPr>
          <w:rFonts w:hint="eastAsia" w:ascii="宋体" w:hAnsi="宋体" w:eastAsia="宋体" w:cs="宋体"/>
          <w:color w:val="auto"/>
          <w:sz w:val="24"/>
          <w:highlight w:val="none"/>
        </w:rPr>
        <w:t>（1）在货物采购项目中，货物由中小企业制造，即货物由中小企业生产且使用该中小企业商号或者注册商标；</w:t>
      </w:r>
    </w:p>
    <w:p w14:paraId="622C1D02">
      <w:pPr>
        <w:tabs>
          <w:tab w:val="left" w:pos="1980"/>
        </w:tabs>
        <w:snapToGrid w:val="0"/>
        <w:spacing w:line="360" w:lineRule="auto"/>
        <w:ind w:left="2835" w:leftChars="1350"/>
        <w:rPr>
          <w:rFonts w:hint="eastAsia" w:ascii="宋体" w:hAnsi="宋体" w:eastAsia="宋体" w:cs="宋体"/>
          <w:color w:val="auto"/>
          <w:sz w:val="24"/>
          <w:highlight w:val="none"/>
        </w:rPr>
      </w:pPr>
      <w:r>
        <w:rPr>
          <w:rFonts w:hint="eastAsia" w:ascii="宋体" w:hAnsi="宋体" w:eastAsia="宋体" w:cs="宋体"/>
          <w:color w:val="auto"/>
          <w:sz w:val="24"/>
          <w:highlight w:val="none"/>
        </w:rPr>
        <w:t>（2）在工程采购项目中，工程由中小企业承建，即工程施工单位为中小企业；</w:t>
      </w:r>
    </w:p>
    <w:p w14:paraId="78E9C9A3">
      <w:pPr>
        <w:tabs>
          <w:tab w:val="left" w:pos="1980"/>
        </w:tabs>
        <w:snapToGrid w:val="0"/>
        <w:spacing w:line="360" w:lineRule="auto"/>
        <w:ind w:left="2835" w:leftChars="1350"/>
        <w:rPr>
          <w:rFonts w:hint="eastAsia" w:ascii="宋体" w:hAnsi="宋体" w:eastAsia="宋体" w:cs="宋体"/>
          <w:color w:val="auto"/>
          <w:sz w:val="24"/>
          <w:highlight w:val="none"/>
        </w:rPr>
      </w:pPr>
      <w:r>
        <w:rPr>
          <w:rFonts w:hint="eastAsia" w:ascii="宋体" w:hAnsi="宋体" w:eastAsia="宋体" w:cs="宋体"/>
          <w:color w:val="auto"/>
          <w:sz w:val="24"/>
          <w:highlight w:val="none"/>
        </w:rPr>
        <w:t>（3）在服务采购项目中，服务由中小企业承接，即提供服务的人员为中小企业依照《中华人民共和国劳动合同法》订立劳动合同的从业人员。</w:t>
      </w:r>
    </w:p>
    <w:p w14:paraId="7569CF7B">
      <w:pPr>
        <w:numPr>
          <w:ilvl w:val="3"/>
          <w:numId w:val="4"/>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auto"/>
          <w:sz w:val="24"/>
          <w:highlight w:val="none"/>
        </w:rPr>
      </w:pPr>
      <w:r>
        <w:rPr>
          <w:rFonts w:hint="eastAsia" w:ascii="宋体" w:hAnsi="宋体" w:eastAsia="宋体" w:cs="宋体"/>
          <w:color w:val="auto"/>
          <w:sz w:val="24"/>
          <w:highlight w:val="none"/>
        </w:rPr>
        <w:t>在货物采购项目中，供应商提供的货物既有中小企业制造货物，也有大型企业制造货物的，不享受中小企业扶持政策。</w:t>
      </w:r>
    </w:p>
    <w:p w14:paraId="022FA1D1">
      <w:pPr>
        <w:numPr>
          <w:ilvl w:val="3"/>
          <w:numId w:val="4"/>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auto"/>
          <w:sz w:val="24"/>
          <w:highlight w:val="none"/>
        </w:rPr>
      </w:pPr>
      <w:r>
        <w:rPr>
          <w:rFonts w:hint="eastAsia" w:ascii="宋体" w:hAnsi="宋体" w:eastAsia="宋体" w:cs="宋体"/>
          <w:color w:val="auto"/>
          <w:sz w:val="24"/>
          <w:highlight w:val="none"/>
        </w:rPr>
        <w:t>以联合体形式参加政府采购活动，联合体各方均为中小企业的，联合体视同中小企业。其中，联合体各方均为小微企业的，联合体视同小微企业。</w:t>
      </w:r>
    </w:p>
    <w:p w14:paraId="169B177F">
      <w:pPr>
        <w:numPr>
          <w:ilvl w:val="2"/>
          <w:numId w:val="3"/>
        </w:numPr>
        <w:snapToGrid w:val="0"/>
        <w:spacing w:line="360" w:lineRule="auto"/>
        <w:rPr>
          <w:rFonts w:hint="eastAsia" w:ascii="宋体" w:hAnsi="宋体" w:eastAsia="宋体" w:cs="宋体"/>
          <w:sz w:val="24"/>
          <w:highlight w:val="none"/>
        </w:rPr>
      </w:pPr>
      <w:r>
        <w:rPr>
          <w:rFonts w:hint="eastAsia" w:ascii="宋体" w:hAnsi="宋体" w:cs="宋体"/>
          <w:sz w:val="24"/>
          <w:highlight w:val="none"/>
          <w:lang w:val="en-US" w:eastAsia="zh-CN"/>
        </w:rPr>
        <w:t>在政府采购活动中，监狱企业视同小型、微型企业，享受预留份额、评审中价格扣除等政府采购促进中小企业发展的政府采购政策。</w:t>
      </w:r>
      <w:r>
        <w:rPr>
          <w:rFonts w:hint="eastAsia" w:ascii="宋体" w:hAnsi="宋体" w:eastAsia="宋体" w:cs="宋体"/>
          <w:sz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640CC92">
      <w:pPr>
        <w:numPr>
          <w:ilvl w:val="2"/>
          <w:numId w:val="3"/>
        </w:numPr>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48D5A1FB">
      <w:pPr>
        <w:pStyle w:val="32"/>
        <w:numPr>
          <w:ilvl w:val="2"/>
          <w:numId w:val="4"/>
        </w:numPr>
        <w:tabs>
          <w:tab w:val="left" w:pos="2035"/>
          <w:tab w:val="left" w:pos="2977"/>
        </w:tabs>
        <w:snapToGrid w:val="0"/>
        <w:spacing w:line="360" w:lineRule="auto"/>
        <w:ind w:firstLineChars="0"/>
        <w:rPr>
          <w:rFonts w:hint="eastAsia" w:ascii="宋体" w:hAnsi="宋体" w:eastAsia="宋体" w:cs="宋体"/>
          <w:vanish/>
          <w:color w:val="auto"/>
          <w:sz w:val="24"/>
          <w:szCs w:val="24"/>
          <w:highlight w:val="none"/>
        </w:rPr>
      </w:pPr>
    </w:p>
    <w:p w14:paraId="77C7D6DB">
      <w:pPr>
        <w:pStyle w:val="32"/>
        <w:numPr>
          <w:ilvl w:val="2"/>
          <w:numId w:val="4"/>
        </w:numPr>
        <w:tabs>
          <w:tab w:val="left" w:pos="2035"/>
          <w:tab w:val="left" w:pos="2977"/>
        </w:tabs>
        <w:snapToGrid w:val="0"/>
        <w:spacing w:line="360" w:lineRule="auto"/>
        <w:ind w:firstLineChars="0"/>
        <w:rPr>
          <w:rFonts w:hint="eastAsia" w:ascii="宋体" w:hAnsi="宋体" w:eastAsia="宋体" w:cs="宋体"/>
          <w:vanish/>
          <w:color w:val="auto"/>
          <w:sz w:val="24"/>
          <w:szCs w:val="24"/>
          <w:highlight w:val="none"/>
        </w:rPr>
      </w:pPr>
    </w:p>
    <w:p w14:paraId="739B62D0">
      <w:pPr>
        <w:numPr>
          <w:ilvl w:val="3"/>
          <w:numId w:val="4"/>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auto"/>
          <w:sz w:val="24"/>
          <w:highlight w:val="none"/>
        </w:rPr>
      </w:pPr>
      <w:r>
        <w:rPr>
          <w:rFonts w:hint="eastAsia" w:ascii="宋体" w:hAnsi="宋体" w:eastAsia="宋体" w:cs="宋体"/>
          <w:color w:val="auto"/>
          <w:sz w:val="24"/>
          <w:highlight w:val="none"/>
        </w:rPr>
        <w:t>安置的残疾人占本单位在职职工人数的比例不低于25%（含25%），并且安置的残疾人人数不少于10 人（含10 人）；</w:t>
      </w:r>
    </w:p>
    <w:p w14:paraId="271F9630">
      <w:pPr>
        <w:numPr>
          <w:ilvl w:val="3"/>
          <w:numId w:val="4"/>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auto"/>
          <w:sz w:val="24"/>
          <w:highlight w:val="none"/>
        </w:rPr>
      </w:pPr>
      <w:r>
        <w:rPr>
          <w:rFonts w:hint="eastAsia" w:ascii="宋体" w:hAnsi="宋体" w:eastAsia="宋体" w:cs="宋体"/>
          <w:color w:val="auto"/>
          <w:sz w:val="24"/>
          <w:highlight w:val="none"/>
        </w:rPr>
        <w:t>依法与安置的每位残疾人签订了一年以上（含一年）的劳动合同或服务协议；</w:t>
      </w:r>
    </w:p>
    <w:p w14:paraId="01238F2B">
      <w:pPr>
        <w:numPr>
          <w:ilvl w:val="3"/>
          <w:numId w:val="4"/>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auto"/>
          <w:sz w:val="24"/>
          <w:highlight w:val="none"/>
        </w:rPr>
      </w:pPr>
      <w:r>
        <w:rPr>
          <w:rFonts w:hint="eastAsia" w:ascii="宋体" w:hAnsi="宋体" w:eastAsia="宋体" w:cs="宋体"/>
          <w:color w:val="auto"/>
          <w:sz w:val="24"/>
          <w:highlight w:val="none"/>
        </w:rPr>
        <w:t>为安置的每位残疾人按月足额缴纳了基本养老保险、基本医疗保险、失业保险、工伤保险和生育保险等社会保险费；</w:t>
      </w:r>
    </w:p>
    <w:p w14:paraId="393EF5A8">
      <w:pPr>
        <w:numPr>
          <w:ilvl w:val="3"/>
          <w:numId w:val="4"/>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auto"/>
          <w:sz w:val="24"/>
          <w:highlight w:val="none"/>
        </w:rPr>
      </w:pPr>
      <w:r>
        <w:rPr>
          <w:rFonts w:hint="eastAsia" w:ascii="宋体" w:hAnsi="宋体" w:eastAsia="宋体" w:cs="宋体"/>
          <w:color w:val="auto"/>
          <w:sz w:val="24"/>
          <w:highlight w:val="none"/>
        </w:rPr>
        <w:t>通过银行等金融机构向安置的每位残疾人，按月支付了不低于单位所在区县适用的经省级人民政府批准的月最低工资标准的工资；</w:t>
      </w:r>
    </w:p>
    <w:p w14:paraId="1EFB6232">
      <w:pPr>
        <w:numPr>
          <w:ilvl w:val="3"/>
          <w:numId w:val="4"/>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auto"/>
          <w:sz w:val="24"/>
          <w:highlight w:val="none"/>
        </w:rPr>
      </w:pPr>
      <w:r>
        <w:rPr>
          <w:rFonts w:hint="eastAsia" w:ascii="宋体" w:hAnsi="宋体" w:eastAsia="宋体" w:cs="宋体"/>
          <w:color w:val="auto"/>
          <w:sz w:val="24"/>
          <w:highlight w:val="none"/>
        </w:rPr>
        <w:t>提供本单位制造的货物、承担的工程或者服务（以下简称产品），或者提供其他残疾人福利性单位制造的货物（不包括使用非残疾人福利性单位注册商标的货物）；</w:t>
      </w:r>
    </w:p>
    <w:p w14:paraId="74A02407">
      <w:pPr>
        <w:numPr>
          <w:ilvl w:val="3"/>
          <w:numId w:val="4"/>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auto"/>
          <w:sz w:val="24"/>
          <w:highlight w:val="none"/>
        </w:rPr>
      </w:pPr>
      <w:r>
        <w:rPr>
          <w:rFonts w:hint="eastAsia" w:ascii="宋体" w:hAnsi="宋体" w:eastAsia="宋体" w:cs="宋体"/>
          <w:color w:val="auto"/>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0F6D958E">
      <w:pPr>
        <w:numPr>
          <w:ilvl w:val="2"/>
          <w:numId w:val="3"/>
        </w:numPr>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本项目是否专门面向中小企业预留采购份额见第一章《采购邀请》。</w:t>
      </w:r>
    </w:p>
    <w:p w14:paraId="3A7D1121">
      <w:pPr>
        <w:numPr>
          <w:ilvl w:val="2"/>
          <w:numId w:val="3"/>
        </w:numPr>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采购标的对应的中小企业划分标准所属行业见《供应商须知资料表》。</w:t>
      </w:r>
    </w:p>
    <w:p w14:paraId="2BC2F5E0">
      <w:pPr>
        <w:numPr>
          <w:ilvl w:val="2"/>
          <w:numId w:val="3"/>
        </w:numPr>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小微企业价格评审优惠的政策调整：见第三章《评审方法和评审标准》。</w:t>
      </w:r>
    </w:p>
    <w:p w14:paraId="7EE24C77">
      <w:pPr>
        <w:numPr>
          <w:ilvl w:val="1"/>
          <w:numId w:val="3"/>
        </w:numPr>
        <w:tabs>
          <w:tab w:val="left" w:pos="1080"/>
          <w:tab w:val="left" w:pos="2014"/>
        </w:tabs>
        <w:snapToGrid w:val="0"/>
        <w:spacing w:line="360" w:lineRule="auto"/>
        <w:ind w:left="108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政府采购节能产品、环境标志产品</w:t>
      </w:r>
    </w:p>
    <w:p w14:paraId="1D84DA05">
      <w:pPr>
        <w:numPr>
          <w:ilvl w:val="2"/>
          <w:numId w:val="3"/>
        </w:numPr>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0E3C47A9">
      <w:pPr>
        <w:numPr>
          <w:ilvl w:val="2"/>
          <w:numId w:val="3"/>
        </w:numPr>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5B88EF81">
      <w:pPr>
        <w:numPr>
          <w:ilvl w:val="2"/>
          <w:numId w:val="3"/>
        </w:numPr>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如本项目采购产品属于实施政府强制采购品目清单范围的节能产品，则供应商所报产品必须获得国家确定的认证机构出具的、处于有效期之内的节能产品认证证书，</w:t>
      </w:r>
      <w:r>
        <w:rPr>
          <w:rFonts w:hint="eastAsia" w:ascii="宋体" w:hAnsi="宋体" w:eastAsia="宋体" w:cs="宋体"/>
          <w:color w:val="auto"/>
          <w:kern w:val="0"/>
          <w:sz w:val="24"/>
          <w:highlight w:val="none"/>
        </w:rPr>
        <w:t>否则</w:t>
      </w:r>
      <w:r>
        <w:rPr>
          <w:rFonts w:hint="eastAsia" w:ascii="宋体" w:hAnsi="宋体" w:eastAsia="宋体" w:cs="宋体"/>
          <w:b/>
          <w:color w:val="auto"/>
          <w:kern w:val="0"/>
          <w:sz w:val="24"/>
          <w:highlight w:val="none"/>
        </w:rPr>
        <w:t>响应无效</w:t>
      </w:r>
      <w:r>
        <w:rPr>
          <w:rFonts w:hint="eastAsia" w:ascii="宋体" w:hAnsi="宋体" w:eastAsia="宋体" w:cs="宋体"/>
          <w:color w:val="auto"/>
          <w:sz w:val="24"/>
          <w:highlight w:val="none"/>
        </w:rPr>
        <w:t>；</w:t>
      </w:r>
    </w:p>
    <w:p w14:paraId="0A3E33AB">
      <w:pPr>
        <w:numPr>
          <w:ilvl w:val="2"/>
          <w:numId w:val="3"/>
        </w:numPr>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非政府强制采购的节能产品或环境标志产品，依据品目清单和认证证书实施政府优先采购。优先采购的具体规定见第三章《评审方法和评审标准》（如涉及）。</w:t>
      </w:r>
    </w:p>
    <w:p w14:paraId="1920CF1B">
      <w:pPr>
        <w:numPr>
          <w:ilvl w:val="1"/>
          <w:numId w:val="3"/>
        </w:numPr>
        <w:tabs>
          <w:tab w:val="left" w:pos="1080"/>
          <w:tab w:val="left" w:pos="2014"/>
        </w:tabs>
        <w:snapToGrid w:val="0"/>
        <w:spacing w:line="360" w:lineRule="auto"/>
        <w:ind w:left="108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正版软件</w:t>
      </w:r>
    </w:p>
    <w:p w14:paraId="68E0E8A3">
      <w:pPr>
        <w:numPr>
          <w:ilvl w:val="2"/>
          <w:numId w:val="3"/>
        </w:numPr>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eastAsia="宋体" w:cs="宋体"/>
          <w:color w:val="auto"/>
          <w:sz w:val="24"/>
          <w:highlight w:val="none"/>
          <w:lang w:eastAsia="zh-CN"/>
        </w:rPr>
        <w:t>，</w:t>
      </w:r>
      <w:r>
        <w:rPr>
          <w:rFonts w:hint="eastAsia" w:ascii="宋体" w:hAnsi="宋体" w:eastAsia="宋体" w:cs="宋体"/>
          <w:color w:val="auto"/>
          <w:kern w:val="0"/>
          <w:sz w:val="24"/>
          <w:highlight w:val="none"/>
        </w:rPr>
        <w:t>否则</w:t>
      </w:r>
      <w:r>
        <w:rPr>
          <w:rFonts w:hint="eastAsia" w:ascii="宋体" w:hAnsi="宋体" w:eastAsia="宋体" w:cs="宋体"/>
          <w:b/>
          <w:color w:val="auto"/>
          <w:kern w:val="0"/>
          <w:sz w:val="24"/>
          <w:highlight w:val="none"/>
        </w:rPr>
        <w:t>响应无效</w:t>
      </w:r>
      <w:r>
        <w:rPr>
          <w:rFonts w:hint="eastAsia" w:ascii="宋体" w:hAnsi="宋体" w:eastAsia="宋体" w:cs="宋体"/>
          <w:color w:val="auto"/>
          <w:sz w:val="24"/>
          <w:highlight w:val="none"/>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3DABDFEB">
      <w:pPr>
        <w:numPr>
          <w:ilvl w:val="2"/>
          <w:numId w:val="3"/>
        </w:numPr>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45BC71E5">
      <w:pPr>
        <w:numPr>
          <w:ilvl w:val="1"/>
          <w:numId w:val="3"/>
        </w:numPr>
        <w:tabs>
          <w:tab w:val="left" w:pos="1080"/>
          <w:tab w:val="left" w:pos="2014"/>
        </w:tabs>
        <w:snapToGrid w:val="0"/>
        <w:spacing w:line="360" w:lineRule="auto"/>
        <w:ind w:left="108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网络安全专用产品</w:t>
      </w:r>
    </w:p>
    <w:p w14:paraId="68CA5A04">
      <w:pPr>
        <w:numPr>
          <w:ilvl w:val="0"/>
          <w:numId w:val="0"/>
        </w:numPr>
        <w:tabs>
          <w:tab w:val="left" w:pos="1080"/>
          <w:tab w:val="left" w:pos="2014"/>
        </w:tabs>
        <w:snapToGrid w:val="0"/>
        <w:spacing w:line="360" w:lineRule="auto"/>
        <w:ind w:left="360" w:leftChars="0" w:firstLine="720" w:firstLineChars="3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4.5.1</w:t>
      </w:r>
      <w:r>
        <w:rPr>
          <w:rFonts w:hint="eastAsia" w:ascii="宋体" w:hAnsi="宋体" w:eastAsia="宋体" w:cs="宋体"/>
          <w:color w:val="auto"/>
          <w:sz w:val="24"/>
          <w:highlight w:val="none"/>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3EA854B6">
      <w:pPr>
        <w:numPr>
          <w:ilvl w:val="1"/>
          <w:numId w:val="3"/>
        </w:numPr>
        <w:tabs>
          <w:tab w:val="left" w:pos="1080"/>
          <w:tab w:val="left" w:pos="2014"/>
        </w:tabs>
        <w:snapToGrid w:val="0"/>
        <w:spacing w:line="360" w:lineRule="auto"/>
        <w:ind w:left="108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推广使用低挥发性有机化合物（VOCs）</w:t>
      </w:r>
    </w:p>
    <w:p w14:paraId="59D3A7F5">
      <w:pPr>
        <w:numPr>
          <w:ilvl w:val="2"/>
          <w:numId w:val="3"/>
        </w:numPr>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rFonts w:hint="eastAsia" w:ascii="宋体" w:hAnsi="宋体" w:eastAsia="宋体" w:cs="宋体"/>
          <w:color w:val="auto"/>
          <w:kern w:val="0"/>
          <w:sz w:val="24"/>
          <w:highlight w:val="none"/>
        </w:rPr>
        <w:t>否则</w:t>
      </w:r>
      <w:r>
        <w:rPr>
          <w:rFonts w:hint="eastAsia" w:ascii="宋体" w:hAnsi="宋体" w:eastAsia="宋体" w:cs="宋体"/>
          <w:b/>
          <w:color w:val="auto"/>
          <w:kern w:val="0"/>
          <w:sz w:val="24"/>
          <w:highlight w:val="none"/>
        </w:rPr>
        <w:t>响应无效</w:t>
      </w:r>
      <w:r>
        <w:rPr>
          <w:rFonts w:hint="eastAsia" w:ascii="宋体" w:hAnsi="宋体" w:eastAsia="宋体" w:cs="宋体"/>
          <w:color w:val="auto"/>
          <w:sz w:val="24"/>
          <w:highlight w:val="none"/>
        </w:rPr>
        <w:t>；属于推荐性标准的，优先采购，具体见第三章《评审方法和评审标准》。</w:t>
      </w:r>
    </w:p>
    <w:p w14:paraId="3705A270">
      <w:pPr>
        <w:numPr>
          <w:ilvl w:val="0"/>
          <w:numId w:val="0"/>
        </w:numPr>
        <w:snapToGrid w:val="0"/>
        <w:spacing w:line="360" w:lineRule="auto"/>
        <w:ind w:firstLine="240" w:firstLineChars="100"/>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4.7  采购需求标准</w:t>
      </w:r>
    </w:p>
    <w:p w14:paraId="07838852">
      <w:pPr>
        <w:numPr>
          <w:ilvl w:val="0"/>
          <w:numId w:val="0"/>
        </w:numPr>
        <w:snapToGrid w:val="0"/>
        <w:spacing w:line="360" w:lineRule="auto"/>
        <w:ind w:firstLine="960" w:firstLineChars="400"/>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4.7.1  商品包装、快递包装政府采购需求标准（试行）为助力打好污染防治攻坚战， 推广使用绿色包装， 根据财政部关于印 发《商品包装政府采购需求标准（试行）》、《快递包装政府采购需求 标准（试行）》的通知（财办库〔2020〕123 号），本项目如涉及商品包装和快递包装的，则其具体要求见第四章《采购需求》。</w:t>
      </w:r>
    </w:p>
    <w:p w14:paraId="15C4E92C">
      <w:pPr>
        <w:numPr>
          <w:ilvl w:val="0"/>
          <w:numId w:val="0"/>
        </w:numPr>
        <w:snapToGrid w:val="0"/>
        <w:spacing w:line="360" w:lineRule="auto"/>
        <w:ind w:firstLine="960" w:firstLineChars="400"/>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4.7.2  绿色数据中心政府采购需求标准（试行）为加快数据中心绿色转型，根据财政部 生态环境部 工业和信息化部关于印发《绿色数据中心政府采购需求标准（试行）》的通知（财库〔2023〕7 号），本项目如涉及绿色数据中心，则具体要求见第四章《采购需求》。</w:t>
      </w:r>
    </w:p>
    <w:p w14:paraId="0C3AEEAE">
      <w:pPr>
        <w:numPr>
          <w:ilvl w:val="0"/>
          <w:numId w:val="3"/>
        </w:numPr>
        <w:tabs>
          <w:tab w:val="left" w:pos="360"/>
        </w:tabs>
        <w:snapToGrid w:val="0"/>
        <w:spacing w:line="360" w:lineRule="auto"/>
        <w:ind w:left="357" w:hanging="357"/>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响应费用</w:t>
      </w:r>
    </w:p>
    <w:p w14:paraId="464BF68D">
      <w:pPr>
        <w:numPr>
          <w:ilvl w:val="1"/>
          <w:numId w:val="3"/>
        </w:numPr>
        <w:tabs>
          <w:tab w:val="left" w:pos="1080"/>
          <w:tab w:val="left" w:pos="2014"/>
        </w:tabs>
        <w:snapToGrid w:val="0"/>
        <w:spacing w:line="360" w:lineRule="auto"/>
        <w:ind w:left="108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供应商应自行承担所有与准备和参加磋商有关的费用，无论磋商的结果如何，采购人或采购代理机构在任何情况下均无承担这些费用的义务和责任。</w:t>
      </w:r>
    </w:p>
    <w:p w14:paraId="3018FEA4">
      <w:pPr>
        <w:tabs>
          <w:tab w:val="left" w:pos="1080"/>
        </w:tabs>
        <w:snapToGrid w:val="0"/>
        <w:spacing w:line="360" w:lineRule="auto"/>
        <w:ind w:left="1080"/>
        <w:rPr>
          <w:rFonts w:hint="eastAsia" w:ascii="宋体" w:hAnsi="宋体" w:eastAsia="宋体" w:cs="宋体"/>
          <w:color w:val="auto"/>
          <w:sz w:val="28"/>
          <w:highlight w:val="none"/>
        </w:rPr>
      </w:pPr>
      <w:bookmarkStart w:id="139" w:name="_1.8_计量单位"/>
      <w:bookmarkEnd w:id="139"/>
    </w:p>
    <w:p w14:paraId="5BF9AE44">
      <w:pPr>
        <w:pStyle w:val="3"/>
        <w:spacing w:before="0"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二   竞争性磋商文件</w:t>
      </w:r>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p>
    <w:p w14:paraId="6E66974F">
      <w:pPr>
        <w:numPr>
          <w:ilvl w:val="0"/>
          <w:numId w:val="3"/>
        </w:numPr>
        <w:tabs>
          <w:tab w:val="left" w:pos="360"/>
        </w:tabs>
        <w:snapToGrid w:val="0"/>
        <w:spacing w:line="360" w:lineRule="auto"/>
        <w:ind w:left="357" w:hanging="357"/>
        <w:outlineLvl w:val="1"/>
        <w:rPr>
          <w:rFonts w:hint="eastAsia" w:ascii="宋体" w:hAnsi="宋体" w:eastAsia="宋体" w:cs="宋体"/>
          <w:color w:val="auto"/>
          <w:sz w:val="24"/>
          <w:highlight w:val="none"/>
        </w:rPr>
      </w:pPr>
      <w:bookmarkStart w:id="140" w:name="_Toc150774623"/>
      <w:bookmarkStart w:id="141" w:name="_Toc150480761"/>
      <w:bookmarkStart w:id="142" w:name="_Toc150509274"/>
      <w:bookmarkStart w:id="143" w:name="_Toc151190150"/>
      <w:bookmarkStart w:id="144" w:name="_Toc164351617"/>
      <w:bookmarkStart w:id="145" w:name="_Toc226965713"/>
      <w:bookmarkStart w:id="146" w:name="_Toc127151523"/>
      <w:bookmarkStart w:id="147" w:name="_Toc151193765"/>
      <w:bookmarkStart w:id="148" w:name="_Toc226965796"/>
      <w:bookmarkStart w:id="149" w:name="_Toc195842888"/>
      <w:bookmarkStart w:id="150" w:name="_Toc226309767"/>
      <w:bookmarkStart w:id="151" w:name="_Toc520356147"/>
      <w:bookmarkStart w:id="152" w:name="_Toc264969213"/>
      <w:bookmarkStart w:id="153" w:name="_Toc305158791"/>
      <w:bookmarkStart w:id="154" w:name="_Toc127161437"/>
      <w:bookmarkStart w:id="155" w:name="_Toc164608792"/>
      <w:bookmarkStart w:id="156" w:name="_Toc265228361"/>
      <w:bookmarkStart w:id="157" w:name="_Toc149720816"/>
      <w:bookmarkStart w:id="158" w:name="_Toc226337219"/>
      <w:bookmarkStart w:id="159" w:name="_Toc151193693"/>
      <w:bookmarkStart w:id="160" w:name="_Toc164229364"/>
      <w:bookmarkStart w:id="161" w:name="_Toc151193621"/>
      <w:bookmarkStart w:id="162" w:name="_Toc151193911"/>
      <w:bookmarkStart w:id="163" w:name="_Toc127151724"/>
      <w:bookmarkStart w:id="164" w:name="_Toc151193837"/>
      <w:bookmarkStart w:id="165" w:name="_Toc142311025"/>
      <w:bookmarkStart w:id="166" w:name="_Toc164229218"/>
      <w:bookmarkStart w:id="167" w:name="_Toc150774728"/>
      <w:bookmarkStart w:id="168" w:name="_Toc164608637"/>
      <w:bookmarkStart w:id="169" w:name="_Toc305158865"/>
      <w:r>
        <w:rPr>
          <w:rFonts w:hint="eastAsia" w:ascii="宋体" w:hAnsi="宋体" w:eastAsia="宋体" w:cs="宋体"/>
          <w:color w:val="auto"/>
          <w:sz w:val="24"/>
          <w:highlight w:val="none"/>
        </w:rPr>
        <w:t>竞争性磋商文件构</w:t>
      </w:r>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r>
        <w:rPr>
          <w:rFonts w:hint="eastAsia" w:ascii="宋体" w:hAnsi="宋体" w:eastAsia="宋体" w:cs="宋体"/>
          <w:color w:val="auto"/>
          <w:sz w:val="24"/>
          <w:highlight w:val="none"/>
        </w:rPr>
        <w:t>成</w:t>
      </w:r>
    </w:p>
    <w:p w14:paraId="480AE4D9">
      <w:pPr>
        <w:numPr>
          <w:ilvl w:val="1"/>
          <w:numId w:val="3"/>
        </w:numPr>
        <w:tabs>
          <w:tab w:val="left" w:pos="1080"/>
          <w:tab w:val="left" w:pos="2014"/>
        </w:tabs>
        <w:snapToGrid w:val="0"/>
        <w:spacing w:line="360" w:lineRule="auto"/>
        <w:ind w:left="108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竞争性磋商文件包括以下部分：</w:t>
      </w:r>
    </w:p>
    <w:p w14:paraId="21BA6FC2">
      <w:pPr>
        <w:numPr>
          <w:ilvl w:val="0"/>
          <w:numId w:val="5"/>
        </w:numPr>
        <w:tabs>
          <w:tab w:val="left" w:pos="1980"/>
          <w:tab w:val="left" w:pos="2520"/>
        </w:tabs>
        <w:snapToGrid w:val="0"/>
        <w:spacing w:line="360" w:lineRule="auto"/>
        <w:ind w:left="1440" w:firstLine="5"/>
        <w:rPr>
          <w:rFonts w:hint="eastAsia" w:ascii="宋体" w:hAnsi="宋体" w:eastAsia="宋体" w:cs="宋体"/>
          <w:color w:val="auto"/>
          <w:sz w:val="24"/>
          <w:highlight w:val="none"/>
        </w:rPr>
      </w:pPr>
      <w:r>
        <w:rPr>
          <w:rFonts w:hint="eastAsia" w:ascii="宋体" w:hAnsi="宋体" w:eastAsia="宋体" w:cs="宋体"/>
          <w:color w:val="auto"/>
          <w:sz w:val="24"/>
          <w:highlight w:val="none"/>
        </w:rPr>
        <w:t>采购邀请</w:t>
      </w:r>
    </w:p>
    <w:p w14:paraId="5C125F9C">
      <w:pPr>
        <w:numPr>
          <w:ilvl w:val="0"/>
          <w:numId w:val="5"/>
        </w:numPr>
        <w:tabs>
          <w:tab w:val="left" w:pos="1980"/>
          <w:tab w:val="left" w:pos="2520"/>
        </w:tabs>
        <w:snapToGrid w:val="0"/>
        <w:spacing w:line="360" w:lineRule="auto"/>
        <w:ind w:left="1440" w:firstLine="5"/>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供应商须知</w:t>
      </w:r>
    </w:p>
    <w:p w14:paraId="0986A298">
      <w:pPr>
        <w:numPr>
          <w:ilvl w:val="0"/>
          <w:numId w:val="5"/>
        </w:numPr>
        <w:tabs>
          <w:tab w:val="left" w:pos="1980"/>
          <w:tab w:val="left" w:pos="2520"/>
        </w:tabs>
        <w:snapToGrid w:val="0"/>
        <w:spacing w:line="360" w:lineRule="auto"/>
        <w:ind w:left="1440" w:firstLine="5"/>
        <w:rPr>
          <w:rFonts w:hint="eastAsia" w:ascii="宋体" w:hAnsi="宋体" w:eastAsia="宋体" w:cs="宋体"/>
          <w:color w:val="auto"/>
          <w:sz w:val="24"/>
          <w:highlight w:val="none"/>
        </w:rPr>
      </w:pPr>
      <w:r>
        <w:rPr>
          <w:rFonts w:hint="eastAsia" w:ascii="宋体" w:hAnsi="宋体" w:eastAsia="宋体" w:cs="宋体"/>
          <w:color w:val="auto"/>
          <w:sz w:val="24"/>
          <w:highlight w:val="none"/>
        </w:rPr>
        <w:t>评审方法和评审标准</w:t>
      </w:r>
    </w:p>
    <w:p w14:paraId="1A2DAF64">
      <w:pPr>
        <w:numPr>
          <w:ilvl w:val="0"/>
          <w:numId w:val="5"/>
        </w:numPr>
        <w:tabs>
          <w:tab w:val="left" w:pos="1980"/>
          <w:tab w:val="left" w:pos="2520"/>
        </w:tabs>
        <w:snapToGrid w:val="0"/>
        <w:spacing w:line="360" w:lineRule="auto"/>
        <w:ind w:left="1440" w:firstLine="5"/>
        <w:rPr>
          <w:rFonts w:hint="eastAsia" w:ascii="宋体" w:hAnsi="宋体" w:eastAsia="宋体" w:cs="宋体"/>
          <w:color w:val="auto"/>
          <w:sz w:val="24"/>
          <w:highlight w:val="none"/>
        </w:rPr>
      </w:pPr>
      <w:r>
        <w:rPr>
          <w:rFonts w:hint="eastAsia" w:ascii="宋体" w:hAnsi="宋体" w:eastAsia="宋体" w:cs="宋体"/>
          <w:color w:val="auto"/>
          <w:sz w:val="24"/>
          <w:highlight w:val="none"/>
        </w:rPr>
        <w:t>采购需求</w:t>
      </w:r>
    </w:p>
    <w:p w14:paraId="084E617E">
      <w:pPr>
        <w:numPr>
          <w:ilvl w:val="0"/>
          <w:numId w:val="5"/>
        </w:numPr>
        <w:tabs>
          <w:tab w:val="left" w:pos="1980"/>
          <w:tab w:val="left" w:pos="2520"/>
        </w:tabs>
        <w:snapToGrid w:val="0"/>
        <w:spacing w:line="360" w:lineRule="auto"/>
        <w:ind w:left="1440" w:firstLine="5"/>
        <w:rPr>
          <w:rFonts w:hint="eastAsia" w:ascii="宋体" w:hAnsi="宋体" w:eastAsia="宋体" w:cs="宋体"/>
          <w:color w:val="auto"/>
          <w:sz w:val="24"/>
          <w:highlight w:val="none"/>
        </w:rPr>
      </w:pPr>
      <w:r>
        <w:rPr>
          <w:rFonts w:hint="eastAsia" w:ascii="宋体" w:hAnsi="宋体" w:eastAsia="宋体" w:cs="宋体"/>
          <w:color w:val="auto"/>
          <w:sz w:val="24"/>
          <w:highlight w:val="none"/>
        </w:rPr>
        <w:t>合同草案条款</w:t>
      </w:r>
    </w:p>
    <w:p w14:paraId="47FC15B0">
      <w:pPr>
        <w:numPr>
          <w:ilvl w:val="0"/>
          <w:numId w:val="5"/>
        </w:numPr>
        <w:tabs>
          <w:tab w:val="left" w:pos="1980"/>
          <w:tab w:val="left" w:pos="2520"/>
        </w:tabs>
        <w:snapToGrid w:val="0"/>
        <w:spacing w:line="360" w:lineRule="auto"/>
        <w:ind w:left="1440" w:firstLine="5"/>
        <w:rPr>
          <w:rFonts w:hint="eastAsia" w:ascii="宋体" w:hAnsi="宋体" w:eastAsia="宋体" w:cs="宋体"/>
          <w:color w:val="auto"/>
          <w:sz w:val="24"/>
          <w:highlight w:val="none"/>
        </w:rPr>
      </w:pPr>
      <w:r>
        <w:rPr>
          <w:rFonts w:hint="eastAsia" w:ascii="宋体" w:hAnsi="宋体" w:eastAsia="宋体" w:cs="宋体"/>
          <w:color w:val="auto"/>
          <w:sz w:val="24"/>
          <w:highlight w:val="none"/>
        </w:rPr>
        <w:t>响应文件格式</w:t>
      </w:r>
    </w:p>
    <w:p w14:paraId="10DCA3DF">
      <w:pPr>
        <w:numPr>
          <w:ilvl w:val="1"/>
          <w:numId w:val="3"/>
        </w:numPr>
        <w:tabs>
          <w:tab w:val="left" w:pos="1080"/>
          <w:tab w:val="left" w:pos="2014"/>
        </w:tabs>
        <w:snapToGrid w:val="0"/>
        <w:spacing w:line="360" w:lineRule="auto"/>
        <w:ind w:left="108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eastAsia="宋体" w:cs="宋体"/>
          <w:b/>
          <w:color w:val="auto"/>
          <w:sz w:val="24"/>
          <w:highlight w:val="none"/>
        </w:rPr>
        <w:t>响应无效</w:t>
      </w:r>
      <w:r>
        <w:rPr>
          <w:rFonts w:hint="eastAsia" w:ascii="宋体" w:hAnsi="宋体" w:eastAsia="宋体" w:cs="宋体"/>
          <w:color w:val="auto"/>
          <w:sz w:val="24"/>
          <w:highlight w:val="none"/>
        </w:rPr>
        <w:t>。</w:t>
      </w:r>
    </w:p>
    <w:p w14:paraId="2E22B0E8">
      <w:pPr>
        <w:numPr>
          <w:ilvl w:val="0"/>
          <w:numId w:val="3"/>
        </w:numPr>
        <w:tabs>
          <w:tab w:val="left" w:pos="1080"/>
          <w:tab w:val="left" w:pos="2014"/>
        </w:tabs>
        <w:snapToGrid w:val="0"/>
        <w:spacing w:line="360" w:lineRule="auto"/>
        <w:ind w:left="357" w:hanging="357"/>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对竞争性磋商文件的澄清或修改</w:t>
      </w:r>
    </w:p>
    <w:p w14:paraId="24EC0364">
      <w:pPr>
        <w:numPr>
          <w:ilvl w:val="1"/>
          <w:numId w:val="3"/>
        </w:numPr>
        <w:tabs>
          <w:tab w:val="left" w:pos="1080"/>
          <w:tab w:val="left" w:pos="1561"/>
          <w:tab w:val="left" w:pos="2014"/>
        </w:tabs>
        <w:snapToGrid w:val="0"/>
        <w:spacing w:line="360" w:lineRule="auto"/>
        <w:ind w:left="108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采购代理机构</w:t>
      </w:r>
      <w:r>
        <w:rPr>
          <w:rFonts w:hint="eastAsia" w:ascii="宋体" w:hAnsi="宋体" w:eastAsia="宋体" w:cs="宋体"/>
          <w:color w:val="auto"/>
          <w:sz w:val="24"/>
          <w:highlight w:val="none"/>
          <w:lang w:val="en-US" w:eastAsia="zh-CN"/>
        </w:rPr>
        <w:t>或者磋商小组</w:t>
      </w:r>
      <w:r>
        <w:rPr>
          <w:rFonts w:hint="eastAsia" w:ascii="宋体" w:hAnsi="宋体" w:eastAsia="宋体" w:cs="宋体"/>
          <w:color w:val="auto"/>
          <w:sz w:val="24"/>
          <w:highlight w:val="none"/>
        </w:rPr>
        <w:t>对已发出的竞争性磋商文件进行必要澄清或者修改的，将以书面形式通知所有获取竞争性磋商文件的潜在供应商。采用公告方式邀请供应商参与的，还将在原公告发布媒体上发布更正公告。</w:t>
      </w:r>
    </w:p>
    <w:p w14:paraId="398F4992">
      <w:pPr>
        <w:numPr>
          <w:ilvl w:val="1"/>
          <w:numId w:val="3"/>
        </w:numPr>
        <w:tabs>
          <w:tab w:val="left" w:pos="1080"/>
          <w:tab w:val="left" w:pos="1561"/>
          <w:tab w:val="left" w:pos="2014"/>
        </w:tabs>
        <w:snapToGrid w:val="0"/>
        <w:spacing w:line="360" w:lineRule="auto"/>
        <w:ind w:left="108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上述书面通知，按照获取竞争性磋商文件的潜在供应商提供的联系方式发出，因提供的信息有误导致通知延迟或无法通知的，采购人或采购代理机构不承担责任。</w:t>
      </w:r>
    </w:p>
    <w:p w14:paraId="26F870EA">
      <w:pPr>
        <w:numPr>
          <w:ilvl w:val="1"/>
          <w:numId w:val="3"/>
        </w:numPr>
        <w:tabs>
          <w:tab w:val="left" w:pos="1080"/>
          <w:tab w:val="left" w:pos="1561"/>
          <w:tab w:val="left" w:pos="2014"/>
        </w:tabs>
        <w:snapToGrid w:val="0"/>
        <w:spacing w:line="360" w:lineRule="auto"/>
        <w:ind w:left="108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澄清或者修改的内容为竞争性磋商文件的组成部分，并对所有获取竞争性磋商文件的潜在供应商具有约束力。澄清或者修改的内容可能影响响应文件编制的，将在提交首次响应文件截止之日3个工作日前；以书面形式通知所有获取磋商文件的供应商；不足上述时间的，将顺延提交响应文件的截止时间。</w:t>
      </w:r>
    </w:p>
    <w:p w14:paraId="5FE607A8">
      <w:pPr>
        <w:tabs>
          <w:tab w:val="left" w:pos="1080"/>
          <w:tab w:val="left" w:pos="1561"/>
        </w:tabs>
        <w:snapToGrid w:val="0"/>
        <w:spacing w:line="360" w:lineRule="auto"/>
        <w:ind w:left="1080"/>
        <w:rPr>
          <w:rFonts w:hint="eastAsia" w:ascii="宋体" w:hAnsi="宋体" w:eastAsia="宋体" w:cs="宋体"/>
          <w:color w:val="auto"/>
          <w:sz w:val="28"/>
          <w:highlight w:val="none"/>
        </w:rPr>
      </w:pPr>
      <w:bookmarkStart w:id="170" w:name="_Toc516367020"/>
      <w:bookmarkStart w:id="171" w:name="_Toc305158794"/>
      <w:bookmarkStart w:id="172" w:name="_Toc127151526"/>
      <w:bookmarkStart w:id="173" w:name="_Toc226337222"/>
      <w:bookmarkStart w:id="174" w:name="_Toc151193768"/>
      <w:bookmarkStart w:id="175" w:name="_Toc305158868"/>
      <w:bookmarkStart w:id="176" w:name="_Toc151193696"/>
      <w:bookmarkStart w:id="177" w:name="_Toc151193624"/>
      <w:bookmarkStart w:id="178" w:name="_Toc226965799"/>
      <w:bookmarkStart w:id="179" w:name="_Toc151193840"/>
      <w:bookmarkStart w:id="180" w:name="_Toc265228364"/>
      <w:bookmarkStart w:id="181" w:name="_Toc150509277"/>
      <w:bookmarkStart w:id="182" w:name="_Toc150774731"/>
      <w:bookmarkStart w:id="183" w:name="_Toc195842891"/>
      <w:bookmarkStart w:id="184" w:name="_Toc150480764"/>
      <w:bookmarkStart w:id="185" w:name="_Toc226965716"/>
      <w:bookmarkStart w:id="186" w:name="_Toc264969216"/>
      <w:bookmarkStart w:id="187" w:name="_Toc151190153"/>
      <w:bookmarkStart w:id="188" w:name="_Toc150774626"/>
      <w:bookmarkStart w:id="189" w:name="_Toc520356150"/>
      <w:bookmarkStart w:id="190" w:name="_Toc142311028"/>
      <w:bookmarkStart w:id="191" w:name="_Toc151193914"/>
      <w:bookmarkStart w:id="192" w:name="_Toc226309770"/>
    </w:p>
    <w:p w14:paraId="133A5726">
      <w:pPr>
        <w:pStyle w:val="3"/>
        <w:spacing w:before="0"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三   响应文件</w:t>
      </w:r>
      <w:bookmarkEnd w:id="170"/>
      <w:r>
        <w:rPr>
          <w:rFonts w:hint="eastAsia" w:ascii="宋体" w:hAnsi="宋体" w:eastAsia="宋体" w:cs="宋体"/>
          <w:color w:val="auto"/>
          <w:sz w:val="28"/>
          <w:highlight w:val="none"/>
        </w:rPr>
        <w:t>的编制</w:t>
      </w:r>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14:paraId="4F7F579B">
      <w:pPr>
        <w:numPr>
          <w:ilvl w:val="0"/>
          <w:numId w:val="3"/>
        </w:numPr>
        <w:tabs>
          <w:tab w:val="left" w:pos="360"/>
        </w:tabs>
        <w:snapToGrid w:val="0"/>
        <w:spacing w:line="360" w:lineRule="auto"/>
        <w:ind w:left="357" w:hanging="357"/>
        <w:outlineLvl w:val="1"/>
        <w:rPr>
          <w:rFonts w:hint="eastAsia" w:ascii="宋体" w:hAnsi="宋体" w:eastAsia="宋体" w:cs="宋体"/>
          <w:color w:val="auto"/>
          <w:sz w:val="24"/>
          <w:highlight w:val="none"/>
        </w:rPr>
      </w:pPr>
      <w:bookmarkStart w:id="193" w:name="_Toc151190154"/>
      <w:bookmarkStart w:id="194" w:name="_Toc305158869"/>
      <w:bookmarkStart w:id="195" w:name="_Toc150774627"/>
      <w:bookmarkStart w:id="196" w:name="_Toc151193697"/>
      <w:bookmarkStart w:id="197" w:name="_Toc151193625"/>
      <w:bookmarkStart w:id="198" w:name="_Toc264969217"/>
      <w:bookmarkStart w:id="199" w:name="_Toc127151527"/>
      <w:bookmarkStart w:id="200" w:name="_Toc195842892"/>
      <w:bookmarkStart w:id="201" w:name="_Toc151193915"/>
      <w:bookmarkStart w:id="202" w:name="_Toc142311029"/>
      <w:bookmarkStart w:id="203" w:name="_Toc226309771"/>
      <w:bookmarkStart w:id="204" w:name="_Toc151193841"/>
      <w:bookmarkStart w:id="205" w:name="_Toc127161441"/>
      <w:bookmarkStart w:id="206" w:name="_Toc520356151"/>
      <w:bookmarkStart w:id="207" w:name="_Toc149720820"/>
      <w:bookmarkStart w:id="208" w:name="_Toc164351621"/>
      <w:bookmarkStart w:id="209" w:name="_Toc226965800"/>
      <w:bookmarkStart w:id="210" w:name="_Toc226965717"/>
      <w:bookmarkStart w:id="211" w:name="_Toc127151728"/>
      <w:bookmarkStart w:id="212" w:name="_Toc150480765"/>
      <w:bookmarkStart w:id="213" w:name="_Toc164608641"/>
      <w:bookmarkStart w:id="214" w:name="_Toc164229368"/>
      <w:bookmarkStart w:id="215" w:name="_Toc150509278"/>
      <w:bookmarkStart w:id="216" w:name="_Toc164608796"/>
      <w:bookmarkStart w:id="217" w:name="_Toc516367021"/>
      <w:bookmarkStart w:id="218" w:name="_Toc265228365"/>
      <w:bookmarkStart w:id="219" w:name="_Toc164229222"/>
      <w:bookmarkStart w:id="220" w:name="_Toc305158795"/>
      <w:bookmarkStart w:id="221" w:name="_Toc151193769"/>
      <w:bookmarkStart w:id="222" w:name="_Toc226337223"/>
      <w:bookmarkStart w:id="223" w:name="_Toc150774732"/>
      <w:r>
        <w:rPr>
          <w:rFonts w:hint="eastAsia" w:ascii="宋体" w:hAnsi="宋体" w:eastAsia="宋体" w:cs="宋体"/>
          <w:color w:val="auto"/>
          <w:sz w:val="24"/>
          <w:highlight w:val="none"/>
        </w:rPr>
        <w:t>响应范围、竞争性磋商文件中计量单位的使用</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r>
        <w:rPr>
          <w:rFonts w:hint="eastAsia" w:ascii="宋体" w:hAnsi="宋体" w:eastAsia="宋体" w:cs="宋体"/>
          <w:color w:val="auto"/>
          <w:sz w:val="24"/>
          <w:highlight w:val="none"/>
        </w:rPr>
        <w:t>及磋商语言</w:t>
      </w:r>
    </w:p>
    <w:p w14:paraId="0CBAFBFA">
      <w:pPr>
        <w:numPr>
          <w:ilvl w:val="1"/>
          <w:numId w:val="3"/>
        </w:numPr>
        <w:tabs>
          <w:tab w:val="left" w:pos="1080"/>
          <w:tab w:val="left" w:pos="2014"/>
        </w:tabs>
        <w:snapToGrid w:val="0"/>
        <w:spacing w:line="360" w:lineRule="auto"/>
        <w:ind w:left="108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的响应将被认定为</w:t>
      </w:r>
      <w:r>
        <w:rPr>
          <w:rFonts w:hint="eastAsia" w:ascii="宋体" w:hAnsi="宋体" w:eastAsia="宋体" w:cs="宋体"/>
          <w:b/>
          <w:color w:val="auto"/>
          <w:sz w:val="24"/>
          <w:highlight w:val="none"/>
        </w:rPr>
        <w:t>响应无效</w:t>
      </w:r>
      <w:r>
        <w:rPr>
          <w:rFonts w:hint="eastAsia" w:ascii="宋体" w:hAnsi="宋体" w:eastAsia="宋体" w:cs="宋体"/>
          <w:color w:val="auto"/>
          <w:sz w:val="24"/>
          <w:highlight w:val="none"/>
        </w:rPr>
        <w:t>。</w:t>
      </w:r>
    </w:p>
    <w:p w14:paraId="0A481F5A">
      <w:pPr>
        <w:numPr>
          <w:ilvl w:val="1"/>
          <w:numId w:val="3"/>
        </w:numPr>
        <w:tabs>
          <w:tab w:val="left" w:pos="1080"/>
          <w:tab w:val="left" w:pos="2014"/>
        </w:tabs>
        <w:snapToGrid w:val="0"/>
        <w:spacing w:line="360" w:lineRule="auto"/>
        <w:ind w:left="108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除竞争性磋商文件有特殊要求外，本项目磋商所使用的计量单位，应采用中华人民共和国法定计量单位。</w:t>
      </w:r>
    </w:p>
    <w:p w14:paraId="6885D5B3">
      <w:pPr>
        <w:numPr>
          <w:ilvl w:val="1"/>
          <w:numId w:val="3"/>
        </w:numPr>
        <w:tabs>
          <w:tab w:val="left" w:pos="1080"/>
          <w:tab w:val="left" w:pos="2014"/>
        </w:tabs>
        <w:snapToGrid w:val="0"/>
        <w:spacing w:line="360" w:lineRule="auto"/>
        <w:ind w:left="108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40B602A4">
      <w:pPr>
        <w:numPr>
          <w:ilvl w:val="0"/>
          <w:numId w:val="3"/>
        </w:numPr>
        <w:tabs>
          <w:tab w:val="left" w:pos="360"/>
        </w:tabs>
        <w:snapToGrid w:val="0"/>
        <w:spacing w:line="360" w:lineRule="auto"/>
        <w:ind w:left="357" w:hanging="357"/>
        <w:outlineLvl w:val="1"/>
        <w:rPr>
          <w:rFonts w:hint="eastAsia" w:ascii="宋体" w:hAnsi="宋体" w:eastAsia="宋体" w:cs="宋体"/>
          <w:color w:val="auto"/>
          <w:sz w:val="24"/>
          <w:highlight w:val="none"/>
        </w:rPr>
      </w:pPr>
      <w:bookmarkStart w:id="224" w:name="_Toc516367022"/>
      <w:bookmarkStart w:id="225" w:name="_Ref467306195"/>
      <w:bookmarkStart w:id="226" w:name="_Ref467306676"/>
      <w:bookmarkStart w:id="227" w:name="_Toc151193916"/>
      <w:bookmarkStart w:id="228" w:name="_Toc150509279"/>
      <w:bookmarkStart w:id="229" w:name="_Toc305158796"/>
      <w:bookmarkStart w:id="230" w:name="_Toc127151528"/>
      <w:bookmarkStart w:id="231" w:name="_Toc520356152"/>
      <w:bookmarkStart w:id="232" w:name="_Toc164608642"/>
      <w:bookmarkStart w:id="233" w:name="_Toc151193770"/>
      <w:bookmarkStart w:id="234" w:name="_Toc151190155"/>
      <w:bookmarkStart w:id="235" w:name="_Toc226965718"/>
      <w:bookmarkStart w:id="236" w:name="_Toc150480766"/>
      <w:bookmarkStart w:id="237" w:name="_Toc127161442"/>
      <w:bookmarkStart w:id="238" w:name="_Toc164351622"/>
      <w:bookmarkStart w:id="239" w:name="_Toc150774628"/>
      <w:bookmarkStart w:id="240" w:name="_Toc164229369"/>
      <w:bookmarkStart w:id="241" w:name="_Toc265228366"/>
      <w:bookmarkStart w:id="242" w:name="_Toc151193626"/>
      <w:bookmarkStart w:id="243" w:name="_Toc305158870"/>
      <w:bookmarkStart w:id="244" w:name="_Toc127151729"/>
      <w:bookmarkStart w:id="245" w:name="_Toc151193842"/>
      <w:bookmarkStart w:id="246" w:name="_Toc264969218"/>
      <w:bookmarkStart w:id="247" w:name="_Toc149720821"/>
      <w:bookmarkStart w:id="248" w:name="_Toc164608797"/>
      <w:bookmarkStart w:id="249" w:name="_Toc226337224"/>
      <w:bookmarkStart w:id="250" w:name="_Toc142311030"/>
      <w:bookmarkStart w:id="251" w:name="_Toc226309772"/>
      <w:bookmarkStart w:id="252" w:name="_Toc226965801"/>
      <w:bookmarkStart w:id="253" w:name="_Toc164229223"/>
      <w:bookmarkStart w:id="254" w:name="_Toc150774733"/>
      <w:bookmarkStart w:id="255" w:name="_Toc195842893"/>
      <w:bookmarkStart w:id="256" w:name="_Toc151193698"/>
      <w:r>
        <w:rPr>
          <w:rFonts w:hint="eastAsia" w:ascii="宋体" w:hAnsi="宋体" w:eastAsia="宋体" w:cs="宋体"/>
          <w:color w:val="auto"/>
          <w:sz w:val="24"/>
          <w:highlight w:val="none"/>
        </w:rPr>
        <w:t>响应文件</w:t>
      </w:r>
      <w:bookmarkEnd w:id="224"/>
      <w:bookmarkEnd w:id="225"/>
      <w:bookmarkEnd w:id="226"/>
      <w:r>
        <w:rPr>
          <w:rFonts w:hint="eastAsia" w:ascii="宋体" w:hAnsi="宋体" w:eastAsia="宋体" w:cs="宋体"/>
          <w:color w:val="auto"/>
          <w:sz w:val="24"/>
          <w:highlight w:val="none"/>
        </w:rPr>
        <w:t>构成</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p>
    <w:p w14:paraId="6B6590FF">
      <w:pPr>
        <w:numPr>
          <w:ilvl w:val="1"/>
          <w:numId w:val="3"/>
        </w:numPr>
        <w:tabs>
          <w:tab w:val="left" w:pos="1080"/>
          <w:tab w:val="left" w:pos="2014"/>
        </w:tabs>
        <w:snapToGrid w:val="0"/>
        <w:spacing w:line="360" w:lineRule="auto"/>
        <w:ind w:left="1077" w:hanging="720"/>
        <w:rPr>
          <w:rFonts w:hint="eastAsia" w:ascii="宋体" w:hAnsi="宋体" w:eastAsia="宋体" w:cs="宋体"/>
          <w:color w:val="auto"/>
          <w:sz w:val="24"/>
          <w:highlight w:val="none"/>
        </w:rPr>
      </w:pPr>
      <w:bookmarkStart w:id="257" w:name="_Ref467052588"/>
      <w:r>
        <w:rPr>
          <w:rFonts w:hint="eastAsia" w:ascii="宋体" w:hAnsi="宋体" w:eastAsia="宋体" w:cs="宋体"/>
          <w:color w:val="auto"/>
          <w:sz w:val="24"/>
          <w:highlight w:val="none"/>
        </w:rPr>
        <w:t>供应商应当按照竞争性磋商文件的要求编制响应文件，</w:t>
      </w:r>
      <w:r>
        <w:rPr>
          <w:rFonts w:hint="eastAsia" w:ascii="宋体" w:hAnsi="宋体" w:eastAsia="宋体" w:cs="宋体"/>
          <w:color w:val="auto"/>
          <w:kern w:val="0"/>
          <w:sz w:val="24"/>
          <w:highlight w:val="none"/>
        </w:rPr>
        <w:t>并对其提交的响应文件的真实性、合法性承担法律责任</w:t>
      </w:r>
      <w:r>
        <w:rPr>
          <w:rFonts w:hint="eastAsia" w:ascii="宋体" w:hAnsi="宋体" w:eastAsia="宋体" w:cs="宋体"/>
          <w:color w:val="auto"/>
          <w:sz w:val="24"/>
          <w:highlight w:val="none"/>
        </w:rPr>
        <w:t>。响应文件的部分格式要求，见第六章《响应文件格式》。</w:t>
      </w:r>
    </w:p>
    <w:p w14:paraId="4FDFAFBB">
      <w:pPr>
        <w:numPr>
          <w:ilvl w:val="1"/>
          <w:numId w:val="3"/>
        </w:numPr>
        <w:tabs>
          <w:tab w:val="left" w:pos="1080"/>
          <w:tab w:val="left" w:pos="2014"/>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kern w:val="0"/>
          <w:sz w:val="24"/>
          <w:highlight w:val="none"/>
        </w:rPr>
        <w:t>对于竞争性磋商文件中标记了“实质性格式”文件的，</w:t>
      </w:r>
      <w:r>
        <w:rPr>
          <w:rFonts w:hint="eastAsia" w:ascii="宋体" w:hAnsi="宋体" w:eastAsia="宋体" w:cs="宋体"/>
          <w:color w:val="auto"/>
          <w:sz w:val="24"/>
          <w:highlight w:val="none"/>
        </w:rPr>
        <w:t>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color w:val="auto"/>
          <w:kern w:val="0"/>
          <w:sz w:val="24"/>
          <w:highlight w:val="none"/>
        </w:rPr>
        <w:t>否则响应无效</w:t>
      </w:r>
      <w:r>
        <w:rPr>
          <w:rFonts w:hint="eastAsia" w:ascii="宋体" w:hAnsi="宋体" w:eastAsia="宋体" w:cs="宋体"/>
          <w:color w:val="auto"/>
          <w:kern w:val="0"/>
          <w:sz w:val="24"/>
          <w:highlight w:val="none"/>
        </w:rPr>
        <w:t>。未标记“实质性格式”的文件和竞争性磋商文件未提供格式的内容，可由供应商自行编写。</w:t>
      </w:r>
    </w:p>
    <w:p w14:paraId="2F8F2B71">
      <w:pPr>
        <w:numPr>
          <w:ilvl w:val="1"/>
          <w:numId w:val="3"/>
        </w:numPr>
        <w:tabs>
          <w:tab w:val="left" w:pos="1080"/>
          <w:tab w:val="left" w:pos="2014"/>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第三章《评审方法和评审标准》中涉及的证明文件。</w:t>
      </w:r>
    </w:p>
    <w:p w14:paraId="208C83AB">
      <w:pPr>
        <w:numPr>
          <w:ilvl w:val="1"/>
          <w:numId w:val="3"/>
        </w:numPr>
        <w:tabs>
          <w:tab w:val="left" w:pos="1080"/>
          <w:tab w:val="left" w:pos="2014"/>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680EA929">
      <w:pPr>
        <w:numPr>
          <w:ilvl w:val="1"/>
          <w:numId w:val="3"/>
        </w:numPr>
        <w:tabs>
          <w:tab w:val="left" w:pos="1080"/>
          <w:tab w:val="left" w:pos="2014"/>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供应商认为应附的其他材料。</w:t>
      </w:r>
      <w:bookmarkEnd w:id="257"/>
    </w:p>
    <w:p w14:paraId="5520064A">
      <w:pPr>
        <w:numPr>
          <w:ilvl w:val="0"/>
          <w:numId w:val="3"/>
        </w:numPr>
        <w:tabs>
          <w:tab w:val="left" w:pos="360"/>
        </w:tabs>
        <w:snapToGrid w:val="0"/>
        <w:spacing w:line="360" w:lineRule="auto"/>
        <w:ind w:left="357" w:hanging="357"/>
        <w:outlineLvl w:val="1"/>
        <w:rPr>
          <w:rFonts w:hint="eastAsia" w:ascii="宋体" w:hAnsi="宋体" w:eastAsia="宋体" w:cs="宋体"/>
          <w:color w:val="auto"/>
          <w:sz w:val="24"/>
          <w:highlight w:val="none"/>
        </w:rPr>
      </w:pPr>
      <w:bookmarkStart w:id="258" w:name="_Toc151193844"/>
      <w:bookmarkStart w:id="259" w:name="_Toc142311032"/>
      <w:bookmarkStart w:id="260" w:name="_Toc150480768"/>
      <w:bookmarkStart w:id="261" w:name="_Toc195842895"/>
      <w:bookmarkStart w:id="262" w:name="_Toc151193628"/>
      <w:bookmarkStart w:id="263" w:name="_Toc151193700"/>
      <w:bookmarkStart w:id="264" w:name="_Toc164608644"/>
      <w:bookmarkStart w:id="265" w:name="_Toc164351624"/>
      <w:bookmarkStart w:id="266" w:name="_Toc151193772"/>
      <w:bookmarkStart w:id="267" w:name="_Toc150774630"/>
      <w:bookmarkStart w:id="268" w:name="_Toc150509281"/>
      <w:bookmarkStart w:id="269" w:name="_Toc149720823"/>
      <w:bookmarkStart w:id="270" w:name="_Toc150774735"/>
      <w:bookmarkStart w:id="271" w:name="_Toc164229371"/>
      <w:bookmarkStart w:id="272" w:name="_Toc151190157"/>
      <w:bookmarkStart w:id="273" w:name="_Toc151193918"/>
      <w:bookmarkStart w:id="274" w:name="_Toc127151731"/>
      <w:bookmarkStart w:id="275" w:name="_Toc520356155"/>
      <w:bookmarkStart w:id="276" w:name="_Toc127151530"/>
      <w:bookmarkStart w:id="277" w:name="_Toc164608799"/>
      <w:bookmarkStart w:id="278" w:name="_Toc127161444"/>
      <w:bookmarkStart w:id="279" w:name="_Toc164229225"/>
      <w:r>
        <w:rPr>
          <w:rFonts w:hint="eastAsia" w:ascii="宋体" w:hAnsi="宋体" w:eastAsia="宋体" w:cs="宋体"/>
          <w:color w:val="auto"/>
          <w:sz w:val="24"/>
          <w:highlight w:val="none"/>
        </w:rPr>
        <w:t>报价</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p>
    <w:p w14:paraId="5EFABF2D">
      <w:pPr>
        <w:numPr>
          <w:ilvl w:val="1"/>
          <w:numId w:val="3"/>
        </w:numPr>
        <w:tabs>
          <w:tab w:val="left" w:pos="1080"/>
          <w:tab w:val="left" w:pos="2014"/>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所有响应均以人民币报价。</w:t>
      </w:r>
    </w:p>
    <w:p w14:paraId="38F9AABA">
      <w:pPr>
        <w:numPr>
          <w:ilvl w:val="1"/>
          <w:numId w:val="3"/>
        </w:numPr>
        <w:tabs>
          <w:tab w:val="left" w:pos="1080"/>
        </w:tabs>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供应商的报价应包括为完成本项目所发生的一切费用和税费，采购人将不再支付报价以外的任何费用。供应商的报价应包括但不限于下列内容，《供应商须知资料表》中有特殊规定的，从其规定。</w:t>
      </w:r>
    </w:p>
    <w:p w14:paraId="7FF590C2">
      <w:pPr>
        <w:numPr>
          <w:ilvl w:val="2"/>
          <w:numId w:val="3"/>
        </w:numPr>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响应货物</w:t>
      </w:r>
      <w:r>
        <w:rPr>
          <w:rFonts w:hint="eastAsia" w:ascii="宋体" w:hAnsi="宋体" w:eastAsia="宋体" w:cs="宋体"/>
          <w:color w:val="auto"/>
          <w:sz w:val="24"/>
          <w:highlight w:val="none"/>
        </w:rPr>
        <w:t xml:space="preserve">及标准附件、备品备件、专用工具等的出厂价（包括已在中国国内的进口货物完税后的仓库交货价、展室交货价或货架交货价）和运至最终目的地的运输费和保险费，安装调试、检验、技术服务、培训、质量保证、售后服务、税费等。 </w:t>
      </w:r>
    </w:p>
    <w:p w14:paraId="782C0471">
      <w:pPr>
        <w:numPr>
          <w:ilvl w:val="2"/>
          <w:numId w:val="3"/>
        </w:numPr>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按照竞争性磋商文件要求完成本项目的全部相关工程或服务费用。</w:t>
      </w:r>
    </w:p>
    <w:p w14:paraId="3B5C8A74">
      <w:pPr>
        <w:numPr>
          <w:ilvl w:val="1"/>
          <w:numId w:val="3"/>
        </w:numPr>
        <w:tabs>
          <w:tab w:val="left" w:pos="1080"/>
          <w:tab w:val="left" w:pos="2014"/>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采购人不得向供应商索要或者接受其给予的赠品、回扣或者与采购无关的其他商品、服务。</w:t>
      </w:r>
    </w:p>
    <w:p w14:paraId="337702B9">
      <w:pPr>
        <w:numPr>
          <w:ilvl w:val="1"/>
          <w:numId w:val="3"/>
        </w:numPr>
        <w:tabs>
          <w:tab w:val="left" w:pos="1080"/>
          <w:tab w:val="left" w:pos="2014"/>
        </w:tabs>
        <w:snapToGrid w:val="0"/>
        <w:spacing w:line="360" w:lineRule="auto"/>
        <w:ind w:left="108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供应商不能提供任何有选择性或可调整的最后报价（</w:t>
      </w:r>
      <w:r>
        <w:rPr>
          <w:rFonts w:hint="eastAsia" w:ascii="宋体" w:hAnsi="宋体" w:eastAsia="宋体" w:cs="宋体"/>
          <w:color w:val="auto"/>
          <w:kern w:val="0"/>
          <w:sz w:val="24"/>
          <w:highlight w:val="none"/>
        </w:rPr>
        <w:t>竞争性磋商文件</w:t>
      </w:r>
      <w:r>
        <w:rPr>
          <w:rFonts w:hint="eastAsia" w:ascii="宋体" w:hAnsi="宋体" w:eastAsia="宋体" w:cs="宋体"/>
          <w:color w:val="auto"/>
          <w:sz w:val="24"/>
          <w:highlight w:val="none"/>
        </w:rPr>
        <w:t>另有规定的除外），否则其</w:t>
      </w:r>
      <w:r>
        <w:rPr>
          <w:rFonts w:hint="eastAsia" w:ascii="宋体" w:hAnsi="宋体" w:eastAsia="宋体" w:cs="宋体"/>
          <w:b/>
          <w:color w:val="auto"/>
          <w:sz w:val="24"/>
          <w:highlight w:val="none"/>
        </w:rPr>
        <w:t>响应无效</w:t>
      </w:r>
      <w:r>
        <w:rPr>
          <w:rFonts w:hint="eastAsia" w:ascii="宋体" w:hAnsi="宋体" w:eastAsia="宋体" w:cs="宋体"/>
          <w:color w:val="auto"/>
          <w:sz w:val="24"/>
          <w:highlight w:val="none"/>
        </w:rPr>
        <w:t>。</w:t>
      </w:r>
    </w:p>
    <w:p w14:paraId="4AA035BF">
      <w:pPr>
        <w:numPr>
          <w:ilvl w:val="0"/>
          <w:numId w:val="3"/>
        </w:numPr>
        <w:tabs>
          <w:tab w:val="left" w:pos="360"/>
        </w:tabs>
        <w:snapToGrid w:val="0"/>
        <w:spacing w:line="360" w:lineRule="auto"/>
        <w:ind w:left="357" w:hanging="357"/>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磋商保证金</w:t>
      </w:r>
    </w:p>
    <w:p w14:paraId="7E74BA74">
      <w:pPr>
        <w:numPr>
          <w:ilvl w:val="1"/>
          <w:numId w:val="3"/>
        </w:numPr>
        <w:tabs>
          <w:tab w:val="left" w:pos="1080"/>
          <w:tab w:val="left" w:pos="2014"/>
        </w:tabs>
        <w:snapToGrid w:val="0"/>
        <w:spacing w:line="360" w:lineRule="auto"/>
        <w:ind w:left="1077" w:hanging="720"/>
        <w:rPr>
          <w:rFonts w:hint="eastAsia" w:ascii="宋体" w:hAnsi="宋体" w:eastAsia="宋体" w:cs="宋体"/>
          <w:color w:val="auto"/>
          <w:sz w:val="24"/>
          <w:highlight w:val="none"/>
        </w:rPr>
      </w:pPr>
      <w:bookmarkStart w:id="280" w:name="_Ref467306302"/>
      <w:r>
        <w:rPr>
          <w:rFonts w:hint="eastAsia" w:ascii="宋体" w:hAnsi="宋体" w:eastAsia="宋体" w:cs="宋体"/>
          <w:color w:val="auto"/>
          <w:sz w:val="24"/>
          <w:highlight w:val="none"/>
        </w:rPr>
        <w:t>供应商应按《供应商须知资料表》中规定的金额及要求交纳磋商保证金</w:t>
      </w:r>
      <w:bookmarkEnd w:id="280"/>
      <w:r>
        <w:rPr>
          <w:rFonts w:hint="eastAsia" w:ascii="宋体" w:hAnsi="宋体" w:eastAsia="宋体" w:cs="宋体"/>
          <w:color w:val="auto"/>
          <w:sz w:val="24"/>
          <w:highlight w:val="none"/>
        </w:rPr>
        <w:t>。</w:t>
      </w:r>
    </w:p>
    <w:p w14:paraId="22BC48AD">
      <w:pPr>
        <w:numPr>
          <w:ilvl w:val="1"/>
          <w:numId w:val="3"/>
        </w:numPr>
        <w:tabs>
          <w:tab w:val="left" w:pos="1080"/>
          <w:tab w:val="left" w:pos="2014"/>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交纳磋商保证金可采用的形式：政府采购法律法规接受的支票、汇票、本票、网上银行支付或者金融机构、担保机构出具的保函等非现金形式。</w:t>
      </w:r>
    </w:p>
    <w:p w14:paraId="37660069">
      <w:pPr>
        <w:numPr>
          <w:ilvl w:val="1"/>
          <w:numId w:val="3"/>
        </w:numPr>
        <w:tabs>
          <w:tab w:val="left" w:pos="1080"/>
          <w:tab w:val="left" w:pos="2014"/>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磋商保证金到账（保函提交）截止时间同首次响应文件提交截止时间。以支票、汇票、本票、网上银行支付等形式提交磋商保证金的，应在首次响应文件提交截止时间前到账；以金融机构、担保机构出具的保函等形式提交磋商保证金的，应在首次响应文件提交截止时间前将原件提交至采购代理机构；由于到账时间晚于首次响应文件提交截止时间的，或者票据错误、印鉴不清等原因导致不能到账的，其</w:t>
      </w:r>
      <w:r>
        <w:rPr>
          <w:rFonts w:hint="eastAsia" w:ascii="宋体" w:hAnsi="宋体" w:eastAsia="宋体" w:cs="宋体"/>
          <w:b/>
          <w:color w:val="auto"/>
          <w:sz w:val="24"/>
          <w:highlight w:val="none"/>
        </w:rPr>
        <w:t>响应无效</w:t>
      </w:r>
      <w:r>
        <w:rPr>
          <w:rFonts w:hint="eastAsia" w:ascii="宋体" w:hAnsi="宋体" w:eastAsia="宋体" w:cs="宋体"/>
          <w:color w:val="auto"/>
          <w:sz w:val="24"/>
          <w:highlight w:val="none"/>
        </w:rPr>
        <w:t>。</w:t>
      </w:r>
    </w:p>
    <w:p w14:paraId="51DC1736">
      <w:pPr>
        <w:numPr>
          <w:ilvl w:val="1"/>
          <w:numId w:val="3"/>
        </w:numPr>
        <w:tabs>
          <w:tab w:val="left" w:pos="1080"/>
          <w:tab w:val="left" w:pos="2014"/>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磋商保证金（保函）有效期同响应有效期。</w:t>
      </w:r>
    </w:p>
    <w:p w14:paraId="5F1988E7">
      <w:pPr>
        <w:numPr>
          <w:ilvl w:val="1"/>
          <w:numId w:val="3"/>
        </w:numPr>
        <w:tabs>
          <w:tab w:val="left" w:pos="1080"/>
          <w:tab w:val="left" w:pos="2014"/>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供应商为联合体的，可以由联合体中的一方或者多方共同交纳磋商保证金，其交纳的保证金对联合体各方均具有约束力。</w:t>
      </w:r>
    </w:p>
    <w:p w14:paraId="4E635634">
      <w:pPr>
        <w:numPr>
          <w:ilvl w:val="1"/>
          <w:numId w:val="3"/>
        </w:numPr>
        <w:tabs>
          <w:tab w:val="left" w:pos="1080"/>
          <w:tab w:val="left" w:pos="2014"/>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1667E71F">
      <w:pPr>
        <w:numPr>
          <w:ilvl w:val="2"/>
          <w:numId w:val="3"/>
        </w:numPr>
        <w:snapToGrid w:val="0"/>
        <w:spacing w:line="360" w:lineRule="auto"/>
        <w:rPr>
          <w:rFonts w:hint="eastAsia" w:ascii="宋体" w:hAnsi="宋体" w:eastAsia="宋体" w:cs="宋体"/>
          <w:color w:val="auto"/>
          <w:sz w:val="24"/>
          <w:highlight w:val="none"/>
        </w:rPr>
      </w:pPr>
      <w:r>
        <w:rPr>
          <w:rFonts w:hint="eastAsia" w:ascii="宋体" w:hAnsi="宋体" w:eastAsia="宋体" w:cs="宋体"/>
          <w:snapToGrid w:val="0"/>
          <w:color w:val="auto"/>
          <w:kern w:val="0"/>
          <w:sz w:val="24"/>
          <w:highlight w:val="none"/>
        </w:rPr>
        <w:t>已提交响应文件的供应商，在提交最后报价之前，可以根据磋商情况退出磋商。采购人、采购代理机构将退还退出磋商的供应商的磋商保证金；</w:t>
      </w:r>
    </w:p>
    <w:p w14:paraId="648E4240">
      <w:pPr>
        <w:numPr>
          <w:ilvl w:val="2"/>
          <w:numId w:val="3"/>
        </w:numPr>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成交供应商的磋商保证金，在采购合同签订后5个工作日内退还成交供应商；</w:t>
      </w:r>
    </w:p>
    <w:p w14:paraId="005DB29E">
      <w:pPr>
        <w:numPr>
          <w:ilvl w:val="2"/>
          <w:numId w:val="3"/>
        </w:numPr>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未成交供应商的磋商保证金，在成交通知书发出后5个工作日内退还。</w:t>
      </w:r>
    </w:p>
    <w:p w14:paraId="4357BFE3">
      <w:pPr>
        <w:numPr>
          <w:ilvl w:val="1"/>
          <w:numId w:val="3"/>
        </w:numPr>
        <w:tabs>
          <w:tab w:val="left" w:pos="1080"/>
          <w:tab w:val="left" w:pos="2014"/>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有下列情形之一的，采购人或采购代理机构不予退还磋商保证金：</w:t>
      </w:r>
    </w:p>
    <w:p w14:paraId="0DA52470">
      <w:pPr>
        <w:numPr>
          <w:ilvl w:val="2"/>
          <w:numId w:val="3"/>
        </w:numPr>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供应商在提交响应文件截止时间后撤回响应文件的；</w:t>
      </w:r>
    </w:p>
    <w:p w14:paraId="405FB6EE">
      <w:pPr>
        <w:numPr>
          <w:ilvl w:val="2"/>
          <w:numId w:val="3"/>
        </w:numPr>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供应商在响应文件中提供虚假材料的；</w:t>
      </w:r>
    </w:p>
    <w:p w14:paraId="0B045D68">
      <w:pPr>
        <w:numPr>
          <w:ilvl w:val="2"/>
          <w:numId w:val="3"/>
        </w:numPr>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除因不可抗力或磋商文件认可的情形以外，成交供应商不与采购人签订合同的；</w:t>
      </w:r>
    </w:p>
    <w:p w14:paraId="33A7FB3B">
      <w:pPr>
        <w:numPr>
          <w:ilvl w:val="2"/>
          <w:numId w:val="3"/>
        </w:numPr>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供应商与采购人、其他供应商或者采购代理机构恶意串通的；</w:t>
      </w:r>
    </w:p>
    <w:p w14:paraId="5E376388">
      <w:pPr>
        <w:numPr>
          <w:ilvl w:val="2"/>
          <w:numId w:val="3"/>
        </w:numPr>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《供应商须知资料表》规定的其他情形。</w:t>
      </w:r>
    </w:p>
    <w:p w14:paraId="2BC7B570">
      <w:pPr>
        <w:numPr>
          <w:ilvl w:val="0"/>
          <w:numId w:val="3"/>
        </w:numPr>
        <w:tabs>
          <w:tab w:val="left" w:pos="360"/>
        </w:tabs>
        <w:snapToGrid w:val="0"/>
        <w:spacing w:line="360" w:lineRule="auto"/>
        <w:ind w:left="357" w:hanging="357"/>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响应有效期</w:t>
      </w:r>
    </w:p>
    <w:p w14:paraId="1104C113">
      <w:pPr>
        <w:numPr>
          <w:ilvl w:val="1"/>
          <w:numId w:val="3"/>
        </w:numPr>
        <w:tabs>
          <w:tab w:val="left" w:pos="1080"/>
          <w:tab w:val="left" w:pos="2014"/>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响应文件应在本竞争性磋商文件《供应商须知资料表》中规定的响应有效期内保持有效，响应有效期少于竞争性磋商文件规定期限的，其</w:t>
      </w:r>
      <w:r>
        <w:rPr>
          <w:rFonts w:hint="eastAsia" w:ascii="宋体" w:hAnsi="宋体" w:eastAsia="宋体" w:cs="宋体"/>
          <w:b/>
          <w:color w:val="auto"/>
          <w:sz w:val="24"/>
          <w:highlight w:val="none"/>
        </w:rPr>
        <w:t>响应无效</w:t>
      </w:r>
      <w:r>
        <w:rPr>
          <w:rFonts w:hint="eastAsia" w:ascii="宋体" w:hAnsi="宋体" w:eastAsia="宋体" w:cs="宋体"/>
          <w:color w:val="auto"/>
          <w:sz w:val="24"/>
          <w:highlight w:val="none"/>
        </w:rPr>
        <w:t>。</w:t>
      </w:r>
    </w:p>
    <w:p w14:paraId="13013FD4">
      <w:pPr>
        <w:numPr>
          <w:ilvl w:val="0"/>
          <w:numId w:val="3"/>
        </w:numPr>
        <w:tabs>
          <w:tab w:val="left" w:pos="360"/>
        </w:tabs>
        <w:snapToGrid w:val="0"/>
        <w:spacing w:line="360" w:lineRule="auto"/>
        <w:ind w:left="357" w:hanging="357"/>
        <w:outlineLvl w:val="1"/>
        <w:rPr>
          <w:rFonts w:hint="eastAsia" w:ascii="宋体" w:hAnsi="宋体" w:eastAsia="宋体" w:cs="宋体"/>
          <w:color w:val="auto"/>
          <w:sz w:val="24"/>
          <w:highlight w:val="none"/>
        </w:rPr>
      </w:pPr>
      <w:bookmarkStart w:id="281" w:name="_Toc151193775"/>
      <w:bookmarkStart w:id="282" w:name="_Toc226965723"/>
      <w:bookmarkStart w:id="283" w:name="_Toc151190160"/>
      <w:bookmarkStart w:id="284" w:name="_Toc150774738"/>
      <w:bookmarkStart w:id="285" w:name="_Toc150480771"/>
      <w:bookmarkStart w:id="286" w:name="_Toc151193703"/>
      <w:bookmarkStart w:id="287" w:name="_Toc164229228"/>
      <w:bookmarkStart w:id="288" w:name="_Toc305158801"/>
      <w:bookmarkStart w:id="289" w:name="_Toc265228371"/>
      <w:bookmarkStart w:id="290" w:name="_Toc127151533"/>
      <w:bookmarkStart w:id="291" w:name="_Toc150509284"/>
      <w:bookmarkStart w:id="292" w:name="_Toc226337229"/>
      <w:bookmarkStart w:id="293" w:name="_Toc142311035"/>
      <w:bookmarkStart w:id="294" w:name="_Toc520356158"/>
      <w:bookmarkStart w:id="295" w:name="_Toc127151734"/>
      <w:bookmarkStart w:id="296" w:name="_Toc264969223"/>
      <w:bookmarkStart w:id="297" w:name="_Toc151193631"/>
      <w:bookmarkStart w:id="298" w:name="_Toc149720826"/>
      <w:bookmarkStart w:id="299" w:name="_Toc151193847"/>
      <w:bookmarkStart w:id="300" w:name="_Toc226309777"/>
      <w:bookmarkStart w:id="301" w:name="_Toc164351627"/>
      <w:bookmarkStart w:id="302" w:name="_Toc150774633"/>
      <w:bookmarkStart w:id="303" w:name="_Toc164608647"/>
      <w:bookmarkStart w:id="304" w:name="_Toc164229374"/>
      <w:bookmarkStart w:id="305" w:name="_Toc226965806"/>
      <w:bookmarkStart w:id="306" w:name="_Toc151193921"/>
      <w:bookmarkStart w:id="307" w:name="_Toc164608802"/>
      <w:bookmarkStart w:id="308" w:name="_Toc305158875"/>
      <w:bookmarkStart w:id="309" w:name="_Toc195842898"/>
      <w:bookmarkStart w:id="310" w:name="_Toc127161447"/>
      <w:r>
        <w:rPr>
          <w:rFonts w:hint="eastAsia" w:ascii="宋体" w:hAnsi="宋体" w:eastAsia="宋体" w:cs="宋体"/>
          <w:color w:val="auto"/>
          <w:sz w:val="24"/>
          <w:highlight w:val="none"/>
        </w:rPr>
        <w:t>响应文件的签署</w:t>
      </w:r>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r>
        <w:rPr>
          <w:rFonts w:hint="eastAsia" w:ascii="宋体" w:hAnsi="宋体" w:eastAsia="宋体" w:cs="宋体"/>
          <w:color w:val="auto"/>
          <w:sz w:val="24"/>
          <w:highlight w:val="none"/>
        </w:rPr>
        <w:t>、盖章</w:t>
      </w:r>
    </w:p>
    <w:p w14:paraId="61B17153">
      <w:pPr>
        <w:numPr>
          <w:ilvl w:val="1"/>
          <w:numId w:val="3"/>
        </w:numPr>
        <w:tabs>
          <w:tab w:val="left" w:pos="1080"/>
        </w:tabs>
        <w:snapToGrid w:val="0"/>
        <w:spacing w:line="360" w:lineRule="auto"/>
        <w:rPr>
          <w:rFonts w:hint="eastAsia" w:ascii="宋体" w:hAnsi="宋体" w:eastAsia="宋体" w:cs="宋体"/>
          <w:color w:val="auto"/>
          <w:sz w:val="24"/>
          <w:highlight w:val="none"/>
        </w:rPr>
      </w:pPr>
      <w:bookmarkStart w:id="311" w:name="_Toc150509285"/>
      <w:bookmarkStart w:id="312" w:name="_Toc150774634"/>
      <w:bookmarkStart w:id="313" w:name="_Toc150480772"/>
      <w:bookmarkStart w:id="314" w:name="_Toc305158802"/>
      <w:bookmarkStart w:id="315" w:name="_Toc151190161"/>
      <w:bookmarkStart w:id="316" w:name="_Toc151193776"/>
      <w:bookmarkStart w:id="317" w:name="_Toc226965724"/>
      <w:bookmarkStart w:id="318" w:name="_Toc226965807"/>
      <w:bookmarkStart w:id="319" w:name="_Toc520356159"/>
      <w:bookmarkStart w:id="320" w:name="_Toc151193848"/>
      <w:bookmarkStart w:id="321" w:name="_Toc226309778"/>
      <w:bookmarkStart w:id="322" w:name="_Toc150774739"/>
      <w:bookmarkStart w:id="323" w:name="_Toc151193632"/>
      <w:bookmarkStart w:id="324" w:name="_Toc151193704"/>
      <w:bookmarkStart w:id="325" w:name="_Toc226337230"/>
      <w:bookmarkStart w:id="326" w:name="_Toc195842899"/>
      <w:bookmarkStart w:id="327" w:name="_Toc142311036"/>
      <w:bookmarkStart w:id="328" w:name="_Toc305158876"/>
      <w:bookmarkStart w:id="329" w:name="_Toc265228372"/>
      <w:bookmarkStart w:id="330" w:name="_Toc127151534"/>
      <w:bookmarkStart w:id="331" w:name="_Toc151193922"/>
      <w:bookmarkStart w:id="332" w:name="_Toc264969224"/>
      <w:r>
        <w:rPr>
          <w:rFonts w:hint="eastAsia" w:ascii="宋体" w:hAnsi="宋体" w:eastAsia="宋体" w:cs="宋体"/>
          <w:color w:val="auto"/>
          <w:sz w:val="24"/>
          <w:highlight w:val="none"/>
        </w:rPr>
        <w:t>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p>
    <w:p w14:paraId="0DC853EC">
      <w:pPr>
        <w:numPr>
          <w:ilvl w:val="1"/>
          <w:numId w:val="3"/>
        </w:numPr>
        <w:tabs>
          <w:tab w:val="left" w:pos="1080"/>
          <w:tab w:val="left" w:pos="2014"/>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竞争性磋商文件要求盖章的内容，一般通过投标文件编制工具加盖电子签章。</w:t>
      </w:r>
    </w:p>
    <w:p w14:paraId="0E56E505">
      <w:pPr>
        <w:tabs>
          <w:tab w:val="left" w:pos="900"/>
          <w:tab w:val="left" w:pos="1080"/>
        </w:tabs>
        <w:snapToGrid w:val="0"/>
        <w:spacing w:line="360" w:lineRule="auto"/>
        <w:ind w:left="357"/>
        <w:rPr>
          <w:rFonts w:hint="eastAsia" w:ascii="宋体" w:hAnsi="宋体" w:eastAsia="宋体" w:cs="宋体"/>
          <w:color w:val="auto"/>
          <w:highlight w:val="none"/>
        </w:rPr>
      </w:pPr>
    </w:p>
    <w:p w14:paraId="0C545ABB">
      <w:pPr>
        <w:pStyle w:val="3"/>
        <w:spacing w:before="0"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四   响应文件的提交</w:t>
      </w:r>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p>
    <w:p w14:paraId="1C0717F4">
      <w:pPr>
        <w:numPr>
          <w:ilvl w:val="0"/>
          <w:numId w:val="3"/>
        </w:numPr>
        <w:tabs>
          <w:tab w:val="left" w:pos="360"/>
        </w:tabs>
        <w:snapToGrid w:val="0"/>
        <w:spacing w:line="360" w:lineRule="auto"/>
        <w:ind w:left="357" w:hanging="357"/>
        <w:outlineLvl w:val="1"/>
        <w:rPr>
          <w:rFonts w:hint="eastAsia" w:ascii="宋体" w:hAnsi="宋体" w:eastAsia="宋体" w:cs="宋体"/>
          <w:color w:val="auto"/>
          <w:sz w:val="24"/>
          <w:highlight w:val="none"/>
        </w:rPr>
      </w:pPr>
      <w:bookmarkStart w:id="333" w:name="_Toc164608804"/>
      <w:bookmarkStart w:id="334" w:name="_Toc151193777"/>
      <w:bookmarkStart w:id="335" w:name="_Toc520356160"/>
      <w:bookmarkStart w:id="336" w:name="_Toc150774635"/>
      <w:bookmarkStart w:id="337" w:name="_Toc226309779"/>
      <w:bookmarkStart w:id="338" w:name="_Toc150774740"/>
      <w:bookmarkStart w:id="339" w:name="_Toc164608649"/>
      <w:bookmarkStart w:id="340" w:name="_Toc264969225"/>
      <w:bookmarkStart w:id="341" w:name="_Toc305158877"/>
      <w:bookmarkStart w:id="342" w:name="_Toc305158803"/>
      <w:bookmarkStart w:id="343" w:name="_Toc151193923"/>
      <w:bookmarkStart w:id="344" w:name="_Toc127151535"/>
      <w:bookmarkStart w:id="345" w:name="_Toc195842900"/>
      <w:bookmarkStart w:id="346" w:name="_Toc226965725"/>
      <w:bookmarkStart w:id="347" w:name="_Toc149720828"/>
      <w:bookmarkStart w:id="348" w:name="_Toc151193705"/>
      <w:bookmarkStart w:id="349" w:name="_Toc164229376"/>
      <w:bookmarkStart w:id="350" w:name="_Toc226965808"/>
      <w:bookmarkStart w:id="351" w:name="_Toc151193849"/>
      <w:bookmarkStart w:id="352" w:name="_Toc150480773"/>
      <w:bookmarkStart w:id="353" w:name="_Toc164229230"/>
      <w:bookmarkStart w:id="354" w:name="_Toc151190162"/>
      <w:bookmarkStart w:id="355" w:name="_Toc150509286"/>
      <w:bookmarkStart w:id="356" w:name="_Toc164351629"/>
      <w:bookmarkStart w:id="357" w:name="_Toc127161449"/>
      <w:bookmarkStart w:id="358" w:name="_Toc142311037"/>
      <w:bookmarkStart w:id="359" w:name="_Toc127151736"/>
      <w:bookmarkStart w:id="360" w:name="_Toc265228373"/>
      <w:bookmarkStart w:id="361" w:name="_Toc151193633"/>
      <w:bookmarkStart w:id="362" w:name="_Toc226337231"/>
      <w:r>
        <w:rPr>
          <w:rFonts w:hint="eastAsia" w:ascii="宋体" w:hAnsi="宋体" w:eastAsia="宋体" w:cs="宋体"/>
          <w:color w:val="auto"/>
          <w:sz w:val="24"/>
          <w:highlight w:val="none"/>
        </w:rPr>
        <w:t>响应文件的</w:t>
      </w:r>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r>
        <w:rPr>
          <w:rFonts w:hint="eastAsia" w:ascii="宋体" w:hAnsi="宋体" w:eastAsia="宋体" w:cs="宋体"/>
          <w:color w:val="auto"/>
          <w:sz w:val="24"/>
          <w:highlight w:val="none"/>
        </w:rPr>
        <w:t>提交</w:t>
      </w:r>
    </w:p>
    <w:p w14:paraId="5FBC83F0">
      <w:pPr>
        <w:numPr>
          <w:ilvl w:val="1"/>
          <w:numId w:val="3"/>
        </w:numPr>
        <w:tabs>
          <w:tab w:val="left" w:pos="1080"/>
          <w:tab w:val="left" w:pos="2014"/>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本项目使用北京市政府采购</w:t>
      </w:r>
      <w:r>
        <w:rPr>
          <w:rFonts w:hint="eastAsia" w:ascii="宋体" w:hAnsi="宋体" w:eastAsia="宋体" w:cs="宋体"/>
          <w:color w:val="auto"/>
          <w:sz w:val="24"/>
          <w:highlight w:val="none"/>
          <w:lang w:val="en-US" w:eastAsia="zh-CN"/>
        </w:rPr>
        <w:t>电子</w:t>
      </w:r>
      <w:r>
        <w:rPr>
          <w:rFonts w:hint="eastAsia" w:ascii="宋体" w:hAnsi="宋体" w:eastAsia="宋体" w:cs="宋体"/>
          <w:color w:val="auto"/>
          <w:sz w:val="24"/>
          <w:highlight w:val="none"/>
        </w:rPr>
        <w:t>交易</w:t>
      </w:r>
      <w:r>
        <w:rPr>
          <w:rFonts w:hint="eastAsia" w:ascii="宋体" w:hAnsi="宋体" w:eastAsia="宋体" w:cs="宋体"/>
          <w:color w:val="auto"/>
          <w:sz w:val="24"/>
          <w:highlight w:val="none"/>
          <w:lang w:val="en-US" w:eastAsia="zh-CN"/>
        </w:rPr>
        <w:t>平台</w:t>
      </w:r>
      <w:r>
        <w:rPr>
          <w:rFonts w:hint="eastAsia" w:ascii="宋体" w:hAnsi="宋体" w:eastAsia="宋体" w:cs="宋体"/>
          <w:color w:val="auto"/>
          <w:sz w:val="24"/>
          <w:highlight w:val="none"/>
        </w:rPr>
        <w:t>。供应商根据竞争性磋商文件及</w:t>
      </w:r>
      <w:r>
        <w:rPr>
          <w:rFonts w:hint="eastAsia" w:ascii="宋体" w:hAnsi="宋体" w:eastAsia="宋体" w:cs="宋体"/>
          <w:color w:val="auto"/>
          <w:sz w:val="24"/>
          <w:highlight w:val="none"/>
          <w:lang w:val="en-US" w:eastAsia="zh-CN"/>
        </w:rPr>
        <w:t>电子</w:t>
      </w:r>
      <w:r>
        <w:rPr>
          <w:rFonts w:hint="eastAsia" w:ascii="宋体" w:hAnsi="宋体" w:eastAsia="宋体" w:cs="宋体"/>
          <w:color w:val="auto"/>
          <w:sz w:val="24"/>
          <w:highlight w:val="none"/>
        </w:rPr>
        <w:t>交易</w:t>
      </w:r>
      <w:r>
        <w:rPr>
          <w:rFonts w:hint="eastAsia" w:ascii="宋体" w:hAnsi="宋体" w:eastAsia="宋体" w:cs="宋体"/>
          <w:color w:val="auto"/>
          <w:sz w:val="24"/>
          <w:highlight w:val="none"/>
          <w:lang w:val="en-US" w:eastAsia="zh-CN"/>
        </w:rPr>
        <w:t>平台供应商操作手册</w:t>
      </w:r>
      <w:r>
        <w:rPr>
          <w:rFonts w:hint="eastAsia" w:ascii="宋体" w:hAnsi="宋体" w:eastAsia="宋体" w:cs="宋体"/>
          <w:color w:val="auto"/>
          <w:sz w:val="24"/>
          <w:highlight w:val="none"/>
        </w:rPr>
        <w:t>要求编制、生成并提交电子响应文件。</w:t>
      </w:r>
    </w:p>
    <w:p w14:paraId="13D31D02">
      <w:pPr>
        <w:numPr>
          <w:ilvl w:val="1"/>
          <w:numId w:val="3"/>
        </w:numPr>
        <w:tabs>
          <w:tab w:val="left" w:pos="1080"/>
          <w:tab w:val="left" w:pos="2014"/>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采购人及采购代理机构拒绝接受通过电子交易平台以外任何形式提交的响应文件，磋商保证金除外。</w:t>
      </w:r>
    </w:p>
    <w:p w14:paraId="6DECC211">
      <w:pPr>
        <w:numPr>
          <w:ilvl w:val="0"/>
          <w:numId w:val="3"/>
        </w:numPr>
        <w:tabs>
          <w:tab w:val="left" w:pos="360"/>
        </w:tabs>
        <w:snapToGrid w:val="0"/>
        <w:spacing w:line="360" w:lineRule="auto"/>
        <w:ind w:left="357" w:hanging="357"/>
        <w:outlineLvl w:val="1"/>
        <w:rPr>
          <w:rFonts w:hint="eastAsia" w:ascii="宋体" w:hAnsi="宋体" w:eastAsia="宋体" w:cs="宋体"/>
          <w:color w:val="auto"/>
          <w:sz w:val="24"/>
          <w:highlight w:val="none"/>
        </w:rPr>
      </w:pPr>
      <w:bookmarkStart w:id="363" w:name="_Toc151193924"/>
      <w:bookmarkStart w:id="364" w:name="_Toc151193850"/>
      <w:bookmarkStart w:id="365" w:name="_Toc127151536"/>
      <w:bookmarkStart w:id="366" w:name="_Toc164351630"/>
      <w:bookmarkStart w:id="367" w:name="_Toc127151737"/>
      <w:bookmarkStart w:id="368" w:name="_Toc264969226"/>
      <w:bookmarkStart w:id="369" w:name="_Toc151193778"/>
      <w:bookmarkStart w:id="370" w:name="_Toc226965726"/>
      <w:bookmarkStart w:id="371" w:name="_Toc151190163"/>
      <w:bookmarkStart w:id="372" w:name="_Toc150480774"/>
      <w:bookmarkStart w:id="373" w:name="_Toc127161450"/>
      <w:bookmarkStart w:id="374" w:name="_Toc164608650"/>
      <w:bookmarkStart w:id="375" w:name="_Toc305158878"/>
      <w:bookmarkStart w:id="376" w:name="_Toc164608805"/>
      <w:bookmarkStart w:id="377" w:name="_Toc151193634"/>
      <w:bookmarkStart w:id="378" w:name="_Toc150509287"/>
      <w:bookmarkStart w:id="379" w:name="_Toc151193706"/>
      <w:bookmarkStart w:id="380" w:name="_Toc305158804"/>
      <w:bookmarkStart w:id="381" w:name="_Toc226965809"/>
      <w:bookmarkStart w:id="382" w:name="_Toc149720829"/>
      <w:bookmarkStart w:id="383" w:name="_Toc164229231"/>
      <w:bookmarkStart w:id="384" w:name="_Toc265228374"/>
      <w:bookmarkStart w:id="385" w:name="_Toc150774741"/>
      <w:bookmarkStart w:id="386" w:name="_Toc520356161"/>
      <w:bookmarkStart w:id="387" w:name="_Toc142311038"/>
      <w:bookmarkStart w:id="388" w:name="_Toc164229377"/>
      <w:bookmarkStart w:id="389" w:name="_Toc150774636"/>
      <w:bookmarkStart w:id="390" w:name="_Toc226309780"/>
      <w:bookmarkStart w:id="391" w:name="_Toc226337232"/>
      <w:bookmarkStart w:id="392" w:name="_Toc195842901"/>
      <w:r>
        <w:rPr>
          <w:rFonts w:hint="eastAsia" w:ascii="宋体" w:hAnsi="宋体" w:eastAsia="宋体" w:cs="宋体"/>
          <w:color w:val="auto"/>
          <w:sz w:val="24"/>
          <w:highlight w:val="none"/>
        </w:rPr>
        <w:t>响应文件截止</w:t>
      </w:r>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r>
        <w:rPr>
          <w:rFonts w:hint="eastAsia" w:ascii="宋体" w:hAnsi="宋体" w:eastAsia="宋体" w:cs="宋体"/>
          <w:color w:val="auto"/>
          <w:sz w:val="24"/>
          <w:highlight w:val="none"/>
        </w:rPr>
        <w:t>时间</w:t>
      </w:r>
    </w:p>
    <w:p w14:paraId="572F7948">
      <w:pPr>
        <w:numPr>
          <w:ilvl w:val="1"/>
          <w:numId w:val="3"/>
        </w:numPr>
        <w:tabs>
          <w:tab w:val="left" w:pos="1080"/>
          <w:tab w:val="left" w:pos="2014"/>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供应商应在竞争性磋商文件要求响应文件</w:t>
      </w:r>
      <w:r>
        <w:rPr>
          <w:rFonts w:hint="eastAsia" w:ascii="宋体" w:hAnsi="宋体" w:eastAsia="宋体" w:cs="宋体"/>
          <w:color w:val="auto"/>
          <w:sz w:val="24"/>
          <w:highlight w:val="none"/>
          <w:lang w:val="en-US" w:eastAsia="zh-CN"/>
        </w:rPr>
        <w:t>提交</w:t>
      </w:r>
      <w:r>
        <w:rPr>
          <w:rFonts w:hint="eastAsia" w:ascii="宋体" w:hAnsi="宋体" w:eastAsia="宋体" w:cs="宋体"/>
          <w:color w:val="auto"/>
          <w:sz w:val="24"/>
          <w:highlight w:val="none"/>
        </w:rPr>
        <w:t>截止时间前，将电子响应文件提交至</w:t>
      </w:r>
      <w:r>
        <w:rPr>
          <w:rFonts w:hint="eastAsia" w:ascii="宋体" w:hAnsi="宋体" w:eastAsia="宋体" w:cs="宋体"/>
          <w:color w:val="auto"/>
          <w:sz w:val="24"/>
          <w:highlight w:val="none"/>
          <w:lang w:val="en-US" w:eastAsia="zh-CN"/>
        </w:rPr>
        <w:t>电子交易平台</w:t>
      </w:r>
      <w:r>
        <w:rPr>
          <w:rFonts w:hint="eastAsia" w:ascii="宋体" w:hAnsi="宋体" w:eastAsia="宋体" w:cs="宋体"/>
          <w:color w:val="auto"/>
          <w:sz w:val="24"/>
          <w:highlight w:val="none"/>
        </w:rPr>
        <w:t>。</w:t>
      </w:r>
    </w:p>
    <w:p w14:paraId="1289D238">
      <w:pPr>
        <w:numPr>
          <w:ilvl w:val="0"/>
          <w:numId w:val="3"/>
        </w:numPr>
        <w:tabs>
          <w:tab w:val="left" w:pos="360"/>
        </w:tabs>
        <w:snapToGrid w:val="0"/>
        <w:spacing w:line="360" w:lineRule="auto"/>
        <w:ind w:left="357" w:hanging="357"/>
        <w:outlineLvl w:val="1"/>
        <w:rPr>
          <w:rFonts w:hint="eastAsia" w:ascii="宋体" w:hAnsi="宋体" w:eastAsia="宋体" w:cs="宋体"/>
          <w:color w:val="auto"/>
          <w:sz w:val="24"/>
          <w:highlight w:val="none"/>
        </w:rPr>
      </w:pPr>
      <w:bookmarkStart w:id="393" w:name="_Toc265228375"/>
      <w:bookmarkStart w:id="394" w:name="_Toc150774637"/>
      <w:bookmarkStart w:id="395" w:name="_Toc151193779"/>
      <w:bookmarkStart w:id="396" w:name="_Toc226309781"/>
      <w:bookmarkStart w:id="397" w:name="_Toc226337233"/>
      <w:bookmarkStart w:id="398" w:name="_Toc305158805"/>
      <w:bookmarkStart w:id="399" w:name="_Toc151190164"/>
      <w:bookmarkStart w:id="400" w:name="_Toc151193851"/>
      <w:bookmarkStart w:id="401" w:name="_Toc150774742"/>
      <w:bookmarkStart w:id="402" w:name="_Toc264969227"/>
      <w:bookmarkStart w:id="403" w:name="_Toc142311039"/>
      <w:bookmarkStart w:id="404" w:name="_Toc149720830"/>
      <w:bookmarkStart w:id="405" w:name="_Toc164608806"/>
      <w:bookmarkStart w:id="406" w:name="_Toc164229378"/>
      <w:bookmarkStart w:id="407" w:name="_Toc195842902"/>
      <w:bookmarkStart w:id="408" w:name="_Toc150480775"/>
      <w:bookmarkStart w:id="409" w:name="_Toc150509288"/>
      <w:bookmarkStart w:id="410" w:name="_Toc127161451"/>
      <w:bookmarkStart w:id="411" w:name="_Toc151193707"/>
      <w:bookmarkStart w:id="412" w:name="_Toc164229232"/>
      <w:bookmarkStart w:id="413" w:name="_Toc151193925"/>
      <w:bookmarkStart w:id="414" w:name="_Toc226965727"/>
      <w:bookmarkStart w:id="415" w:name="_Toc127151537"/>
      <w:bookmarkStart w:id="416" w:name="_Toc164608651"/>
      <w:bookmarkStart w:id="417" w:name="_Toc164351631"/>
      <w:bookmarkStart w:id="418" w:name="_Toc305158879"/>
      <w:bookmarkStart w:id="419" w:name="_Toc226965810"/>
      <w:bookmarkStart w:id="420" w:name="_Toc127151738"/>
      <w:bookmarkStart w:id="421" w:name="_Toc151193635"/>
      <w:bookmarkStart w:id="422" w:name="_Toc520356162"/>
      <w:r>
        <w:rPr>
          <w:rFonts w:hint="eastAsia" w:ascii="宋体" w:hAnsi="宋体" w:eastAsia="宋体" w:cs="宋体"/>
          <w:color w:val="auto"/>
          <w:sz w:val="24"/>
          <w:highlight w:val="none"/>
        </w:rPr>
        <w:t>响应文件的修改与撤回</w:t>
      </w:r>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p>
    <w:p w14:paraId="67297518">
      <w:pPr>
        <w:numPr>
          <w:ilvl w:val="1"/>
          <w:numId w:val="3"/>
        </w:numPr>
        <w:tabs>
          <w:tab w:val="left" w:pos="1080"/>
          <w:tab w:val="left" w:pos="2014"/>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p>
    <w:p w14:paraId="4ED9CE94">
      <w:pPr>
        <w:numPr>
          <w:ilvl w:val="1"/>
          <w:numId w:val="3"/>
        </w:numPr>
        <w:tabs>
          <w:tab w:val="left" w:pos="1080"/>
          <w:tab w:val="left" w:pos="2014"/>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供应商对响应文件的补充、修改的内容应当按照竞争性磋商文件要求签署、盖章，作为响应文件的组成部分。</w:t>
      </w:r>
      <w:r>
        <w:rPr>
          <w:rFonts w:hint="eastAsia" w:ascii="宋体" w:hAnsi="宋体" w:eastAsia="宋体" w:cs="宋体"/>
          <w:color w:val="auto"/>
          <w:kern w:val="0"/>
          <w:sz w:val="24"/>
          <w:highlight w:val="none"/>
        </w:rPr>
        <w:t>补充、修改的内容与响应文件不一致的，以补充、修改的内容为准。</w:t>
      </w:r>
    </w:p>
    <w:p w14:paraId="40541CAA">
      <w:pPr>
        <w:tabs>
          <w:tab w:val="left" w:pos="900"/>
          <w:tab w:val="left" w:pos="1080"/>
          <w:tab w:val="left" w:pos="1589"/>
        </w:tabs>
        <w:snapToGrid w:val="0"/>
        <w:spacing w:line="360" w:lineRule="auto"/>
        <w:ind w:left="357"/>
        <w:rPr>
          <w:rFonts w:hint="eastAsia" w:ascii="宋体" w:hAnsi="宋体" w:eastAsia="宋体" w:cs="宋体"/>
          <w:color w:val="auto"/>
          <w:sz w:val="24"/>
          <w:highlight w:val="none"/>
        </w:rPr>
      </w:pPr>
    </w:p>
    <w:p w14:paraId="54FFE698">
      <w:pPr>
        <w:pStyle w:val="3"/>
        <w:spacing w:before="0" w:line="360" w:lineRule="auto"/>
        <w:rPr>
          <w:rFonts w:hint="eastAsia" w:ascii="宋体" w:hAnsi="宋体" w:eastAsia="宋体" w:cs="宋体"/>
          <w:color w:val="auto"/>
          <w:sz w:val="28"/>
          <w:highlight w:val="none"/>
        </w:rPr>
      </w:pPr>
      <w:bookmarkStart w:id="423" w:name="_Toc305158806"/>
      <w:bookmarkStart w:id="424" w:name="_Toc226337234"/>
      <w:bookmarkStart w:id="425" w:name="_Toc127151538"/>
      <w:bookmarkStart w:id="426" w:name="_Toc150774638"/>
      <w:bookmarkStart w:id="427" w:name="_Toc151193780"/>
      <w:bookmarkStart w:id="428" w:name="_Toc151193926"/>
      <w:bookmarkStart w:id="429" w:name="_Toc151190165"/>
      <w:bookmarkStart w:id="430" w:name="_Toc305158880"/>
      <w:bookmarkStart w:id="431" w:name="_Toc195842903"/>
      <w:bookmarkStart w:id="432" w:name="_Toc226965811"/>
      <w:bookmarkStart w:id="433" w:name="_Toc226965728"/>
      <w:bookmarkStart w:id="434" w:name="_Toc265228376"/>
      <w:bookmarkStart w:id="435" w:name="_Toc151193852"/>
      <w:bookmarkStart w:id="436" w:name="_Toc150509289"/>
      <w:bookmarkStart w:id="437" w:name="_Toc150774743"/>
      <w:bookmarkStart w:id="438" w:name="_Toc142311040"/>
      <w:bookmarkStart w:id="439" w:name="_Toc226309782"/>
      <w:bookmarkStart w:id="440" w:name="_Toc520356163"/>
      <w:bookmarkStart w:id="441" w:name="_Toc151193708"/>
      <w:bookmarkStart w:id="442" w:name="_Toc150480776"/>
      <w:bookmarkStart w:id="443" w:name="_Toc264969228"/>
      <w:bookmarkStart w:id="444" w:name="_Toc151193636"/>
      <w:r>
        <w:rPr>
          <w:rFonts w:hint="eastAsia" w:ascii="宋体" w:hAnsi="宋体" w:eastAsia="宋体" w:cs="宋体"/>
          <w:color w:val="auto"/>
          <w:sz w:val="28"/>
          <w:highlight w:val="none"/>
        </w:rPr>
        <w:t xml:space="preserve">五   </w:t>
      </w:r>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r>
        <w:rPr>
          <w:rFonts w:hint="eastAsia" w:ascii="宋体" w:hAnsi="宋体" w:eastAsia="宋体" w:cs="宋体"/>
          <w:color w:val="auto"/>
          <w:sz w:val="28"/>
          <w:highlight w:val="none"/>
        </w:rPr>
        <w:t>评审</w:t>
      </w:r>
    </w:p>
    <w:p w14:paraId="7467F77D">
      <w:pPr>
        <w:numPr>
          <w:ilvl w:val="0"/>
          <w:numId w:val="3"/>
        </w:numPr>
        <w:tabs>
          <w:tab w:val="left" w:pos="360"/>
        </w:tabs>
        <w:snapToGrid w:val="0"/>
        <w:spacing w:line="360" w:lineRule="auto"/>
        <w:ind w:left="357" w:hanging="357"/>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响应文件的解密与开启</w:t>
      </w:r>
    </w:p>
    <w:p w14:paraId="2BB2E54A">
      <w:pPr>
        <w:numPr>
          <w:ilvl w:val="1"/>
          <w:numId w:val="3"/>
        </w:numPr>
        <w:tabs>
          <w:tab w:val="left" w:pos="1080"/>
          <w:tab w:val="left" w:pos="2014"/>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采购人或采购代理机构将按竞争性磋商文件的规定，在响应文件提交截止时间的同一时间和竞争性磋商文件预先确定的地点开启响应文件。</w:t>
      </w:r>
    </w:p>
    <w:p w14:paraId="0AE1E931">
      <w:pPr>
        <w:numPr>
          <w:ilvl w:val="1"/>
          <w:numId w:val="3"/>
        </w:numPr>
        <w:tabs>
          <w:tab w:val="left" w:pos="1080"/>
          <w:tab w:val="left" w:pos="2014"/>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本项目解密使用北京市</w:t>
      </w:r>
      <w:r>
        <w:rPr>
          <w:rFonts w:hint="eastAsia" w:ascii="宋体" w:hAnsi="宋体" w:eastAsia="宋体" w:cs="宋体"/>
          <w:color w:val="auto"/>
          <w:sz w:val="24"/>
          <w:highlight w:val="none"/>
          <w:lang w:val="en-US" w:eastAsia="zh-CN"/>
        </w:rPr>
        <w:t>政府采购电子交易平台</w:t>
      </w:r>
      <w:r>
        <w:rPr>
          <w:rFonts w:hint="eastAsia" w:ascii="宋体" w:hAnsi="宋体" w:eastAsia="宋体" w:cs="宋体"/>
          <w:color w:val="auto"/>
          <w:sz w:val="24"/>
          <w:highlight w:val="none"/>
        </w:rPr>
        <w:t>。供应商应在规定的时间内对响应文件进行解密，因非系统原因导致的解密失败，视为</w:t>
      </w:r>
      <w:r>
        <w:rPr>
          <w:rFonts w:hint="eastAsia" w:ascii="宋体" w:hAnsi="宋体" w:eastAsia="宋体" w:cs="宋体"/>
          <w:b/>
          <w:color w:val="auto"/>
          <w:sz w:val="24"/>
          <w:highlight w:val="none"/>
        </w:rPr>
        <w:t>无效</w:t>
      </w:r>
      <w:r>
        <w:rPr>
          <w:rFonts w:hint="eastAsia" w:ascii="宋体" w:hAnsi="宋体" w:eastAsia="宋体" w:cs="宋体"/>
          <w:b/>
          <w:color w:val="auto"/>
          <w:sz w:val="24"/>
          <w:highlight w:val="none"/>
          <w:lang w:val="en-US" w:eastAsia="zh-CN"/>
        </w:rPr>
        <w:t>响应</w:t>
      </w:r>
      <w:r>
        <w:rPr>
          <w:rFonts w:hint="eastAsia" w:ascii="宋体" w:hAnsi="宋体" w:eastAsia="宋体" w:cs="宋体"/>
          <w:color w:val="auto"/>
          <w:sz w:val="24"/>
          <w:highlight w:val="none"/>
        </w:rPr>
        <w:t>。</w:t>
      </w:r>
    </w:p>
    <w:p w14:paraId="4185B4DD">
      <w:pPr>
        <w:numPr>
          <w:ilvl w:val="1"/>
          <w:numId w:val="3"/>
        </w:numPr>
        <w:tabs>
          <w:tab w:val="left" w:pos="1080"/>
          <w:tab w:val="left" w:pos="2014"/>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1CC13BBC">
      <w:pPr>
        <w:numPr>
          <w:ilvl w:val="1"/>
          <w:numId w:val="3"/>
        </w:numPr>
        <w:tabs>
          <w:tab w:val="left" w:pos="1080"/>
          <w:tab w:val="left" w:pos="2014"/>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供应商不足3家的，不予解密。</w:t>
      </w:r>
    </w:p>
    <w:p w14:paraId="669BD983">
      <w:pPr>
        <w:numPr>
          <w:ilvl w:val="1"/>
          <w:numId w:val="3"/>
        </w:numPr>
        <w:tabs>
          <w:tab w:val="left" w:pos="1080"/>
          <w:tab w:val="left" w:pos="2014"/>
        </w:tabs>
        <w:snapToGrid w:val="0"/>
        <w:spacing w:line="360" w:lineRule="auto"/>
        <w:ind w:left="1077" w:hanging="720"/>
        <w:rPr>
          <w:rFonts w:hint="eastAsia" w:ascii="宋体" w:hAnsi="宋体" w:eastAsia="宋体" w:cs="宋体"/>
          <w:color w:val="auto"/>
          <w:sz w:val="24"/>
          <w:highlight w:val="none"/>
        </w:rPr>
      </w:pPr>
      <w:bookmarkStart w:id="445" w:name="_Toc520356165"/>
      <w:r>
        <w:rPr>
          <w:rFonts w:hint="eastAsia" w:ascii="宋体" w:hAnsi="宋体" w:eastAsia="宋体" w:cs="宋体"/>
          <w:color w:val="auto"/>
          <w:sz w:val="24"/>
          <w:highlight w:val="none"/>
        </w:rPr>
        <w:t>本项目不公开报价。</w:t>
      </w:r>
    </w:p>
    <w:bookmarkEnd w:id="445"/>
    <w:p w14:paraId="0016D44F">
      <w:pPr>
        <w:numPr>
          <w:ilvl w:val="0"/>
          <w:numId w:val="3"/>
        </w:numPr>
        <w:tabs>
          <w:tab w:val="left" w:pos="360"/>
        </w:tabs>
        <w:snapToGrid w:val="0"/>
        <w:spacing w:line="360" w:lineRule="auto"/>
        <w:ind w:left="357" w:hanging="357"/>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磋商小组</w:t>
      </w:r>
    </w:p>
    <w:p w14:paraId="7CBC54AD">
      <w:pPr>
        <w:numPr>
          <w:ilvl w:val="1"/>
          <w:numId w:val="3"/>
        </w:numPr>
        <w:tabs>
          <w:tab w:val="left" w:pos="1080"/>
          <w:tab w:val="left" w:pos="2014"/>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磋商小组根据政府采购有关规定和本次采购项目的特点进行组建，并负责具体评审事务，独立履行职责。</w:t>
      </w:r>
      <w:bookmarkStart w:id="446" w:name="_Toc520356166"/>
    </w:p>
    <w:p w14:paraId="3BF86E58">
      <w:pPr>
        <w:numPr>
          <w:ilvl w:val="1"/>
          <w:numId w:val="3"/>
        </w:numPr>
        <w:tabs>
          <w:tab w:val="left" w:pos="1080"/>
          <w:tab w:val="left" w:pos="2014"/>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46"/>
      <w:bookmarkStart w:id="447" w:name="_Toc520356169"/>
    </w:p>
    <w:p w14:paraId="561654AE">
      <w:pPr>
        <w:numPr>
          <w:ilvl w:val="0"/>
          <w:numId w:val="3"/>
        </w:numPr>
        <w:tabs>
          <w:tab w:val="left" w:pos="360"/>
        </w:tabs>
        <w:snapToGrid w:val="0"/>
        <w:spacing w:line="360" w:lineRule="auto"/>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评审方法和评审标准</w:t>
      </w:r>
    </w:p>
    <w:p w14:paraId="0D038C89">
      <w:pPr>
        <w:numPr>
          <w:ilvl w:val="1"/>
          <w:numId w:val="3"/>
        </w:numPr>
        <w:tabs>
          <w:tab w:val="left" w:pos="1080"/>
          <w:tab w:val="left" w:pos="2014"/>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见第三章《评审方法和评审标准》。</w:t>
      </w:r>
    </w:p>
    <w:p w14:paraId="309EB48C">
      <w:pPr>
        <w:tabs>
          <w:tab w:val="left" w:pos="360"/>
          <w:tab w:val="left" w:pos="1080"/>
        </w:tabs>
        <w:snapToGrid w:val="0"/>
        <w:spacing w:line="360" w:lineRule="auto"/>
        <w:ind w:left="1080"/>
        <w:rPr>
          <w:rFonts w:hint="eastAsia" w:ascii="宋体" w:hAnsi="宋体" w:eastAsia="宋体" w:cs="宋体"/>
          <w:color w:val="auto"/>
          <w:sz w:val="24"/>
          <w:highlight w:val="none"/>
        </w:rPr>
      </w:pPr>
    </w:p>
    <w:p w14:paraId="47DD3E63">
      <w:pPr>
        <w:pStyle w:val="3"/>
        <w:spacing w:before="0" w:line="360" w:lineRule="auto"/>
        <w:rPr>
          <w:rFonts w:hint="eastAsia" w:ascii="宋体" w:hAnsi="宋体" w:eastAsia="宋体" w:cs="宋体"/>
          <w:color w:val="auto"/>
          <w:sz w:val="28"/>
          <w:highlight w:val="none"/>
        </w:rPr>
      </w:pPr>
      <w:bookmarkStart w:id="448" w:name="_Toc226965735"/>
      <w:bookmarkStart w:id="449" w:name="_Toc151193933"/>
      <w:bookmarkStart w:id="450" w:name="_Toc226337241"/>
      <w:bookmarkStart w:id="451" w:name="_Toc150480783"/>
      <w:bookmarkStart w:id="452" w:name="_Toc151190172"/>
      <w:bookmarkStart w:id="453" w:name="_Toc151193787"/>
      <w:bookmarkStart w:id="454" w:name="_Toc226965818"/>
      <w:bookmarkStart w:id="455" w:name="_Toc195842910"/>
      <w:bookmarkStart w:id="456" w:name="_Toc150509296"/>
      <w:bookmarkStart w:id="457" w:name="_Toc265228383"/>
      <w:bookmarkStart w:id="458" w:name="_Toc305158887"/>
      <w:bookmarkStart w:id="459" w:name="_Toc151193859"/>
      <w:bookmarkStart w:id="460" w:name="_Toc264969235"/>
      <w:bookmarkStart w:id="461" w:name="_Toc151193643"/>
      <w:bookmarkStart w:id="462" w:name="_Toc142311047"/>
      <w:bookmarkStart w:id="463" w:name="_Toc127151545"/>
      <w:bookmarkStart w:id="464" w:name="_Toc150774645"/>
      <w:bookmarkStart w:id="465" w:name="_Toc226309789"/>
      <w:bookmarkStart w:id="466" w:name="_Toc150774750"/>
      <w:bookmarkStart w:id="467" w:name="_Toc151193715"/>
      <w:bookmarkStart w:id="468" w:name="_Toc305158813"/>
      <w:r>
        <w:rPr>
          <w:rFonts w:hint="eastAsia" w:ascii="宋体" w:hAnsi="宋体" w:eastAsia="宋体" w:cs="宋体"/>
          <w:color w:val="auto"/>
          <w:sz w:val="28"/>
          <w:highlight w:val="none"/>
        </w:rPr>
        <w:t xml:space="preserve">六   </w:t>
      </w:r>
      <w:bookmarkEnd w:id="447"/>
      <w:r>
        <w:rPr>
          <w:rFonts w:hint="eastAsia" w:ascii="宋体" w:hAnsi="宋体" w:eastAsia="宋体" w:cs="宋体"/>
          <w:color w:val="auto"/>
          <w:sz w:val="28"/>
          <w:highlight w:val="none"/>
        </w:rPr>
        <w:t>确定</w:t>
      </w:r>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r>
        <w:rPr>
          <w:rFonts w:hint="eastAsia" w:ascii="宋体" w:hAnsi="宋体" w:eastAsia="宋体" w:cs="宋体"/>
          <w:color w:val="auto"/>
          <w:sz w:val="28"/>
          <w:highlight w:val="none"/>
        </w:rPr>
        <w:t>成交</w:t>
      </w:r>
    </w:p>
    <w:p w14:paraId="3ABBCA1E">
      <w:pPr>
        <w:numPr>
          <w:ilvl w:val="0"/>
          <w:numId w:val="3"/>
        </w:numPr>
        <w:tabs>
          <w:tab w:val="left" w:pos="360"/>
        </w:tabs>
        <w:snapToGrid w:val="0"/>
        <w:spacing w:line="360" w:lineRule="auto"/>
        <w:ind w:left="357" w:hanging="357"/>
        <w:outlineLvl w:val="1"/>
        <w:rPr>
          <w:rFonts w:hint="eastAsia" w:ascii="宋体" w:hAnsi="宋体" w:eastAsia="宋体" w:cs="宋体"/>
          <w:color w:val="auto"/>
          <w:sz w:val="24"/>
          <w:highlight w:val="none"/>
        </w:rPr>
      </w:pPr>
      <w:bookmarkStart w:id="469" w:name="_Toc127151748"/>
      <w:bookmarkStart w:id="470" w:name="_Toc195842912"/>
      <w:bookmarkStart w:id="471" w:name="_Toc164351641"/>
      <w:bookmarkStart w:id="472" w:name="_Toc226309791"/>
      <w:bookmarkStart w:id="473" w:name="_Toc149720840"/>
      <w:bookmarkStart w:id="474" w:name="_Toc151193717"/>
      <w:bookmarkStart w:id="475" w:name="_Toc151193789"/>
      <w:bookmarkStart w:id="476" w:name="_Toc150774752"/>
      <w:bookmarkStart w:id="477" w:name="_Toc150774647"/>
      <w:bookmarkStart w:id="478" w:name="_Toc127151547"/>
      <w:bookmarkStart w:id="479" w:name="_Toc265228385"/>
      <w:bookmarkStart w:id="480" w:name="_Toc151190174"/>
      <w:bookmarkStart w:id="481" w:name="_Toc151193935"/>
      <w:bookmarkStart w:id="482" w:name="_Toc150509298"/>
      <w:bookmarkStart w:id="483" w:name="_Toc142311049"/>
      <w:bookmarkStart w:id="484" w:name="_Toc226965820"/>
      <w:bookmarkStart w:id="485" w:name="_Toc164229242"/>
      <w:bookmarkStart w:id="486" w:name="_Toc164608661"/>
      <w:bookmarkStart w:id="487" w:name="_Toc164229388"/>
      <w:bookmarkStart w:id="488" w:name="_Toc305158889"/>
      <w:bookmarkStart w:id="489" w:name="_Toc151193645"/>
      <w:bookmarkStart w:id="490" w:name="_Toc150480785"/>
      <w:bookmarkStart w:id="491" w:name="_Toc226965737"/>
      <w:bookmarkStart w:id="492" w:name="_Toc305158815"/>
      <w:bookmarkStart w:id="493" w:name="_Toc127161461"/>
      <w:bookmarkStart w:id="494" w:name="_Toc226337243"/>
      <w:bookmarkStart w:id="495" w:name="_Toc164608816"/>
      <w:bookmarkStart w:id="496" w:name="_Toc151193861"/>
      <w:bookmarkStart w:id="497" w:name="_Toc264969237"/>
      <w:r>
        <w:rPr>
          <w:rFonts w:hint="eastAsia" w:ascii="宋体" w:hAnsi="宋体" w:eastAsia="宋体" w:cs="宋体"/>
          <w:color w:val="auto"/>
          <w:sz w:val="24"/>
          <w:highlight w:val="none"/>
        </w:rPr>
        <w:t>确定成交供应商</w:t>
      </w:r>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p>
    <w:p w14:paraId="224F5942">
      <w:pPr>
        <w:numPr>
          <w:ilvl w:val="1"/>
          <w:numId w:val="3"/>
        </w:numPr>
        <w:tabs>
          <w:tab w:val="left" w:pos="1080"/>
          <w:tab w:val="left" w:pos="2014"/>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14:paraId="2A09ADE4">
      <w:pPr>
        <w:numPr>
          <w:ilvl w:val="0"/>
          <w:numId w:val="3"/>
        </w:numPr>
        <w:tabs>
          <w:tab w:val="left" w:pos="360"/>
        </w:tabs>
        <w:snapToGrid w:val="0"/>
        <w:spacing w:line="360" w:lineRule="auto"/>
        <w:ind w:left="357" w:hanging="357"/>
        <w:outlineLvl w:val="1"/>
        <w:rPr>
          <w:rFonts w:hint="eastAsia" w:ascii="宋体" w:hAnsi="宋体" w:eastAsia="宋体" w:cs="宋体"/>
          <w:color w:val="auto"/>
          <w:sz w:val="24"/>
          <w:highlight w:val="none"/>
        </w:rPr>
      </w:pPr>
      <w:bookmarkStart w:id="498" w:name="_Toc305158817"/>
      <w:bookmarkStart w:id="499" w:name="_Toc305158891"/>
      <w:bookmarkStart w:id="500" w:name="_Toc127151549"/>
      <w:bookmarkStart w:id="501" w:name="_Toc164351643"/>
      <w:bookmarkStart w:id="502" w:name="_Toc150774754"/>
      <w:bookmarkStart w:id="503" w:name="_Toc226337245"/>
      <w:bookmarkStart w:id="504" w:name="_Toc142311051"/>
      <w:bookmarkStart w:id="505" w:name="_Toc151193863"/>
      <w:bookmarkStart w:id="506" w:name="_Toc151193647"/>
      <w:bookmarkStart w:id="507" w:name="_Toc164608818"/>
      <w:bookmarkStart w:id="508" w:name="_Toc127151750"/>
      <w:bookmarkStart w:id="509" w:name="_Toc151190176"/>
      <w:bookmarkStart w:id="510" w:name="_Toc264969239"/>
      <w:bookmarkStart w:id="511" w:name="_Toc151193791"/>
      <w:bookmarkStart w:id="512" w:name="_Toc226309793"/>
      <w:bookmarkStart w:id="513" w:name="_Toc164229244"/>
      <w:bookmarkStart w:id="514" w:name="_Toc226965822"/>
      <w:bookmarkStart w:id="515" w:name="_Toc164608663"/>
      <w:bookmarkStart w:id="516" w:name="_Toc150480787"/>
      <w:bookmarkStart w:id="517" w:name="_Toc151193937"/>
      <w:bookmarkStart w:id="518" w:name="_Toc150509300"/>
      <w:bookmarkStart w:id="519" w:name="_Toc265228387"/>
      <w:bookmarkStart w:id="520" w:name="_Toc151193719"/>
      <w:bookmarkStart w:id="521" w:name="_Toc226965739"/>
      <w:bookmarkStart w:id="522" w:name="_Toc127161463"/>
      <w:bookmarkStart w:id="523" w:name="_Toc195842914"/>
      <w:bookmarkStart w:id="524" w:name="_Toc150774649"/>
      <w:bookmarkStart w:id="525" w:name="_Toc164229390"/>
      <w:bookmarkStart w:id="526" w:name="_Toc149720842"/>
      <w:bookmarkStart w:id="527" w:name="_Ref467306425"/>
      <w:bookmarkStart w:id="528" w:name="_Ref467307090"/>
      <w:bookmarkStart w:id="529" w:name="_Toc520356176"/>
      <w:r>
        <w:rPr>
          <w:rFonts w:hint="eastAsia" w:ascii="宋体" w:hAnsi="宋体" w:eastAsia="宋体" w:cs="宋体"/>
          <w:color w:val="auto"/>
          <w:sz w:val="24"/>
          <w:highlight w:val="none"/>
        </w:rPr>
        <w:t>成交公告与成交通知书</w:t>
      </w:r>
      <w:bookmarkEnd w:id="498"/>
      <w:bookmarkEnd w:id="499"/>
    </w:p>
    <w:p w14:paraId="753667D0">
      <w:pPr>
        <w:numPr>
          <w:ilvl w:val="1"/>
          <w:numId w:val="3"/>
        </w:numPr>
        <w:tabs>
          <w:tab w:val="left" w:pos="1080"/>
          <w:tab w:val="left" w:pos="2014"/>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采购人或采购代理机构将</w:t>
      </w:r>
      <w:r>
        <w:rPr>
          <w:rFonts w:hint="eastAsia" w:ascii="宋体" w:hAnsi="宋体" w:eastAsia="宋体" w:cs="宋体"/>
          <w:color w:val="auto"/>
          <w:kern w:val="0"/>
          <w:sz w:val="24"/>
          <w:highlight w:val="none"/>
        </w:rPr>
        <w:t>在成交供应商确定后2个工作日内，在</w:t>
      </w:r>
      <w:r>
        <w:rPr>
          <w:rFonts w:hint="eastAsia" w:ascii="宋体" w:hAnsi="宋体" w:eastAsia="宋体" w:cs="宋体"/>
          <w:color w:val="auto"/>
          <w:sz w:val="24"/>
          <w:highlight w:val="none"/>
        </w:rPr>
        <w:t>北京市政府采购网</w:t>
      </w:r>
      <w:r>
        <w:rPr>
          <w:rFonts w:hint="eastAsia" w:ascii="宋体" w:hAnsi="宋体" w:eastAsia="宋体" w:cs="宋体"/>
          <w:color w:val="auto"/>
          <w:kern w:val="0"/>
          <w:sz w:val="24"/>
          <w:highlight w:val="none"/>
        </w:rPr>
        <w:t>公告成交结果，同时向成交供应商发出成交通知书，</w:t>
      </w:r>
      <w:r>
        <w:rPr>
          <w:rFonts w:hint="eastAsia" w:ascii="宋体" w:hAnsi="宋体" w:eastAsia="宋体" w:cs="宋体"/>
          <w:color w:val="auto"/>
          <w:sz w:val="24"/>
          <w:highlight w:val="none"/>
        </w:rPr>
        <w:t>成交公告期限为1个工作日。</w:t>
      </w:r>
    </w:p>
    <w:p w14:paraId="4562FD86">
      <w:pPr>
        <w:numPr>
          <w:ilvl w:val="1"/>
          <w:numId w:val="3"/>
        </w:numPr>
        <w:tabs>
          <w:tab w:val="left" w:pos="1080"/>
          <w:tab w:val="left" w:pos="2014"/>
        </w:tabs>
        <w:snapToGrid w:val="0"/>
        <w:spacing w:line="360" w:lineRule="auto"/>
        <w:ind w:left="108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成交通知书</w:t>
      </w:r>
      <w:r>
        <w:rPr>
          <w:rFonts w:hint="eastAsia" w:ascii="宋体" w:hAnsi="宋体" w:eastAsia="宋体" w:cs="宋体"/>
          <w:color w:val="auto"/>
          <w:sz w:val="24"/>
          <w:highlight w:val="none"/>
          <w:lang w:val="en-US" w:eastAsia="zh-CN"/>
        </w:rPr>
        <w:t>对采购人和成交供应商均具有法律效力。</w:t>
      </w:r>
      <w:r>
        <w:rPr>
          <w:rFonts w:hint="eastAsia" w:ascii="宋体" w:hAnsi="宋体" w:eastAsia="宋体" w:cs="宋体"/>
          <w:color w:val="auto"/>
          <w:sz w:val="24"/>
          <w:highlight w:val="none"/>
        </w:rPr>
        <w:t>成交通知书发出后，采购人改变成交结果的，或者成交供应商放弃成交项目的，将依法承担法律责任。</w:t>
      </w:r>
    </w:p>
    <w:p w14:paraId="46629D1E">
      <w:pPr>
        <w:numPr>
          <w:ilvl w:val="0"/>
          <w:numId w:val="3"/>
        </w:numPr>
        <w:tabs>
          <w:tab w:val="left" w:pos="360"/>
        </w:tabs>
        <w:snapToGrid w:val="0"/>
        <w:spacing w:line="360" w:lineRule="auto"/>
        <w:ind w:left="357" w:hanging="357"/>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终止</w:t>
      </w:r>
    </w:p>
    <w:p w14:paraId="68269188">
      <w:pPr>
        <w:numPr>
          <w:ilvl w:val="1"/>
          <w:numId w:val="3"/>
        </w:numPr>
        <w:tabs>
          <w:tab w:val="left" w:pos="1080"/>
          <w:tab w:val="left" w:pos="2014"/>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出现下列情形之一的，采购人或采购代理机构将终止竞争性磋商采购活动，发布项目终止公告并说明原因，重新开展采购活动：</w:t>
      </w:r>
    </w:p>
    <w:p w14:paraId="3EDB0D24">
      <w:pPr>
        <w:numPr>
          <w:ilvl w:val="2"/>
          <w:numId w:val="3"/>
        </w:numPr>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因情况变化，不再符合规定的竞争性磋商采购方式适用情形的；</w:t>
      </w:r>
    </w:p>
    <w:p w14:paraId="503716B2">
      <w:pPr>
        <w:numPr>
          <w:ilvl w:val="2"/>
          <w:numId w:val="3"/>
        </w:numPr>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出现影响采购公正的违法、违规行为的；</w:t>
      </w:r>
    </w:p>
    <w:p w14:paraId="25CDF67B">
      <w:pPr>
        <w:numPr>
          <w:ilvl w:val="2"/>
          <w:numId w:val="3"/>
        </w:numPr>
        <w:snapToGrid w:val="0"/>
        <w:spacing w:line="360" w:lineRule="auto"/>
        <w:rPr>
          <w:rFonts w:hint="eastAsia" w:ascii="宋体" w:hAnsi="宋体" w:eastAsia="宋体" w:cs="宋体"/>
          <w:color w:val="auto"/>
          <w:sz w:val="24"/>
          <w:highlight w:val="none"/>
        </w:rPr>
      </w:pPr>
      <w:r>
        <w:rPr>
          <w:rFonts w:hint="eastAsia" w:ascii="宋体" w:hAnsi="宋体" w:eastAsia="宋体" w:cs="宋体"/>
          <w:snapToGrid w:val="0"/>
          <w:color w:val="auto"/>
          <w:kern w:val="0"/>
          <w:sz w:val="24"/>
          <w:szCs w:val="20"/>
          <w:highlight w:val="none"/>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p w14:paraId="55FBABB8">
      <w:pPr>
        <w:numPr>
          <w:ilvl w:val="0"/>
          <w:numId w:val="3"/>
        </w:numPr>
        <w:tabs>
          <w:tab w:val="left" w:pos="360"/>
        </w:tabs>
        <w:snapToGrid w:val="0"/>
        <w:spacing w:line="360" w:lineRule="auto"/>
        <w:ind w:left="357" w:hanging="357"/>
        <w:outlineLvl w:val="1"/>
        <w:rPr>
          <w:rFonts w:hint="eastAsia" w:ascii="宋体" w:hAnsi="宋体" w:eastAsia="宋体" w:cs="宋体"/>
          <w:color w:val="auto"/>
          <w:sz w:val="24"/>
          <w:highlight w:val="none"/>
        </w:rPr>
      </w:pPr>
      <w:bookmarkStart w:id="530" w:name="_Ref467307062"/>
      <w:bookmarkStart w:id="531" w:name="_Toc164608664"/>
      <w:bookmarkStart w:id="532" w:name="_Toc150774755"/>
      <w:bookmarkStart w:id="533" w:name="_Toc142311052"/>
      <w:bookmarkStart w:id="534" w:name="_Ref467307204"/>
      <w:bookmarkStart w:id="535" w:name="_Toc127151550"/>
      <w:bookmarkStart w:id="536" w:name="_Toc305158818"/>
      <w:bookmarkStart w:id="537" w:name="_Toc151193648"/>
      <w:bookmarkStart w:id="538" w:name="_Ref467306377"/>
      <w:bookmarkStart w:id="539" w:name="_Toc151193938"/>
      <w:bookmarkStart w:id="540" w:name="_Toc226965823"/>
      <w:bookmarkStart w:id="541" w:name="_Toc164351644"/>
      <w:bookmarkStart w:id="542" w:name="_Toc127161464"/>
      <w:bookmarkStart w:id="543" w:name="_Toc150509301"/>
      <w:bookmarkStart w:id="544" w:name="_Toc127151751"/>
      <w:bookmarkStart w:id="545" w:name="_Toc265228388"/>
      <w:bookmarkStart w:id="546" w:name="_Toc151193720"/>
      <w:bookmarkStart w:id="547" w:name="_Toc150774650"/>
      <w:bookmarkStart w:id="548" w:name="_Toc151190177"/>
      <w:bookmarkStart w:id="549" w:name="_Toc150480788"/>
      <w:bookmarkStart w:id="550" w:name="_Toc226965740"/>
      <w:bookmarkStart w:id="551" w:name="_Toc164229245"/>
      <w:bookmarkStart w:id="552" w:name="_Toc151193792"/>
      <w:bookmarkStart w:id="553" w:name="_Toc195842915"/>
      <w:bookmarkStart w:id="554" w:name="_Ref467306978"/>
      <w:bookmarkStart w:id="555" w:name="_Toc151193864"/>
      <w:bookmarkStart w:id="556" w:name="_Toc164608819"/>
      <w:bookmarkStart w:id="557" w:name="_Toc520356175"/>
      <w:bookmarkStart w:id="558" w:name="_Toc226309794"/>
      <w:bookmarkStart w:id="559" w:name="_Toc264969240"/>
      <w:bookmarkStart w:id="560" w:name="_Toc164229391"/>
      <w:bookmarkStart w:id="561" w:name="_Toc226337246"/>
      <w:bookmarkStart w:id="562" w:name="_Toc305158892"/>
      <w:bookmarkStart w:id="563" w:name="_Toc149720843"/>
      <w:r>
        <w:rPr>
          <w:rFonts w:hint="eastAsia" w:ascii="宋体" w:hAnsi="宋体" w:eastAsia="宋体" w:cs="宋体"/>
          <w:color w:val="auto"/>
          <w:sz w:val="24"/>
          <w:highlight w:val="none"/>
        </w:rPr>
        <w:t>签订合同</w:t>
      </w:r>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p>
    <w:p w14:paraId="09C9F3FD">
      <w:pPr>
        <w:numPr>
          <w:ilvl w:val="1"/>
          <w:numId w:val="3"/>
        </w:numPr>
        <w:tabs>
          <w:tab w:val="left" w:pos="1080"/>
          <w:tab w:val="left" w:pos="2014"/>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采购人与成交供应商将在成交通知书发出之日起30日内，按照磋商文件确定的合同文本以及采购标的、规格型号、采购金额、采购数量、技术和服务要求等事项签订政府采购合同。</w:t>
      </w:r>
    </w:p>
    <w:p w14:paraId="2DEC0D90">
      <w:pPr>
        <w:numPr>
          <w:ilvl w:val="1"/>
          <w:numId w:val="3"/>
        </w:numPr>
        <w:tabs>
          <w:tab w:val="left" w:pos="1080"/>
          <w:tab w:val="left" w:pos="2014"/>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49256B76">
      <w:pPr>
        <w:numPr>
          <w:ilvl w:val="1"/>
          <w:numId w:val="3"/>
        </w:numPr>
        <w:tabs>
          <w:tab w:val="left" w:pos="1080"/>
          <w:tab w:val="left" w:pos="2014"/>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联合体成交资格的，联合体各方应当共同与采购人签订合同，就</w:t>
      </w:r>
      <w:r>
        <w:rPr>
          <w:rFonts w:hint="eastAsia" w:ascii="宋体" w:hAnsi="宋体" w:eastAsia="宋体" w:cs="宋体"/>
          <w:color w:val="auto"/>
          <w:sz w:val="24"/>
          <w:highlight w:val="none"/>
          <w:lang w:val="en-US" w:eastAsia="zh-CN"/>
        </w:rPr>
        <w:t>采购合同约定的事项</w:t>
      </w:r>
      <w:r>
        <w:rPr>
          <w:rFonts w:hint="eastAsia" w:ascii="宋体" w:hAnsi="宋体" w:eastAsia="宋体" w:cs="宋体"/>
          <w:color w:val="auto"/>
          <w:sz w:val="24"/>
          <w:highlight w:val="none"/>
        </w:rPr>
        <w:t>向采购人承担连带责任。</w:t>
      </w:r>
    </w:p>
    <w:p w14:paraId="3D500AB4">
      <w:pPr>
        <w:numPr>
          <w:ilvl w:val="1"/>
          <w:numId w:val="3"/>
        </w:numPr>
        <w:tabs>
          <w:tab w:val="left" w:pos="1080"/>
          <w:tab w:val="left" w:pos="2014"/>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政府采购合同不能转包。</w:t>
      </w:r>
    </w:p>
    <w:p w14:paraId="512F8D3D">
      <w:pPr>
        <w:numPr>
          <w:ilvl w:val="1"/>
          <w:numId w:val="3"/>
        </w:numPr>
        <w:tabs>
          <w:tab w:val="left" w:pos="1080"/>
          <w:tab w:val="left" w:pos="2014"/>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eastAsia="宋体" w:cs="宋体"/>
          <w:b/>
          <w:color w:val="auto"/>
          <w:sz w:val="24"/>
          <w:highlight w:val="none"/>
        </w:rPr>
        <w:t>否则响应无效</w:t>
      </w:r>
      <w:r>
        <w:rPr>
          <w:rFonts w:hint="eastAsia" w:ascii="宋体" w:hAnsi="宋体" w:eastAsia="宋体" w:cs="宋体"/>
          <w:color w:val="auto"/>
          <w:sz w:val="24"/>
          <w:highlight w:val="none"/>
        </w:rPr>
        <w:t>。成交供应商就采购项目和分包项目向采购人负责，分包供应商就分包项目承担责任。</w:t>
      </w:r>
    </w:p>
    <w:bookmarkEnd w:id="527"/>
    <w:bookmarkEnd w:id="528"/>
    <w:bookmarkEnd w:id="529"/>
    <w:p w14:paraId="664A88CD">
      <w:pPr>
        <w:numPr>
          <w:ilvl w:val="0"/>
          <w:numId w:val="3"/>
        </w:numPr>
        <w:tabs>
          <w:tab w:val="left" w:pos="360"/>
        </w:tabs>
        <w:snapToGrid w:val="0"/>
        <w:spacing w:line="360" w:lineRule="auto"/>
        <w:ind w:left="357" w:hanging="357"/>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询问与质疑</w:t>
      </w:r>
    </w:p>
    <w:p w14:paraId="2F299202">
      <w:pPr>
        <w:numPr>
          <w:ilvl w:val="1"/>
          <w:numId w:val="3"/>
        </w:numPr>
        <w:tabs>
          <w:tab w:val="left" w:pos="1080"/>
          <w:tab w:val="left" w:pos="2014"/>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询问</w:t>
      </w:r>
    </w:p>
    <w:p w14:paraId="54AE3ED8">
      <w:pPr>
        <w:numPr>
          <w:ilvl w:val="2"/>
          <w:numId w:val="3"/>
        </w:numPr>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供应商对政府采购活动事项有疑问的，可依法提出询问，并按《供应商须知资料表》载明的形式送达采购人或采购代理机构。</w:t>
      </w:r>
    </w:p>
    <w:p w14:paraId="6586998D">
      <w:pPr>
        <w:numPr>
          <w:ilvl w:val="2"/>
          <w:numId w:val="3"/>
        </w:numPr>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采购人或采购代理机构对供应商依法提出的询问，在3个工作日内作出答复，但答复的内容不得涉及商业秘密。</w:t>
      </w:r>
    </w:p>
    <w:p w14:paraId="15565097">
      <w:pPr>
        <w:numPr>
          <w:ilvl w:val="1"/>
          <w:numId w:val="3"/>
        </w:numPr>
        <w:tabs>
          <w:tab w:val="left" w:pos="1080"/>
          <w:tab w:val="left" w:pos="2014"/>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质疑</w:t>
      </w:r>
    </w:p>
    <w:p w14:paraId="16A765C6">
      <w:pPr>
        <w:numPr>
          <w:ilvl w:val="2"/>
          <w:numId w:val="3"/>
        </w:numPr>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供应商认为竞争性磋商文件、采购过程、成交结果使自己的权益受到损害的，可以在知道或者应知其权益受到损害之日起 7 个工作日内，以书面形式向采购人、采购代理机构</w:t>
      </w:r>
      <w:r>
        <w:rPr>
          <w:rFonts w:hint="eastAsia" w:ascii="宋体" w:hAnsi="宋体" w:eastAsia="宋体" w:cs="宋体"/>
          <w:color w:val="auto"/>
          <w:sz w:val="24"/>
          <w:highlight w:val="none"/>
          <w:lang w:eastAsia="zh-CN"/>
        </w:rPr>
        <w:t>提</w:t>
      </w:r>
      <w:r>
        <w:rPr>
          <w:rFonts w:hint="eastAsia" w:ascii="宋体" w:hAnsi="宋体" w:eastAsia="宋体" w:cs="宋体"/>
          <w:color w:val="auto"/>
          <w:sz w:val="24"/>
          <w:highlight w:val="none"/>
        </w:rPr>
        <w:t>出质疑。采购人、采购代理机构在收到质疑函后 7 个工作日内作出答复。</w:t>
      </w:r>
    </w:p>
    <w:p w14:paraId="4016A85A">
      <w:pPr>
        <w:numPr>
          <w:ilvl w:val="2"/>
          <w:numId w:val="3"/>
        </w:numPr>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质疑函须使用财政部制定的范本文件。供应商为自然人的，质疑函应当由本人签字；供应商为法人或者其他组织的，质疑函应当由法定代表人、主要负责人，或者其授权代表签字或者盖章，并加盖公章。</w:t>
      </w:r>
    </w:p>
    <w:p w14:paraId="3C8ED8BE">
      <w:pPr>
        <w:numPr>
          <w:ilvl w:val="2"/>
          <w:numId w:val="3"/>
        </w:numPr>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供应商委托代理人进行质疑的，应当随质疑函同时</w:t>
      </w:r>
      <w:r>
        <w:rPr>
          <w:rFonts w:hint="eastAsia" w:ascii="宋体" w:hAnsi="宋体" w:eastAsia="宋体" w:cs="宋体"/>
          <w:color w:val="auto"/>
          <w:sz w:val="24"/>
          <w:highlight w:val="none"/>
          <w:lang w:eastAsia="zh-CN"/>
        </w:rPr>
        <w:t>提</w:t>
      </w:r>
      <w:r>
        <w:rPr>
          <w:rFonts w:hint="eastAsia" w:ascii="宋体" w:hAnsi="宋体" w:eastAsia="宋体" w:cs="宋体"/>
          <w:color w:val="auto"/>
          <w:sz w:val="24"/>
          <w:highlight w:val="none"/>
        </w:rPr>
        <w:t>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2B9D7D27">
      <w:pPr>
        <w:numPr>
          <w:ilvl w:val="2"/>
          <w:numId w:val="3"/>
        </w:numPr>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供应商应在法定质疑期内一次性提出针对同一采购程序环节的质疑，法定质疑期内针对同一采购程序环节再次提出的质疑，采购人、采购代理机构有权不予答复。</w:t>
      </w:r>
    </w:p>
    <w:p w14:paraId="1CDEE44B">
      <w:pPr>
        <w:numPr>
          <w:ilvl w:val="1"/>
          <w:numId w:val="3"/>
        </w:numPr>
        <w:tabs>
          <w:tab w:val="left" w:pos="1080"/>
          <w:tab w:val="left" w:pos="2014"/>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接收询问和质疑的联系部门、联系电话和通讯地址见《供应商须知资料表》。</w:t>
      </w:r>
    </w:p>
    <w:p w14:paraId="163E10CA">
      <w:pPr>
        <w:numPr>
          <w:ilvl w:val="0"/>
          <w:numId w:val="3"/>
        </w:numPr>
        <w:tabs>
          <w:tab w:val="left" w:pos="360"/>
        </w:tabs>
        <w:snapToGrid w:val="0"/>
        <w:spacing w:line="360" w:lineRule="auto"/>
        <w:ind w:left="357" w:hanging="357"/>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代理费</w:t>
      </w:r>
    </w:p>
    <w:p w14:paraId="3D051FA6">
      <w:pPr>
        <w:numPr>
          <w:ilvl w:val="1"/>
          <w:numId w:val="3"/>
        </w:numPr>
        <w:tabs>
          <w:tab w:val="left" w:pos="1080"/>
          <w:tab w:val="left" w:pos="2014"/>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收费对象、收费标准及缴纳时间见《供应商须知资料表》。由成交供应商支付的，成交供应商须一次性向采购代理机构缴纳代理费，报价应包含代理费用。</w:t>
      </w:r>
    </w:p>
    <w:p w14:paraId="350A2988">
      <w:pPr>
        <w:tabs>
          <w:tab w:val="left" w:pos="360"/>
          <w:tab w:val="left" w:pos="1080"/>
        </w:tabs>
        <w:snapToGrid w:val="0"/>
        <w:spacing w:line="360" w:lineRule="auto"/>
        <w:ind w:left="360"/>
        <w:rPr>
          <w:rFonts w:hint="eastAsia" w:ascii="宋体" w:hAnsi="宋体" w:eastAsia="宋体" w:cs="宋体"/>
          <w:color w:val="auto"/>
          <w:sz w:val="24"/>
          <w:highlight w:val="none"/>
        </w:rPr>
      </w:pPr>
    </w:p>
    <w:p w14:paraId="603317E9">
      <w:pPr>
        <w:spacing w:line="360" w:lineRule="auto"/>
        <w:jc w:val="center"/>
        <w:outlineLvl w:val="0"/>
        <w:rPr>
          <w:rFonts w:hint="eastAsia" w:ascii="宋体" w:hAnsi="宋体" w:eastAsia="宋体" w:cs="宋体"/>
          <w:b/>
          <w:color w:val="auto"/>
          <w:sz w:val="36"/>
          <w:szCs w:val="36"/>
          <w:highlight w:val="none"/>
        </w:rPr>
      </w:pPr>
      <w:bookmarkStart w:id="564" w:name="_Toc353873934"/>
      <w:bookmarkStart w:id="565" w:name="_Toc305158896"/>
      <w:bookmarkStart w:id="566" w:name="_Toc353825544"/>
      <w:bookmarkStart w:id="567" w:name="_Toc226965827"/>
      <w:bookmarkStart w:id="568" w:name="_Toc150480792"/>
      <w:bookmarkStart w:id="569" w:name="_Toc142311056"/>
      <w:bookmarkStart w:id="570" w:name="_Toc305158822"/>
      <w:bookmarkStart w:id="571" w:name="_Toc264969244"/>
      <w:bookmarkStart w:id="572" w:name="_Toc226337250"/>
      <w:bookmarkStart w:id="573" w:name="_Toc353873664"/>
      <w:bookmarkStart w:id="574" w:name="_Toc265228392"/>
      <w:bookmarkStart w:id="575" w:name="_Toc150774759"/>
      <w:bookmarkStart w:id="576" w:name="_Toc127151554"/>
      <w:r>
        <w:rPr>
          <w:rFonts w:hint="eastAsia" w:ascii="宋体" w:hAnsi="宋体" w:eastAsia="宋体" w:cs="宋体"/>
          <w:color w:val="auto"/>
          <w:sz w:val="24"/>
          <w:highlight w:val="none"/>
        </w:rPr>
        <w:br w:type="page"/>
      </w:r>
      <w:bookmarkStart w:id="577" w:name="_Toc13935"/>
      <w:bookmarkStart w:id="578" w:name="_Toc97371943"/>
      <w:r>
        <w:rPr>
          <w:rFonts w:hint="eastAsia" w:ascii="宋体" w:hAnsi="宋体" w:eastAsia="宋体" w:cs="宋体"/>
          <w:b/>
          <w:color w:val="auto"/>
          <w:sz w:val="36"/>
          <w:szCs w:val="36"/>
          <w:highlight w:val="none"/>
        </w:rPr>
        <w:t xml:space="preserve">第三章   </w:t>
      </w:r>
      <w:bookmarkEnd w:id="564"/>
      <w:bookmarkEnd w:id="565"/>
      <w:bookmarkEnd w:id="566"/>
      <w:bookmarkEnd w:id="567"/>
      <w:bookmarkEnd w:id="568"/>
      <w:bookmarkEnd w:id="569"/>
      <w:bookmarkEnd w:id="570"/>
      <w:bookmarkEnd w:id="571"/>
      <w:bookmarkEnd w:id="572"/>
      <w:bookmarkEnd w:id="573"/>
      <w:bookmarkEnd w:id="574"/>
      <w:bookmarkEnd w:id="575"/>
      <w:bookmarkEnd w:id="576"/>
      <w:r>
        <w:rPr>
          <w:rFonts w:hint="eastAsia" w:ascii="宋体" w:hAnsi="宋体" w:eastAsia="宋体" w:cs="宋体"/>
          <w:b/>
          <w:color w:val="auto"/>
          <w:sz w:val="36"/>
          <w:szCs w:val="36"/>
          <w:highlight w:val="none"/>
        </w:rPr>
        <w:t>评审方法和评审标准</w:t>
      </w:r>
      <w:bookmarkEnd w:id="577"/>
      <w:bookmarkEnd w:id="578"/>
      <w:bookmarkStart w:id="579" w:name="_Toc487900382"/>
    </w:p>
    <w:p w14:paraId="69579201">
      <w:pPr>
        <w:pStyle w:val="3"/>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一、资格审查程序</w:t>
      </w:r>
    </w:p>
    <w:p w14:paraId="32899B27">
      <w:pPr>
        <w:tabs>
          <w:tab w:val="left" w:pos="1080"/>
        </w:tabs>
        <w:snapToGrid w:val="0"/>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ab/>
      </w:r>
    </w:p>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579"/>
    <w:p w14:paraId="222DD6CD">
      <w:pPr>
        <w:numPr>
          <w:ilvl w:val="0"/>
          <w:numId w:val="6"/>
        </w:numPr>
        <w:tabs>
          <w:tab w:val="left" w:pos="360"/>
        </w:tabs>
        <w:snapToGrid w:val="0"/>
        <w:spacing w:line="360" w:lineRule="auto"/>
        <w:outlineLvl w:val="1"/>
        <w:rPr>
          <w:rFonts w:hint="eastAsia" w:ascii="宋体" w:hAnsi="宋体" w:eastAsia="宋体" w:cs="宋体"/>
          <w:color w:val="auto"/>
          <w:sz w:val="24"/>
          <w:highlight w:val="none"/>
        </w:rPr>
      </w:pPr>
      <w:bookmarkStart w:id="580" w:name="_Toc226965731"/>
      <w:bookmarkStart w:id="581" w:name="_Toc127151541"/>
      <w:bookmarkStart w:id="582" w:name="_Toc142311043"/>
      <w:bookmarkStart w:id="583" w:name="_Toc305158883"/>
      <w:bookmarkStart w:id="584" w:name="_Toc150774641"/>
      <w:bookmarkStart w:id="585" w:name="_Toc150480779"/>
      <w:bookmarkStart w:id="586" w:name="_Toc164351635"/>
      <w:bookmarkStart w:id="587" w:name="_Toc164608655"/>
      <w:bookmarkStart w:id="588" w:name="_Toc149720834"/>
      <w:bookmarkStart w:id="589" w:name="_Toc151193711"/>
      <w:bookmarkStart w:id="590" w:name="_Toc151193855"/>
      <w:bookmarkStart w:id="591" w:name="_Toc264969231"/>
      <w:bookmarkStart w:id="592" w:name="_Toc151190168"/>
      <w:bookmarkStart w:id="593" w:name="_Toc127161455"/>
      <w:bookmarkStart w:id="594" w:name="_Toc265228379"/>
      <w:bookmarkStart w:id="595" w:name="_Toc150509292"/>
      <w:bookmarkStart w:id="596" w:name="_Toc151193929"/>
      <w:bookmarkStart w:id="597" w:name="_Toc226965814"/>
      <w:bookmarkStart w:id="598" w:name="_Toc226309785"/>
      <w:bookmarkStart w:id="599" w:name="_Toc150774746"/>
      <w:bookmarkStart w:id="600" w:name="_Toc195842906"/>
      <w:bookmarkStart w:id="601" w:name="_Toc164229382"/>
      <w:bookmarkStart w:id="602" w:name="_Toc151193639"/>
      <w:bookmarkStart w:id="603" w:name="_Toc164608810"/>
      <w:bookmarkStart w:id="604" w:name="_Toc127151742"/>
      <w:bookmarkStart w:id="605" w:name="_Toc151193783"/>
      <w:bookmarkStart w:id="606" w:name="_Toc226337237"/>
      <w:bookmarkStart w:id="607" w:name="_Toc305158809"/>
      <w:bookmarkStart w:id="608" w:name="_Toc164229236"/>
      <w:bookmarkStart w:id="609" w:name="_Toc353825551"/>
      <w:bookmarkStart w:id="610" w:name="_Toc353873941"/>
      <w:bookmarkStart w:id="611" w:name="_Toc150774760"/>
      <w:bookmarkStart w:id="612" w:name="_Toc195842920"/>
      <w:bookmarkStart w:id="613" w:name="_Toc142311057"/>
      <w:bookmarkStart w:id="614" w:name="_Toc353873665"/>
      <w:bookmarkStart w:id="615" w:name="_Toc353873935"/>
      <w:bookmarkStart w:id="616" w:name="_Toc150480793"/>
      <w:bookmarkStart w:id="617" w:name="_Toc226337251"/>
      <w:bookmarkStart w:id="618" w:name="_Toc264969245"/>
      <w:bookmarkStart w:id="619" w:name="_Toc127151555"/>
      <w:bookmarkStart w:id="620" w:name="_Toc353825545"/>
      <w:bookmarkStart w:id="621" w:name="_Toc265228393"/>
      <w:bookmarkStart w:id="622" w:name="_Toc305158823"/>
      <w:bookmarkStart w:id="623" w:name="_Toc305158897"/>
      <w:bookmarkStart w:id="624" w:name="_Toc226965828"/>
      <w:r>
        <w:rPr>
          <w:rFonts w:hint="eastAsia" w:ascii="宋体" w:hAnsi="宋体" w:eastAsia="宋体" w:cs="宋体"/>
          <w:color w:val="auto"/>
          <w:sz w:val="24"/>
          <w:highlight w:val="none"/>
        </w:rPr>
        <w:t>响应文件的</w:t>
      </w:r>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r>
        <w:rPr>
          <w:rFonts w:hint="eastAsia" w:ascii="宋体" w:hAnsi="宋体" w:eastAsia="宋体" w:cs="宋体"/>
          <w:color w:val="auto"/>
          <w:sz w:val="24"/>
          <w:highlight w:val="none"/>
        </w:rPr>
        <w:t>资格性检查和符合性审查</w:t>
      </w:r>
    </w:p>
    <w:p w14:paraId="7FFFF8CE">
      <w:pPr>
        <w:numPr>
          <w:ilvl w:val="1"/>
          <w:numId w:val="6"/>
        </w:numPr>
        <w:tabs>
          <w:tab w:val="left" w:pos="1080"/>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eastAsia="宋体" w:cs="宋体"/>
          <w:b/>
          <w:color w:val="auto"/>
          <w:sz w:val="24"/>
          <w:highlight w:val="none"/>
        </w:rPr>
        <w:t>无效响应</w:t>
      </w:r>
      <w:r>
        <w:rPr>
          <w:rFonts w:hint="eastAsia" w:ascii="宋体" w:hAnsi="宋体" w:eastAsia="宋体" w:cs="宋体"/>
          <w:color w:val="auto"/>
          <w:sz w:val="24"/>
          <w:highlight w:val="none"/>
        </w:rPr>
        <w:t>处理，磋商小组应当告知提交响应文件的供应商。</w:t>
      </w:r>
    </w:p>
    <w:p w14:paraId="0553C67E">
      <w:pPr>
        <w:numPr>
          <w:ilvl w:val="1"/>
          <w:numId w:val="6"/>
        </w:numPr>
        <w:tabs>
          <w:tab w:val="left" w:pos="1080"/>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《资格性检查要求》中对格式有要求的，除竞争性磋商文件另有规定外，均为“实质性格式”文件。</w:t>
      </w:r>
    </w:p>
    <w:p w14:paraId="7A398310">
      <w:pPr>
        <w:numPr>
          <w:ilvl w:val="1"/>
          <w:numId w:val="6"/>
        </w:numPr>
        <w:tabs>
          <w:tab w:val="left" w:pos="1080"/>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《资格性检查要求》见下表：</w:t>
      </w:r>
    </w:p>
    <w:p w14:paraId="54441571">
      <w:pPr>
        <w:tabs>
          <w:tab w:val="left" w:pos="900"/>
          <w:tab w:val="left" w:pos="1080"/>
        </w:tabs>
        <w:snapToGrid w:val="0"/>
        <w:spacing w:line="360" w:lineRule="auto"/>
        <w:ind w:left="1077" w:firstLine="2650" w:firstLineChars="11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资格性检查要求</w:t>
      </w:r>
    </w:p>
    <w:tbl>
      <w:tblPr>
        <w:tblStyle w:val="1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6"/>
        <w:gridCol w:w="1600"/>
        <w:gridCol w:w="4398"/>
        <w:gridCol w:w="1754"/>
      </w:tblGrid>
      <w:tr w14:paraId="48B30B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noWrap w:val="0"/>
            <w:vAlign w:val="center"/>
          </w:tcPr>
          <w:p w14:paraId="67A83FD1">
            <w:pPr>
              <w:tabs>
                <w:tab w:val="left" w:pos="1080"/>
              </w:tabs>
              <w:snapToGrid w:val="0"/>
              <w:jc w:val="center"/>
              <w:rPr>
                <w:rFonts w:hint="eastAsia" w:ascii="宋体" w:hAnsi="宋体" w:eastAsia="宋体" w:cs="宋体"/>
                <w:b/>
                <w:color w:val="auto"/>
                <w:sz w:val="24"/>
                <w:highlight w:val="none"/>
              </w:rPr>
            </w:pPr>
            <w:bookmarkStart w:id="625" w:name="_Hlt487972895"/>
            <w:bookmarkEnd w:id="625"/>
            <w:r>
              <w:rPr>
                <w:rFonts w:hint="eastAsia" w:ascii="宋体" w:hAnsi="宋体" w:eastAsia="宋体" w:cs="宋体"/>
                <w:b/>
                <w:color w:val="auto"/>
                <w:sz w:val="24"/>
                <w:highlight w:val="none"/>
              </w:rPr>
              <w:t>序号</w:t>
            </w:r>
          </w:p>
        </w:tc>
        <w:tc>
          <w:tcPr>
            <w:tcW w:w="938" w:type="pct"/>
            <w:noWrap w:val="0"/>
            <w:vAlign w:val="center"/>
          </w:tcPr>
          <w:p w14:paraId="43257A87">
            <w:pPr>
              <w:tabs>
                <w:tab w:val="left" w:pos="1080"/>
              </w:tabs>
              <w:snapToGrid w:val="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检查因素</w:t>
            </w:r>
          </w:p>
        </w:tc>
        <w:tc>
          <w:tcPr>
            <w:tcW w:w="2579" w:type="pct"/>
            <w:noWrap w:val="0"/>
            <w:vAlign w:val="center"/>
          </w:tcPr>
          <w:p w14:paraId="5E3023EC">
            <w:pPr>
              <w:tabs>
                <w:tab w:val="left" w:pos="1080"/>
              </w:tabs>
              <w:snapToGrid w:val="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检查内容</w:t>
            </w:r>
          </w:p>
        </w:tc>
        <w:tc>
          <w:tcPr>
            <w:tcW w:w="1028" w:type="pct"/>
            <w:noWrap w:val="0"/>
            <w:vAlign w:val="center"/>
          </w:tcPr>
          <w:p w14:paraId="16ADE98B">
            <w:pPr>
              <w:tabs>
                <w:tab w:val="left" w:pos="1080"/>
              </w:tabs>
              <w:snapToGrid w:val="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格式要求</w:t>
            </w:r>
          </w:p>
        </w:tc>
      </w:tr>
      <w:tr w14:paraId="5FD096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7943AFB0">
            <w:pPr>
              <w:tabs>
                <w:tab w:val="left" w:pos="1080"/>
              </w:tabs>
              <w:snapToGrid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938" w:type="pct"/>
            <w:noWrap w:val="0"/>
            <w:vAlign w:val="center"/>
          </w:tcPr>
          <w:p w14:paraId="60617FF4">
            <w:pPr>
              <w:tabs>
                <w:tab w:val="left" w:pos="1080"/>
              </w:tabs>
              <w:snapToGrid w:val="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满足《中华人民共和国政府采购法》第二十二条规定及法律法规的其他规定</w:t>
            </w:r>
          </w:p>
        </w:tc>
        <w:tc>
          <w:tcPr>
            <w:tcW w:w="2579" w:type="pct"/>
            <w:noWrap w:val="0"/>
            <w:vAlign w:val="center"/>
          </w:tcPr>
          <w:p w14:paraId="0F85A88E">
            <w:pPr>
              <w:tabs>
                <w:tab w:val="left" w:pos="1080"/>
              </w:tabs>
              <w:snapToGrid w:val="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具体规定见第一章《采购邀请》</w:t>
            </w:r>
          </w:p>
        </w:tc>
        <w:tc>
          <w:tcPr>
            <w:tcW w:w="1028" w:type="pct"/>
            <w:noWrap w:val="0"/>
            <w:vAlign w:val="center"/>
          </w:tcPr>
          <w:p w14:paraId="6D8BD776">
            <w:pPr>
              <w:tabs>
                <w:tab w:val="left" w:pos="1080"/>
              </w:tabs>
              <w:snapToGrid w:val="0"/>
              <w:jc w:val="left"/>
              <w:rPr>
                <w:rFonts w:hint="eastAsia" w:ascii="宋体" w:hAnsi="宋体" w:eastAsia="宋体" w:cs="宋体"/>
                <w:color w:val="auto"/>
                <w:sz w:val="24"/>
                <w:highlight w:val="none"/>
              </w:rPr>
            </w:pPr>
          </w:p>
        </w:tc>
      </w:tr>
      <w:tr w14:paraId="07E322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30651004">
            <w:pPr>
              <w:tabs>
                <w:tab w:val="left" w:pos="1080"/>
              </w:tabs>
              <w:snapToGrid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1-1</w:t>
            </w:r>
          </w:p>
        </w:tc>
        <w:tc>
          <w:tcPr>
            <w:tcW w:w="938" w:type="pct"/>
            <w:noWrap w:val="0"/>
            <w:vAlign w:val="center"/>
          </w:tcPr>
          <w:p w14:paraId="7C465047">
            <w:pPr>
              <w:tabs>
                <w:tab w:val="left" w:pos="1080"/>
              </w:tabs>
              <w:snapToGrid w:val="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营业执照等证明文件</w:t>
            </w:r>
          </w:p>
        </w:tc>
        <w:tc>
          <w:tcPr>
            <w:tcW w:w="2579" w:type="pct"/>
            <w:noWrap w:val="0"/>
            <w:vAlign w:val="center"/>
          </w:tcPr>
          <w:p w14:paraId="2F833982">
            <w:pPr>
              <w:pStyle w:val="33"/>
              <w:spacing w:before="36" w:line="230" w:lineRule="auto"/>
              <w:ind w:right="119"/>
              <w:rPr>
                <w:rFonts w:hint="eastAsia" w:ascii="宋体" w:hAnsi="宋体" w:eastAsia="宋体" w:cs="宋体"/>
                <w:highlight w:val="none"/>
              </w:rPr>
            </w:pPr>
            <w:r>
              <w:rPr>
                <w:rFonts w:hint="eastAsia" w:ascii="宋体" w:hAnsi="宋体" w:eastAsia="宋体" w:cs="宋体"/>
                <w:spacing w:val="-1"/>
                <w:highlight w:val="none"/>
              </w:rPr>
              <w:t>供应商为企业（包括合伙企业）的，应</w:t>
            </w:r>
            <w:r>
              <w:rPr>
                <w:rFonts w:hint="eastAsia" w:cs="宋体"/>
                <w:spacing w:val="-1"/>
                <w:highlight w:val="none"/>
                <w:lang w:eastAsia="zh-CN"/>
              </w:rPr>
              <w:t>提</w:t>
            </w:r>
            <w:r>
              <w:rPr>
                <w:rFonts w:hint="eastAsia" w:ascii="宋体" w:hAnsi="宋体" w:eastAsia="宋体" w:cs="宋体"/>
                <w:spacing w:val="-1"/>
                <w:highlight w:val="none"/>
              </w:rPr>
              <w:t>供</w:t>
            </w:r>
            <w:r>
              <w:rPr>
                <w:rFonts w:hint="eastAsia" w:ascii="宋体" w:hAnsi="宋体" w:eastAsia="宋体" w:cs="宋体"/>
                <w:spacing w:val="8"/>
                <w:highlight w:val="none"/>
              </w:rPr>
              <w:t xml:space="preserve"> </w:t>
            </w:r>
            <w:r>
              <w:rPr>
                <w:rFonts w:hint="eastAsia" w:ascii="宋体" w:hAnsi="宋体" w:eastAsia="宋体" w:cs="宋体"/>
                <w:spacing w:val="6"/>
                <w:highlight w:val="none"/>
              </w:rPr>
              <w:t>有效的“</w:t>
            </w:r>
            <w:r>
              <w:rPr>
                <w:rFonts w:hint="eastAsia" w:ascii="宋体" w:hAnsi="宋体" w:eastAsia="宋体" w:cs="宋体"/>
                <w:spacing w:val="-49"/>
                <w:highlight w:val="none"/>
              </w:rPr>
              <w:t xml:space="preserve"> </w:t>
            </w:r>
            <w:r>
              <w:rPr>
                <w:rFonts w:hint="eastAsia" w:ascii="宋体" w:hAnsi="宋体" w:eastAsia="宋体" w:cs="宋体"/>
                <w:spacing w:val="6"/>
                <w:highlight w:val="none"/>
              </w:rPr>
              <w:t>营业执照”；</w:t>
            </w:r>
          </w:p>
          <w:p w14:paraId="64D3EEF3">
            <w:pPr>
              <w:pStyle w:val="33"/>
              <w:spacing w:before="25" w:line="229" w:lineRule="auto"/>
              <w:ind w:right="105"/>
              <w:rPr>
                <w:rFonts w:hint="eastAsia" w:ascii="宋体" w:hAnsi="宋体" w:eastAsia="宋体" w:cs="宋体"/>
                <w:highlight w:val="none"/>
              </w:rPr>
            </w:pPr>
            <w:r>
              <w:rPr>
                <w:rFonts w:hint="eastAsia" w:ascii="宋体" w:hAnsi="宋体" w:eastAsia="宋体" w:cs="宋体"/>
                <w:spacing w:val="-4"/>
                <w:highlight w:val="none"/>
              </w:rPr>
              <w:t>供应商为事业单位的，应</w:t>
            </w:r>
            <w:r>
              <w:rPr>
                <w:rFonts w:hint="eastAsia" w:cs="宋体"/>
                <w:spacing w:val="-4"/>
                <w:highlight w:val="none"/>
                <w:lang w:eastAsia="zh-CN"/>
              </w:rPr>
              <w:t>提</w:t>
            </w:r>
            <w:r>
              <w:rPr>
                <w:rFonts w:hint="eastAsia" w:ascii="宋体" w:hAnsi="宋体" w:eastAsia="宋体" w:cs="宋体"/>
                <w:spacing w:val="-4"/>
                <w:highlight w:val="none"/>
              </w:rPr>
              <w:t>供有效的“事业单</w:t>
            </w:r>
            <w:r>
              <w:rPr>
                <w:rFonts w:hint="eastAsia" w:ascii="宋体" w:hAnsi="宋体" w:eastAsia="宋体" w:cs="宋体"/>
                <w:spacing w:val="5"/>
                <w:highlight w:val="none"/>
              </w:rPr>
              <w:t>位法人证书”；</w:t>
            </w:r>
          </w:p>
          <w:p w14:paraId="50D596F6">
            <w:pPr>
              <w:pStyle w:val="33"/>
              <w:spacing w:before="25" w:line="230" w:lineRule="auto"/>
              <w:ind w:right="105"/>
              <w:rPr>
                <w:rFonts w:hint="eastAsia" w:ascii="宋体" w:hAnsi="宋体" w:eastAsia="宋体" w:cs="宋体"/>
                <w:highlight w:val="none"/>
              </w:rPr>
            </w:pPr>
            <w:r>
              <w:rPr>
                <w:rFonts w:hint="eastAsia" w:ascii="宋体" w:hAnsi="宋体" w:eastAsia="宋体" w:cs="宋体"/>
                <w:spacing w:val="-4"/>
                <w:highlight w:val="none"/>
              </w:rPr>
              <w:t>供应商是非企业机构的，应</w:t>
            </w:r>
            <w:r>
              <w:rPr>
                <w:rFonts w:hint="eastAsia" w:cs="宋体"/>
                <w:spacing w:val="-4"/>
                <w:highlight w:val="none"/>
                <w:lang w:eastAsia="zh-CN"/>
              </w:rPr>
              <w:t>提</w:t>
            </w:r>
            <w:r>
              <w:rPr>
                <w:rFonts w:hint="eastAsia" w:ascii="宋体" w:hAnsi="宋体" w:eastAsia="宋体" w:cs="宋体"/>
                <w:spacing w:val="-4"/>
                <w:highlight w:val="none"/>
              </w:rPr>
              <w:t>供有效的“执业</w:t>
            </w:r>
            <w:r>
              <w:rPr>
                <w:rFonts w:hint="eastAsia" w:ascii="宋体" w:hAnsi="宋体" w:eastAsia="宋体" w:cs="宋体"/>
                <w:spacing w:val="2"/>
                <w:highlight w:val="none"/>
              </w:rPr>
              <w:t>许可证”</w:t>
            </w:r>
            <w:r>
              <w:rPr>
                <w:rFonts w:hint="eastAsia" w:ascii="宋体" w:hAnsi="宋体" w:eastAsia="宋体" w:cs="宋体"/>
                <w:spacing w:val="-26"/>
                <w:highlight w:val="none"/>
              </w:rPr>
              <w:t xml:space="preserve"> </w:t>
            </w:r>
            <w:r>
              <w:rPr>
                <w:rFonts w:hint="eastAsia" w:ascii="宋体" w:hAnsi="宋体" w:eastAsia="宋体" w:cs="宋体"/>
                <w:spacing w:val="2"/>
                <w:highlight w:val="none"/>
              </w:rPr>
              <w:t>、“登记证书”等证明文件；</w:t>
            </w:r>
          </w:p>
          <w:p w14:paraId="3CE01B26">
            <w:pPr>
              <w:pStyle w:val="33"/>
              <w:spacing w:before="24" w:line="230" w:lineRule="auto"/>
              <w:ind w:right="105"/>
              <w:rPr>
                <w:rFonts w:hint="eastAsia" w:ascii="宋体" w:hAnsi="宋体" w:eastAsia="宋体" w:cs="宋体"/>
                <w:highlight w:val="none"/>
              </w:rPr>
            </w:pPr>
            <w:r>
              <w:rPr>
                <w:rFonts w:hint="eastAsia" w:ascii="宋体" w:hAnsi="宋体" w:eastAsia="宋体" w:cs="宋体"/>
                <w:spacing w:val="-4"/>
                <w:highlight w:val="none"/>
              </w:rPr>
              <w:t>供应商是个体工商户的，应</w:t>
            </w:r>
            <w:r>
              <w:rPr>
                <w:rFonts w:hint="eastAsia" w:cs="宋体"/>
                <w:spacing w:val="-4"/>
                <w:highlight w:val="none"/>
                <w:lang w:eastAsia="zh-CN"/>
              </w:rPr>
              <w:t>提</w:t>
            </w:r>
            <w:r>
              <w:rPr>
                <w:rFonts w:hint="eastAsia" w:ascii="宋体" w:hAnsi="宋体" w:eastAsia="宋体" w:cs="宋体"/>
                <w:spacing w:val="-4"/>
                <w:highlight w:val="none"/>
              </w:rPr>
              <w:t>供有效的“个体</w:t>
            </w:r>
            <w:r>
              <w:rPr>
                <w:rFonts w:hint="eastAsia" w:ascii="宋体" w:hAnsi="宋体" w:eastAsia="宋体" w:cs="宋体"/>
                <w:spacing w:val="3"/>
                <w:highlight w:val="none"/>
              </w:rPr>
              <w:t>工商户营业执照”；</w:t>
            </w:r>
          </w:p>
          <w:p w14:paraId="6F311833">
            <w:pPr>
              <w:pStyle w:val="33"/>
              <w:spacing w:before="26" w:line="229" w:lineRule="auto"/>
              <w:ind w:right="119"/>
              <w:rPr>
                <w:rFonts w:hint="eastAsia" w:ascii="宋体" w:hAnsi="宋体" w:eastAsia="宋体" w:cs="宋体"/>
                <w:highlight w:val="none"/>
              </w:rPr>
            </w:pPr>
            <w:r>
              <w:rPr>
                <w:rFonts w:hint="eastAsia" w:ascii="宋体" w:hAnsi="宋体" w:eastAsia="宋体" w:cs="宋体"/>
                <w:spacing w:val="-1"/>
                <w:highlight w:val="none"/>
              </w:rPr>
              <w:t>供应商是自然人的，应</w:t>
            </w:r>
            <w:r>
              <w:rPr>
                <w:rFonts w:hint="eastAsia" w:cs="宋体"/>
                <w:spacing w:val="-1"/>
                <w:highlight w:val="none"/>
                <w:lang w:eastAsia="zh-CN"/>
              </w:rPr>
              <w:t>提</w:t>
            </w:r>
            <w:r>
              <w:rPr>
                <w:rFonts w:hint="eastAsia" w:ascii="宋体" w:hAnsi="宋体" w:eastAsia="宋体" w:cs="宋体"/>
                <w:spacing w:val="-1"/>
                <w:highlight w:val="none"/>
              </w:rPr>
              <w:t>供有效的自然人身</w:t>
            </w:r>
            <w:r>
              <w:rPr>
                <w:rFonts w:hint="eastAsia" w:ascii="宋体" w:hAnsi="宋体" w:eastAsia="宋体" w:cs="宋体"/>
                <w:spacing w:val="8"/>
                <w:highlight w:val="none"/>
              </w:rPr>
              <w:t xml:space="preserve"> </w:t>
            </w:r>
            <w:r>
              <w:rPr>
                <w:rFonts w:hint="eastAsia" w:ascii="宋体" w:hAnsi="宋体" w:eastAsia="宋体" w:cs="宋体"/>
                <w:spacing w:val="-9"/>
                <w:highlight w:val="none"/>
              </w:rPr>
              <w:t>份证明。</w:t>
            </w:r>
          </w:p>
          <w:p w14:paraId="0C9AA9E2">
            <w:pPr>
              <w:tabs>
                <w:tab w:val="left" w:pos="1080"/>
              </w:tabs>
              <w:snapToGrid w:val="0"/>
              <w:jc w:val="left"/>
              <w:rPr>
                <w:rFonts w:hint="eastAsia" w:ascii="宋体" w:hAnsi="宋体" w:eastAsia="宋体" w:cs="宋体"/>
                <w:color w:val="auto"/>
                <w:sz w:val="24"/>
                <w:highlight w:val="none"/>
              </w:rPr>
            </w:pPr>
            <w:r>
              <w:rPr>
                <w:rFonts w:hint="eastAsia" w:ascii="宋体" w:hAnsi="宋体" w:eastAsia="宋体" w:cs="宋体"/>
                <w:spacing w:val="-1"/>
                <w:kern w:val="2"/>
                <w:sz w:val="24"/>
                <w:szCs w:val="24"/>
                <w:highlight w:val="none"/>
                <w:lang w:val="en-US" w:eastAsia="en-US" w:bidi="ar-SA"/>
              </w:rPr>
              <w:t>分支机构参加响应的，应</w:t>
            </w:r>
            <w:r>
              <w:rPr>
                <w:rFonts w:hint="eastAsia" w:ascii="宋体" w:hAnsi="宋体" w:eastAsia="宋体" w:cs="宋体"/>
                <w:spacing w:val="-1"/>
                <w:kern w:val="2"/>
                <w:sz w:val="24"/>
                <w:szCs w:val="24"/>
                <w:highlight w:val="none"/>
                <w:lang w:val="en-US" w:eastAsia="zh-CN" w:bidi="ar-SA"/>
              </w:rPr>
              <w:t>提</w:t>
            </w:r>
            <w:r>
              <w:rPr>
                <w:rFonts w:hint="eastAsia" w:ascii="宋体" w:hAnsi="宋体" w:eastAsia="宋体" w:cs="宋体"/>
                <w:spacing w:val="-1"/>
                <w:kern w:val="2"/>
                <w:sz w:val="24"/>
                <w:szCs w:val="24"/>
                <w:highlight w:val="none"/>
                <w:lang w:val="en-US" w:eastAsia="en-US" w:bidi="ar-SA"/>
              </w:rPr>
              <w:t>供该分支机构或 其所属法人/其他组织的相应证明文件； 同时还应</w:t>
            </w:r>
            <w:r>
              <w:rPr>
                <w:rFonts w:hint="eastAsia" w:ascii="宋体" w:hAnsi="宋体" w:eastAsia="宋体" w:cs="宋体"/>
                <w:spacing w:val="-1"/>
                <w:kern w:val="2"/>
                <w:sz w:val="24"/>
                <w:szCs w:val="24"/>
                <w:highlight w:val="none"/>
                <w:lang w:val="en-US" w:eastAsia="zh-CN" w:bidi="ar-SA"/>
              </w:rPr>
              <w:t>提</w:t>
            </w:r>
            <w:r>
              <w:rPr>
                <w:rFonts w:hint="eastAsia" w:ascii="宋体" w:hAnsi="宋体" w:eastAsia="宋体" w:cs="宋体"/>
                <w:spacing w:val="-1"/>
                <w:kern w:val="2"/>
                <w:sz w:val="24"/>
                <w:szCs w:val="24"/>
                <w:highlight w:val="none"/>
                <w:lang w:val="en-US" w:eastAsia="en-US" w:bidi="ar-SA"/>
              </w:rPr>
              <w:t>供其所属法人/其他组织出具的授权其参与本项目的授权书（格式自拟，须加盖其所属法人/其他组织的公章）；对于银行、 保险、石油石化、电力、电信等行业的分支机构，可以</w:t>
            </w:r>
            <w:r>
              <w:rPr>
                <w:rFonts w:hint="eastAsia" w:ascii="宋体" w:hAnsi="宋体" w:eastAsia="宋体" w:cs="宋体"/>
                <w:spacing w:val="-1"/>
                <w:kern w:val="2"/>
                <w:sz w:val="24"/>
                <w:szCs w:val="24"/>
                <w:highlight w:val="none"/>
                <w:lang w:val="en-US" w:eastAsia="zh-CN" w:bidi="ar-SA"/>
              </w:rPr>
              <w:t>提</w:t>
            </w:r>
            <w:r>
              <w:rPr>
                <w:rFonts w:hint="eastAsia" w:ascii="宋体" w:hAnsi="宋体" w:eastAsia="宋体" w:cs="宋体"/>
                <w:spacing w:val="-1"/>
                <w:kern w:val="2"/>
                <w:sz w:val="24"/>
                <w:szCs w:val="24"/>
                <w:highlight w:val="none"/>
                <w:lang w:val="en-US" w:eastAsia="en-US" w:bidi="ar-SA"/>
              </w:rPr>
              <w:t>供上述授权，也可以</w:t>
            </w:r>
            <w:r>
              <w:rPr>
                <w:rFonts w:hint="eastAsia" w:ascii="宋体" w:hAnsi="宋体" w:eastAsia="宋体" w:cs="宋体"/>
                <w:spacing w:val="-1"/>
                <w:kern w:val="2"/>
                <w:sz w:val="24"/>
                <w:szCs w:val="24"/>
                <w:highlight w:val="none"/>
                <w:lang w:val="en-US" w:eastAsia="zh-CN" w:bidi="ar-SA"/>
              </w:rPr>
              <w:t>提</w:t>
            </w:r>
            <w:r>
              <w:rPr>
                <w:rFonts w:hint="eastAsia" w:ascii="宋体" w:hAnsi="宋体" w:eastAsia="宋体" w:cs="宋体"/>
                <w:spacing w:val="-1"/>
                <w:kern w:val="2"/>
                <w:sz w:val="24"/>
                <w:szCs w:val="24"/>
                <w:highlight w:val="none"/>
                <w:lang w:val="en-US" w:eastAsia="en-US" w:bidi="ar-SA"/>
              </w:rPr>
              <w:t>供其所属法人/其他组织的有关文件或制度等能够证明授权其独立开展业务的证明材料。</w:t>
            </w:r>
          </w:p>
        </w:tc>
        <w:tc>
          <w:tcPr>
            <w:tcW w:w="1028" w:type="pct"/>
            <w:noWrap w:val="0"/>
            <w:vAlign w:val="center"/>
          </w:tcPr>
          <w:p w14:paraId="634AAC90">
            <w:pPr>
              <w:tabs>
                <w:tab w:val="left" w:pos="1080"/>
              </w:tabs>
              <w:snapToGrid w:val="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提供证明文件的电子件或电子证照</w:t>
            </w:r>
          </w:p>
        </w:tc>
      </w:tr>
      <w:tr w14:paraId="35BA09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5182C1BF">
            <w:pPr>
              <w:tabs>
                <w:tab w:val="left" w:pos="1080"/>
              </w:tabs>
              <w:snapToGrid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1-2</w:t>
            </w:r>
          </w:p>
        </w:tc>
        <w:tc>
          <w:tcPr>
            <w:tcW w:w="938" w:type="pct"/>
            <w:noWrap w:val="0"/>
            <w:vAlign w:val="center"/>
          </w:tcPr>
          <w:p w14:paraId="3DC25BDC">
            <w:pPr>
              <w:tabs>
                <w:tab w:val="left" w:pos="1080"/>
              </w:tabs>
              <w:snapToGrid w:val="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供应商资格声明书</w:t>
            </w:r>
          </w:p>
        </w:tc>
        <w:tc>
          <w:tcPr>
            <w:tcW w:w="2579" w:type="pct"/>
            <w:noWrap w:val="0"/>
            <w:vAlign w:val="center"/>
          </w:tcPr>
          <w:p w14:paraId="0646BA29">
            <w:pPr>
              <w:tabs>
                <w:tab w:val="left" w:pos="1080"/>
              </w:tabs>
              <w:snapToGrid w:val="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提供了符合竞争性磋商文件要求的《供应商资格声明书》。</w:t>
            </w:r>
          </w:p>
        </w:tc>
        <w:tc>
          <w:tcPr>
            <w:tcW w:w="1028" w:type="pct"/>
            <w:noWrap w:val="0"/>
            <w:vAlign w:val="center"/>
          </w:tcPr>
          <w:p w14:paraId="68942436">
            <w:pPr>
              <w:tabs>
                <w:tab w:val="left" w:pos="1080"/>
              </w:tabs>
              <w:snapToGrid w:val="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格式见《响应文件格式》</w:t>
            </w:r>
          </w:p>
        </w:tc>
      </w:tr>
      <w:tr w14:paraId="43F71C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11462554">
            <w:pPr>
              <w:tabs>
                <w:tab w:val="left" w:pos="1080"/>
              </w:tabs>
              <w:snapToGrid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1-3</w:t>
            </w:r>
          </w:p>
        </w:tc>
        <w:tc>
          <w:tcPr>
            <w:tcW w:w="938" w:type="pct"/>
            <w:noWrap w:val="0"/>
            <w:vAlign w:val="center"/>
          </w:tcPr>
          <w:p w14:paraId="5B353850">
            <w:pPr>
              <w:tabs>
                <w:tab w:val="left" w:pos="1080"/>
              </w:tabs>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供应商信用记录</w:t>
            </w:r>
          </w:p>
        </w:tc>
        <w:tc>
          <w:tcPr>
            <w:tcW w:w="2579" w:type="pct"/>
            <w:noWrap w:val="0"/>
            <w:vAlign w:val="center"/>
          </w:tcPr>
          <w:p w14:paraId="61867B3C">
            <w:pPr>
              <w:tabs>
                <w:tab w:val="left" w:pos="1080"/>
              </w:tabs>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查询渠道：信用中国网站和中国政府采购网（</w:t>
            </w:r>
            <w:r>
              <w:rPr>
                <w:rFonts w:hint="eastAsia" w:ascii="宋体" w:hAnsi="宋体" w:eastAsia="宋体" w:cs="宋体"/>
                <w:color w:val="auto"/>
                <w:highlight w:val="none"/>
              </w:rPr>
              <w:t>www.creditchina.gov.cn</w:t>
            </w:r>
            <w:r>
              <w:rPr>
                <w:rFonts w:hint="eastAsia" w:ascii="宋体" w:hAnsi="宋体" w:eastAsia="宋体" w:cs="宋体"/>
                <w:color w:val="auto"/>
                <w:sz w:val="24"/>
                <w:highlight w:val="none"/>
              </w:rPr>
              <w:t>、</w:t>
            </w:r>
            <w:r>
              <w:rPr>
                <w:rFonts w:hint="eastAsia" w:ascii="宋体" w:hAnsi="宋体" w:eastAsia="宋体" w:cs="宋体"/>
                <w:color w:val="auto"/>
                <w:highlight w:val="none"/>
              </w:rPr>
              <w:t>www.ccgp.gov.cn</w:t>
            </w:r>
            <w:r>
              <w:rPr>
                <w:rFonts w:hint="eastAsia" w:ascii="宋体" w:hAnsi="宋体" w:eastAsia="宋体" w:cs="宋体"/>
                <w:color w:val="auto"/>
                <w:sz w:val="24"/>
                <w:highlight w:val="none"/>
              </w:rPr>
              <w:t>）；</w:t>
            </w:r>
          </w:p>
          <w:p w14:paraId="441CFE28">
            <w:pPr>
              <w:tabs>
                <w:tab w:val="left" w:pos="900"/>
                <w:tab w:val="left" w:pos="1980"/>
              </w:tabs>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截止时点：</w:t>
            </w:r>
            <w:r>
              <w:rPr>
                <w:rFonts w:hint="eastAsia" w:ascii="宋体" w:hAnsi="宋体" w:eastAsia="宋体" w:cs="宋体"/>
                <w:color w:val="auto"/>
                <w:kern w:val="0"/>
                <w:sz w:val="24"/>
                <w:szCs w:val="20"/>
                <w:highlight w:val="none"/>
              </w:rPr>
              <w:t>首次响应文件提交截止时间以后</w:t>
            </w:r>
            <w:r>
              <w:rPr>
                <w:rFonts w:hint="eastAsia" w:ascii="宋体" w:hAnsi="宋体" w:eastAsia="宋体" w:cs="宋体"/>
                <w:color w:val="auto"/>
                <w:sz w:val="24"/>
                <w:highlight w:val="none"/>
              </w:rPr>
              <w:t>、资格性检查阶段采购人或采购代理机构的实际查询时间为准；</w:t>
            </w:r>
          </w:p>
          <w:p w14:paraId="56990464">
            <w:pPr>
              <w:tabs>
                <w:tab w:val="left" w:pos="900"/>
                <w:tab w:val="left" w:pos="1980"/>
              </w:tabs>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信用信息查询记录和证据留存具体方式：查询结果网页打印页作为查询记录和证据，与其他竞争性磋商文件一并保存；</w:t>
            </w:r>
          </w:p>
          <w:p w14:paraId="11A1A611">
            <w:pPr>
              <w:tabs>
                <w:tab w:val="left" w:pos="1080"/>
              </w:tabs>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信用信息的使用原则：经认定的被列入失信被执行人、重大税收违法案件当事人名单、政府采购严重违法失信行为记录名单的供应商，其</w:t>
            </w:r>
            <w:r>
              <w:rPr>
                <w:rFonts w:hint="eastAsia" w:ascii="宋体" w:hAnsi="宋体" w:eastAsia="宋体" w:cs="宋体"/>
                <w:b/>
                <w:color w:val="auto"/>
                <w:sz w:val="24"/>
                <w:highlight w:val="none"/>
              </w:rPr>
              <w:t>响应无效</w:t>
            </w:r>
            <w:r>
              <w:rPr>
                <w:rFonts w:hint="eastAsia" w:ascii="宋体" w:hAnsi="宋体" w:eastAsia="宋体" w:cs="宋体"/>
                <w:color w:val="auto"/>
                <w:sz w:val="24"/>
                <w:highlight w:val="none"/>
              </w:rPr>
              <w:t>。联合体形式磋商的，联合体成员存在不良信用记录，视同联合体存在不良信用记录。</w:t>
            </w:r>
          </w:p>
        </w:tc>
        <w:tc>
          <w:tcPr>
            <w:tcW w:w="1028" w:type="pct"/>
            <w:noWrap w:val="0"/>
            <w:vAlign w:val="center"/>
          </w:tcPr>
          <w:p w14:paraId="2C6C50E4">
            <w:pPr>
              <w:tabs>
                <w:tab w:val="left" w:pos="1080"/>
              </w:tabs>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无须供应商提供，由采购人或采购代理机构查询。</w:t>
            </w:r>
          </w:p>
        </w:tc>
      </w:tr>
      <w:tr w14:paraId="357AEB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09D164AB">
            <w:pPr>
              <w:tabs>
                <w:tab w:val="left" w:pos="1080"/>
              </w:tabs>
              <w:snapToGrid w:val="0"/>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1-4</w:t>
            </w:r>
          </w:p>
        </w:tc>
        <w:tc>
          <w:tcPr>
            <w:tcW w:w="938" w:type="pct"/>
            <w:noWrap w:val="0"/>
            <w:vAlign w:val="center"/>
          </w:tcPr>
          <w:p w14:paraId="52316F9F">
            <w:pPr>
              <w:keepNext w:val="0"/>
              <w:keepLines w:val="0"/>
              <w:widowControl/>
              <w:suppressLineNumbers w:val="0"/>
              <w:jc w:val="left"/>
              <w:rPr>
                <w:highlight w:val="none"/>
              </w:rPr>
            </w:pPr>
            <w:r>
              <w:rPr>
                <w:rFonts w:hint="eastAsia" w:ascii="宋体" w:hAnsi="宋体" w:eastAsia="宋体" w:cs="宋体"/>
                <w:color w:val="000000"/>
                <w:kern w:val="0"/>
                <w:sz w:val="24"/>
                <w:szCs w:val="24"/>
                <w:highlight w:val="none"/>
                <w:lang w:val="en-US" w:eastAsia="zh-CN" w:bidi="ar"/>
              </w:rPr>
              <w:t xml:space="preserve">法律、行政法 </w:t>
            </w:r>
          </w:p>
          <w:p w14:paraId="19C9D8BB">
            <w:pPr>
              <w:keepNext w:val="0"/>
              <w:keepLines w:val="0"/>
              <w:widowControl/>
              <w:suppressLineNumbers w:val="0"/>
              <w:jc w:val="left"/>
              <w:rPr>
                <w:rFonts w:hint="eastAsia" w:ascii="宋体" w:hAnsi="宋体" w:eastAsia="宋体" w:cs="宋体"/>
                <w:color w:val="auto"/>
                <w:sz w:val="24"/>
                <w:highlight w:val="none"/>
              </w:rPr>
            </w:pPr>
            <w:r>
              <w:rPr>
                <w:rFonts w:hint="eastAsia" w:ascii="宋体" w:hAnsi="宋体" w:eastAsia="宋体" w:cs="宋体"/>
                <w:color w:val="000000"/>
                <w:kern w:val="0"/>
                <w:sz w:val="24"/>
                <w:szCs w:val="24"/>
                <w:highlight w:val="none"/>
                <w:lang w:val="en-US" w:eastAsia="zh-CN" w:bidi="ar"/>
              </w:rPr>
              <w:t>规规定的其他条件</w:t>
            </w:r>
          </w:p>
        </w:tc>
        <w:tc>
          <w:tcPr>
            <w:tcW w:w="2579" w:type="pct"/>
            <w:noWrap w:val="0"/>
            <w:vAlign w:val="center"/>
          </w:tcPr>
          <w:p w14:paraId="7C3338FC">
            <w:pPr>
              <w:keepNext w:val="0"/>
              <w:keepLines w:val="0"/>
              <w:widowControl/>
              <w:suppressLineNumbers w:val="0"/>
              <w:jc w:val="left"/>
              <w:rPr>
                <w:rFonts w:hint="eastAsia" w:ascii="宋体" w:hAnsi="宋体" w:eastAsia="宋体" w:cs="宋体"/>
                <w:color w:val="auto"/>
                <w:sz w:val="24"/>
                <w:highlight w:val="none"/>
              </w:rPr>
            </w:pPr>
            <w:r>
              <w:rPr>
                <w:rFonts w:hint="eastAsia" w:ascii="宋体" w:hAnsi="宋体" w:eastAsia="宋体" w:cs="宋体"/>
                <w:color w:val="000000"/>
                <w:kern w:val="0"/>
                <w:sz w:val="24"/>
                <w:szCs w:val="24"/>
                <w:highlight w:val="none"/>
                <w:lang w:val="en-US" w:eastAsia="zh-CN" w:bidi="ar"/>
              </w:rPr>
              <w:t xml:space="preserve">法律、行政法规规定的其他条件 </w:t>
            </w:r>
          </w:p>
        </w:tc>
        <w:tc>
          <w:tcPr>
            <w:tcW w:w="1028" w:type="pct"/>
            <w:noWrap w:val="0"/>
            <w:vAlign w:val="center"/>
          </w:tcPr>
          <w:p w14:paraId="35170F70">
            <w:pPr>
              <w:tabs>
                <w:tab w:val="left" w:pos="1080"/>
              </w:tabs>
              <w:snapToGrid w:val="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w:t>
            </w:r>
          </w:p>
        </w:tc>
      </w:tr>
      <w:tr w14:paraId="5E1245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321E27F1">
            <w:pPr>
              <w:tabs>
                <w:tab w:val="left" w:pos="1080"/>
              </w:tabs>
              <w:snapToGrid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938" w:type="pct"/>
            <w:noWrap w:val="0"/>
            <w:vAlign w:val="center"/>
          </w:tcPr>
          <w:p w14:paraId="0E0BF335">
            <w:pPr>
              <w:tabs>
                <w:tab w:val="left" w:pos="1080"/>
              </w:tabs>
              <w:snapToGrid w:val="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落实政府采购政策需满足的资格要求</w:t>
            </w:r>
          </w:p>
        </w:tc>
        <w:tc>
          <w:tcPr>
            <w:tcW w:w="2579" w:type="pct"/>
            <w:noWrap w:val="0"/>
            <w:vAlign w:val="center"/>
          </w:tcPr>
          <w:p w14:paraId="693F8F40">
            <w:pPr>
              <w:tabs>
                <w:tab w:val="left" w:pos="1080"/>
              </w:tabs>
              <w:snapToGrid w:val="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具体要求见第一章《采购邀请》</w:t>
            </w:r>
          </w:p>
        </w:tc>
        <w:tc>
          <w:tcPr>
            <w:tcW w:w="1028" w:type="pct"/>
            <w:noWrap w:val="0"/>
            <w:vAlign w:val="center"/>
          </w:tcPr>
          <w:p w14:paraId="3F0403EA">
            <w:pPr>
              <w:tabs>
                <w:tab w:val="left" w:pos="1080"/>
              </w:tabs>
              <w:snapToGrid w:val="0"/>
              <w:jc w:val="left"/>
              <w:rPr>
                <w:rFonts w:hint="eastAsia" w:ascii="宋体" w:hAnsi="宋体" w:eastAsia="宋体" w:cs="宋体"/>
                <w:color w:val="auto"/>
                <w:sz w:val="24"/>
                <w:highlight w:val="none"/>
              </w:rPr>
            </w:pPr>
          </w:p>
        </w:tc>
      </w:tr>
      <w:tr w14:paraId="4A961A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6449A672">
            <w:pPr>
              <w:tabs>
                <w:tab w:val="left" w:pos="1080"/>
              </w:tabs>
              <w:snapToGrid w:val="0"/>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2-1</w:t>
            </w:r>
          </w:p>
        </w:tc>
        <w:tc>
          <w:tcPr>
            <w:tcW w:w="938" w:type="pct"/>
            <w:noWrap w:val="0"/>
            <w:vAlign w:val="center"/>
          </w:tcPr>
          <w:p w14:paraId="6D691975">
            <w:pPr>
              <w:keepNext w:val="0"/>
              <w:keepLines w:val="0"/>
              <w:widowControl/>
              <w:suppressLineNumbers w:val="0"/>
              <w:jc w:val="left"/>
              <w:rPr>
                <w:rFonts w:hint="eastAsia" w:ascii="宋体" w:hAnsi="宋体" w:eastAsia="宋体" w:cs="宋体"/>
                <w:color w:val="auto"/>
                <w:sz w:val="24"/>
                <w:highlight w:val="none"/>
              </w:rPr>
            </w:pPr>
            <w:r>
              <w:rPr>
                <w:rFonts w:hint="eastAsia" w:ascii="宋体" w:hAnsi="宋体" w:eastAsia="宋体" w:cs="宋体"/>
                <w:color w:val="000000"/>
                <w:kern w:val="0"/>
                <w:sz w:val="24"/>
                <w:szCs w:val="24"/>
                <w:highlight w:val="none"/>
                <w:lang w:val="en-US" w:eastAsia="zh-CN" w:bidi="ar"/>
              </w:rPr>
              <w:t>中小企业政策</w:t>
            </w:r>
          </w:p>
        </w:tc>
        <w:tc>
          <w:tcPr>
            <w:tcW w:w="2579" w:type="pct"/>
            <w:noWrap w:val="0"/>
            <w:vAlign w:val="center"/>
          </w:tcPr>
          <w:p w14:paraId="419FD997">
            <w:pPr>
              <w:tabs>
                <w:tab w:val="left" w:pos="1080"/>
              </w:tabs>
              <w:snapToGrid w:val="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具体要求见第一章《采购邀请》</w:t>
            </w:r>
          </w:p>
        </w:tc>
        <w:tc>
          <w:tcPr>
            <w:tcW w:w="1028" w:type="pct"/>
            <w:noWrap w:val="0"/>
            <w:vAlign w:val="center"/>
          </w:tcPr>
          <w:p w14:paraId="619CFB8C">
            <w:pPr>
              <w:tabs>
                <w:tab w:val="left" w:pos="1080"/>
              </w:tabs>
              <w:snapToGrid w:val="0"/>
              <w:jc w:val="left"/>
              <w:rPr>
                <w:rFonts w:hint="eastAsia" w:ascii="宋体" w:hAnsi="宋体" w:eastAsia="宋体" w:cs="宋体"/>
                <w:color w:val="auto"/>
                <w:sz w:val="24"/>
                <w:highlight w:val="none"/>
              </w:rPr>
            </w:pPr>
          </w:p>
        </w:tc>
      </w:tr>
      <w:tr w14:paraId="77BCBB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6371FDB3">
            <w:pPr>
              <w:tabs>
                <w:tab w:val="left" w:pos="1080"/>
              </w:tabs>
              <w:snapToGrid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1</w:t>
            </w:r>
          </w:p>
        </w:tc>
        <w:tc>
          <w:tcPr>
            <w:tcW w:w="938" w:type="pct"/>
            <w:noWrap w:val="0"/>
            <w:vAlign w:val="center"/>
          </w:tcPr>
          <w:p w14:paraId="4DD92F61">
            <w:pPr>
              <w:keepNext w:val="0"/>
              <w:keepLines w:val="0"/>
              <w:widowControl/>
              <w:suppressLineNumbers w:val="0"/>
              <w:jc w:val="left"/>
              <w:rPr>
                <w:highlight w:val="none"/>
              </w:rPr>
            </w:pPr>
            <w:r>
              <w:rPr>
                <w:rFonts w:hint="eastAsia" w:ascii="宋体" w:hAnsi="宋体" w:eastAsia="宋体" w:cs="宋体"/>
                <w:color w:val="000000"/>
                <w:kern w:val="0"/>
                <w:sz w:val="24"/>
                <w:szCs w:val="24"/>
                <w:highlight w:val="none"/>
                <w:lang w:val="en-US" w:eastAsia="zh-CN" w:bidi="ar"/>
              </w:rPr>
              <w:t xml:space="preserve">中小企业证明文件 </w:t>
            </w:r>
          </w:p>
          <w:p w14:paraId="64F026F4">
            <w:pPr>
              <w:tabs>
                <w:tab w:val="left" w:pos="1080"/>
              </w:tabs>
              <w:snapToGrid w:val="0"/>
              <w:jc w:val="left"/>
              <w:rPr>
                <w:rFonts w:hint="eastAsia" w:ascii="宋体" w:hAnsi="宋体" w:eastAsia="宋体" w:cs="宋体"/>
                <w:color w:val="auto"/>
                <w:sz w:val="24"/>
                <w:highlight w:val="none"/>
              </w:rPr>
            </w:pPr>
          </w:p>
        </w:tc>
        <w:tc>
          <w:tcPr>
            <w:tcW w:w="2579" w:type="pct"/>
            <w:noWrap w:val="0"/>
            <w:vAlign w:val="center"/>
          </w:tcPr>
          <w:p w14:paraId="36994278">
            <w:pPr>
              <w:tabs>
                <w:tab w:val="left" w:pos="1080"/>
              </w:tabs>
              <w:snapToGrid w:val="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当本项目（包）涉及预留份额专门面向中小企业采购，</w:t>
            </w:r>
            <w:r>
              <w:rPr>
                <w:rFonts w:hint="eastAsia" w:ascii="宋体" w:hAnsi="宋体" w:eastAsia="宋体" w:cs="宋体"/>
                <w:color w:val="auto"/>
                <w:sz w:val="24"/>
                <w:highlight w:val="none"/>
                <w:lang w:val="en-US" w:eastAsia="zh-CN"/>
              </w:rPr>
              <w:t>提</w:t>
            </w:r>
            <w:r>
              <w:rPr>
                <w:rFonts w:hint="eastAsia" w:ascii="宋体" w:hAnsi="宋体" w:eastAsia="宋体" w:cs="宋体"/>
                <w:color w:val="auto"/>
                <w:sz w:val="24"/>
                <w:highlight w:val="none"/>
              </w:rPr>
              <w:t>供如下资料：1、供应商单独响应的，应</w:t>
            </w:r>
            <w:r>
              <w:rPr>
                <w:rFonts w:hint="eastAsia" w:ascii="宋体" w:hAnsi="宋体" w:eastAsia="宋体" w:cs="宋体"/>
                <w:color w:val="auto"/>
                <w:sz w:val="24"/>
                <w:highlight w:val="none"/>
                <w:lang w:val="en-US" w:eastAsia="zh-CN"/>
              </w:rPr>
              <w:t>提</w:t>
            </w:r>
            <w:r>
              <w:rPr>
                <w:rFonts w:hint="eastAsia" w:ascii="宋体" w:hAnsi="宋体" w:eastAsia="宋体" w:cs="宋体"/>
                <w:color w:val="auto"/>
                <w:sz w:val="24"/>
                <w:highlight w:val="none"/>
              </w:rPr>
              <w:t>供《中小企业声明函》或《残疾人福利性单位声明函》或由省级以上监狱管理局、戒毒管理局（含新疆生产建设兵团）出具的属于监狱企业的证明文件。</w:t>
            </w:r>
          </w:p>
          <w:p w14:paraId="70DD3138">
            <w:pPr>
              <w:tabs>
                <w:tab w:val="left" w:pos="1080"/>
              </w:tabs>
              <w:snapToGrid w:val="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如磋商文件要求以联合体形式参加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p>
        </w:tc>
        <w:tc>
          <w:tcPr>
            <w:tcW w:w="1028" w:type="pct"/>
            <w:noWrap w:val="0"/>
            <w:vAlign w:val="center"/>
          </w:tcPr>
          <w:p w14:paraId="04D95846">
            <w:pPr>
              <w:tabs>
                <w:tab w:val="left" w:pos="1080"/>
              </w:tabs>
              <w:snapToGrid w:val="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格式见《响应文件格式》</w:t>
            </w:r>
          </w:p>
        </w:tc>
      </w:tr>
      <w:tr w14:paraId="44916C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2B0B8FE4">
            <w:pPr>
              <w:tabs>
                <w:tab w:val="left" w:pos="1080"/>
              </w:tabs>
              <w:snapToGrid w:val="0"/>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2-1-</w:t>
            </w:r>
            <w:r>
              <w:rPr>
                <w:rFonts w:hint="eastAsia" w:ascii="宋体" w:hAnsi="宋体" w:eastAsia="宋体" w:cs="宋体"/>
                <w:color w:val="auto"/>
                <w:sz w:val="24"/>
                <w:highlight w:val="none"/>
                <w:lang w:val="en-US" w:eastAsia="zh-CN"/>
              </w:rPr>
              <w:t>2</w:t>
            </w:r>
          </w:p>
        </w:tc>
        <w:tc>
          <w:tcPr>
            <w:tcW w:w="938" w:type="pct"/>
            <w:noWrap w:val="0"/>
            <w:vAlign w:val="center"/>
          </w:tcPr>
          <w:p w14:paraId="015E570A">
            <w:pPr>
              <w:tabs>
                <w:tab w:val="left" w:pos="1080"/>
              </w:tabs>
              <w:snapToGrid w:val="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拟分包情况说明及分包意向协议</w:t>
            </w:r>
          </w:p>
        </w:tc>
        <w:tc>
          <w:tcPr>
            <w:tcW w:w="2579" w:type="pct"/>
            <w:noWrap w:val="0"/>
            <w:vAlign w:val="center"/>
          </w:tcPr>
          <w:p w14:paraId="5CCF47A5">
            <w:pPr>
              <w:tabs>
                <w:tab w:val="left" w:pos="1080"/>
              </w:tabs>
              <w:snapToGrid w:val="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如本项目（包）要求通过分包措施预留部分采购份额面向中小企业采购、且供应商因落实政府采购政策拟进行分包的，必须提供；否则无须提供。</w:t>
            </w:r>
          </w:p>
          <w:p w14:paraId="48064CE0">
            <w:pPr>
              <w:tabs>
                <w:tab w:val="left" w:pos="1080"/>
              </w:tabs>
              <w:snapToGrid w:val="0"/>
              <w:jc w:val="left"/>
              <w:rPr>
                <w:rFonts w:hint="eastAsia" w:ascii="宋体" w:hAnsi="宋体" w:eastAsia="宋体" w:cs="宋体"/>
                <w:b/>
                <w:color w:val="auto"/>
                <w:sz w:val="24"/>
                <w:highlight w:val="none"/>
              </w:rPr>
            </w:pPr>
            <w:r>
              <w:rPr>
                <w:rFonts w:hint="eastAsia" w:ascii="宋体" w:hAnsi="宋体" w:eastAsia="宋体" w:cs="宋体"/>
                <w:color w:val="auto"/>
                <w:sz w:val="24"/>
                <w:highlight w:val="none"/>
              </w:rPr>
              <w:t>对于预留份额专门面向中小企业采购的项目（包），组成联合体或者接受分包合同的中小企业与联合体内其他企业、分包企业之间不得存在直接控股、管理关系。</w:t>
            </w:r>
          </w:p>
        </w:tc>
        <w:tc>
          <w:tcPr>
            <w:tcW w:w="1028" w:type="pct"/>
            <w:noWrap w:val="0"/>
            <w:vAlign w:val="center"/>
          </w:tcPr>
          <w:p w14:paraId="6C7710A5">
            <w:pPr>
              <w:tabs>
                <w:tab w:val="left" w:pos="1080"/>
              </w:tabs>
              <w:snapToGrid w:val="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格式见《响应文件格式》</w:t>
            </w:r>
          </w:p>
        </w:tc>
      </w:tr>
      <w:tr w14:paraId="3751C1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93" w:hRule="atLeast"/>
        </w:trPr>
        <w:tc>
          <w:tcPr>
            <w:tcW w:w="455" w:type="pct"/>
            <w:noWrap w:val="0"/>
            <w:vAlign w:val="center"/>
          </w:tcPr>
          <w:p w14:paraId="26F8DA1F">
            <w:pPr>
              <w:tabs>
                <w:tab w:val="left" w:pos="1080"/>
              </w:tabs>
              <w:snapToGrid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2-2</w:t>
            </w:r>
          </w:p>
        </w:tc>
        <w:tc>
          <w:tcPr>
            <w:tcW w:w="938" w:type="pct"/>
            <w:noWrap w:val="0"/>
            <w:vAlign w:val="center"/>
          </w:tcPr>
          <w:p w14:paraId="60F3F54A">
            <w:pPr>
              <w:tabs>
                <w:tab w:val="left" w:pos="1080"/>
              </w:tabs>
              <w:snapToGrid w:val="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其它落实政府采购政策的资格要求</w:t>
            </w:r>
          </w:p>
        </w:tc>
        <w:tc>
          <w:tcPr>
            <w:tcW w:w="2579" w:type="pct"/>
            <w:noWrap w:val="0"/>
            <w:vAlign w:val="center"/>
          </w:tcPr>
          <w:p w14:paraId="7E04B0EE">
            <w:pPr>
              <w:tabs>
                <w:tab w:val="left" w:pos="1080"/>
              </w:tabs>
              <w:snapToGrid w:val="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如有，见第一章《采购邀请》</w:t>
            </w:r>
          </w:p>
        </w:tc>
        <w:tc>
          <w:tcPr>
            <w:tcW w:w="1028" w:type="pct"/>
            <w:noWrap w:val="0"/>
            <w:vAlign w:val="center"/>
          </w:tcPr>
          <w:p w14:paraId="4D9A49B0">
            <w:pPr>
              <w:tabs>
                <w:tab w:val="left" w:pos="1080"/>
              </w:tabs>
              <w:snapToGrid w:val="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提供证明文件的电子件或电子证照</w:t>
            </w:r>
          </w:p>
        </w:tc>
      </w:tr>
      <w:tr w14:paraId="6E695A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056E41E8">
            <w:pPr>
              <w:tabs>
                <w:tab w:val="left" w:pos="1080"/>
              </w:tabs>
              <w:snapToGrid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938" w:type="pct"/>
            <w:noWrap w:val="0"/>
            <w:vAlign w:val="center"/>
          </w:tcPr>
          <w:p w14:paraId="5EAFBF32">
            <w:pPr>
              <w:tabs>
                <w:tab w:val="left" w:pos="1080"/>
              </w:tabs>
              <w:snapToGrid w:val="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本项目的特定资格要求</w:t>
            </w:r>
          </w:p>
        </w:tc>
        <w:tc>
          <w:tcPr>
            <w:tcW w:w="2579" w:type="pct"/>
            <w:noWrap w:val="0"/>
            <w:vAlign w:val="center"/>
          </w:tcPr>
          <w:p w14:paraId="49AF0F3E">
            <w:pPr>
              <w:tabs>
                <w:tab w:val="left" w:pos="1080"/>
              </w:tabs>
              <w:snapToGrid w:val="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如有，见第一章《采购邀请》</w:t>
            </w:r>
          </w:p>
        </w:tc>
        <w:tc>
          <w:tcPr>
            <w:tcW w:w="1028" w:type="pct"/>
            <w:noWrap w:val="0"/>
            <w:vAlign w:val="center"/>
          </w:tcPr>
          <w:p w14:paraId="439A0770">
            <w:pPr>
              <w:tabs>
                <w:tab w:val="left" w:pos="1080"/>
              </w:tabs>
              <w:snapToGrid w:val="0"/>
              <w:jc w:val="left"/>
              <w:rPr>
                <w:rFonts w:hint="eastAsia" w:ascii="宋体" w:hAnsi="宋体" w:eastAsia="宋体" w:cs="宋体"/>
                <w:color w:val="auto"/>
                <w:sz w:val="24"/>
                <w:highlight w:val="none"/>
              </w:rPr>
            </w:pPr>
          </w:p>
        </w:tc>
      </w:tr>
      <w:tr w14:paraId="17C787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7253CCFB">
            <w:pPr>
              <w:tabs>
                <w:tab w:val="left" w:pos="1080"/>
              </w:tabs>
              <w:snapToGrid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3-1</w:t>
            </w:r>
          </w:p>
        </w:tc>
        <w:tc>
          <w:tcPr>
            <w:tcW w:w="938" w:type="pct"/>
            <w:noWrap w:val="0"/>
            <w:vAlign w:val="center"/>
          </w:tcPr>
          <w:p w14:paraId="75B51313">
            <w:pPr>
              <w:tabs>
                <w:tab w:val="left" w:pos="1080"/>
              </w:tabs>
              <w:snapToGrid w:val="0"/>
              <w:rPr>
                <w:rFonts w:hint="eastAsia" w:ascii="宋体" w:hAnsi="宋体" w:eastAsia="宋体" w:cs="宋体"/>
                <w:color w:val="auto"/>
                <w:sz w:val="24"/>
                <w:highlight w:val="none"/>
              </w:rPr>
            </w:pPr>
            <w:r>
              <w:rPr>
                <w:rFonts w:ascii="宋体" w:hAnsi="宋体" w:eastAsia="宋体" w:cs="宋体"/>
                <w:spacing w:val="12"/>
                <w:sz w:val="24"/>
                <w:szCs w:val="24"/>
                <w:highlight w:val="none"/>
              </w:rPr>
              <w:t>本项目对于联</w:t>
            </w:r>
            <w:r>
              <w:rPr>
                <w:rFonts w:ascii="宋体" w:hAnsi="宋体" w:eastAsia="宋体" w:cs="宋体"/>
                <w:spacing w:val="-2"/>
                <w:sz w:val="24"/>
                <w:szCs w:val="24"/>
                <w:highlight w:val="none"/>
              </w:rPr>
              <w:t>合体的要求</w:t>
            </w:r>
          </w:p>
        </w:tc>
        <w:tc>
          <w:tcPr>
            <w:tcW w:w="2579" w:type="pct"/>
            <w:noWrap w:val="0"/>
            <w:vAlign w:val="center"/>
          </w:tcPr>
          <w:p w14:paraId="6A428D96">
            <w:pPr>
              <w:tabs>
                <w:tab w:val="left" w:pos="1080"/>
              </w:tabs>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递交。</w:t>
            </w:r>
          </w:p>
          <w:p w14:paraId="0EE25939">
            <w:pPr>
              <w:tabs>
                <w:tab w:val="left" w:pos="1080"/>
              </w:tabs>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2、联合体各成员单位均须提供本表中序号1-1、1-2的证明文件。联合体各成员单位均</w:t>
            </w:r>
          </w:p>
          <w:p w14:paraId="4AEA764D">
            <w:pPr>
              <w:tabs>
                <w:tab w:val="left" w:pos="1080"/>
              </w:tabs>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应满足本表 3-2 及 3-3 项规定。</w:t>
            </w:r>
          </w:p>
          <w:p w14:paraId="72638D19">
            <w:pPr>
              <w:tabs>
                <w:tab w:val="left" w:pos="1080"/>
              </w:tabs>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3、本表序号3-</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项规定的其他特定资格要求中的每一小项要求，联合体各方中至少应当有一方符合本表中其他资格要求并提供证明文件。</w:t>
            </w:r>
          </w:p>
          <w:p w14:paraId="68D1716E">
            <w:pPr>
              <w:tabs>
                <w:tab w:val="left" w:pos="1080"/>
              </w:tabs>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4、联合体中有同类资质的供应商按照联合体分工承担相同工作的，应当按照资质等级较低的供应商确定资质等级。</w:t>
            </w:r>
          </w:p>
          <w:p w14:paraId="301ED5F0">
            <w:pPr>
              <w:tabs>
                <w:tab w:val="left" w:pos="1080"/>
              </w:tabs>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5、以联合体形式参加政府采购活动的，联合体各方不得再单独参加或者与其他供应商另外组成联合体参加同一合同项下的政府采购活动。</w:t>
            </w:r>
          </w:p>
          <w:p w14:paraId="5786B194">
            <w:pPr>
              <w:tabs>
                <w:tab w:val="left" w:pos="1080"/>
              </w:tabs>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6、若联合体中任一成员单位中途退出，则该联合体的</w:t>
            </w:r>
            <w:r>
              <w:rPr>
                <w:rFonts w:hint="eastAsia" w:ascii="宋体" w:hAnsi="宋体" w:eastAsia="宋体" w:cs="宋体"/>
                <w:b/>
                <w:color w:val="auto"/>
                <w:sz w:val="24"/>
                <w:highlight w:val="none"/>
              </w:rPr>
              <w:t>响应无效</w:t>
            </w:r>
            <w:r>
              <w:rPr>
                <w:rFonts w:hint="eastAsia" w:ascii="宋体" w:hAnsi="宋体" w:eastAsia="宋体" w:cs="宋体"/>
                <w:color w:val="auto"/>
                <w:sz w:val="24"/>
                <w:highlight w:val="none"/>
              </w:rPr>
              <w:t>。</w:t>
            </w:r>
          </w:p>
          <w:p w14:paraId="11FF919A">
            <w:pPr>
              <w:tabs>
                <w:tab w:val="left" w:pos="1080"/>
              </w:tabs>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7、本项目不接受联合体响应时，供应商不得为联合体。 </w:t>
            </w:r>
          </w:p>
        </w:tc>
        <w:tc>
          <w:tcPr>
            <w:tcW w:w="1028" w:type="pct"/>
            <w:noWrap w:val="0"/>
            <w:vAlign w:val="center"/>
          </w:tcPr>
          <w:p w14:paraId="05DE85E2">
            <w:pPr>
              <w:tabs>
                <w:tab w:val="left" w:pos="1080"/>
              </w:tabs>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提供《联合协议》原件的电子件</w:t>
            </w:r>
          </w:p>
          <w:p w14:paraId="0C5D9986">
            <w:pPr>
              <w:tabs>
                <w:tab w:val="left" w:pos="1080"/>
              </w:tabs>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格式见《响应文件格式》</w:t>
            </w:r>
          </w:p>
        </w:tc>
      </w:tr>
      <w:tr w14:paraId="3CC24E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2FBDA919">
            <w:pPr>
              <w:tabs>
                <w:tab w:val="left" w:pos="1080"/>
              </w:tabs>
              <w:snapToGrid w:val="0"/>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3-2</w:t>
            </w:r>
          </w:p>
        </w:tc>
        <w:tc>
          <w:tcPr>
            <w:tcW w:w="938" w:type="pct"/>
            <w:noWrap w:val="0"/>
            <w:vAlign w:val="center"/>
          </w:tcPr>
          <w:p w14:paraId="2863CCAD">
            <w:pPr>
              <w:keepNext w:val="0"/>
              <w:keepLines w:val="0"/>
              <w:widowControl/>
              <w:suppressLineNumbers w:val="0"/>
              <w:jc w:val="left"/>
              <w:rPr>
                <w:rFonts w:hint="eastAsia" w:ascii="宋体" w:hAnsi="宋体" w:eastAsia="宋体" w:cs="宋体"/>
                <w:color w:val="auto"/>
                <w:sz w:val="24"/>
                <w:highlight w:val="none"/>
              </w:rPr>
            </w:pPr>
            <w:r>
              <w:rPr>
                <w:rFonts w:hint="eastAsia" w:ascii="宋体" w:hAnsi="宋体" w:eastAsia="宋体" w:cs="宋体"/>
                <w:color w:val="000000"/>
                <w:kern w:val="0"/>
                <w:sz w:val="24"/>
                <w:szCs w:val="24"/>
                <w:highlight w:val="none"/>
                <w:lang w:val="en-US" w:eastAsia="zh-CN" w:bidi="ar"/>
              </w:rPr>
              <w:t>政府购买服务承接主体的要求</w:t>
            </w:r>
          </w:p>
        </w:tc>
        <w:tc>
          <w:tcPr>
            <w:tcW w:w="2579" w:type="pct"/>
            <w:noWrap w:val="0"/>
            <w:vAlign w:val="center"/>
          </w:tcPr>
          <w:p w14:paraId="1114BEA5">
            <w:pPr>
              <w:keepNext w:val="0"/>
              <w:keepLines w:val="0"/>
              <w:widowControl/>
              <w:suppressLineNumbers w:val="0"/>
              <w:jc w:val="left"/>
              <w:rPr>
                <w:rFonts w:hint="eastAsia" w:ascii="宋体" w:hAnsi="宋体" w:eastAsia="宋体" w:cs="宋体"/>
                <w:color w:val="auto"/>
                <w:sz w:val="24"/>
                <w:highlight w:val="none"/>
              </w:rPr>
            </w:pPr>
            <w:r>
              <w:rPr>
                <w:rFonts w:hint="eastAsia" w:ascii="宋体" w:hAnsi="宋体" w:eastAsia="宋体" w:cs="宋体"/>
                <w:color w:val="000000"/>
                <w:kern w:val="0"/>
                <w:sz w:val="24"/>
                <w:szCs w:val="24"/>
                <w:highlight w:val="none"/>
                <w:lang w:val="en-US" w:eastAsia="zh-CN" w:bidi="ar"/>
              </w:rPr>
              <w:t xml:space="preserve">如本项目属于政府购买服务，供应商不属于公益一类事业单位、使用事业编制且由财政拨款保障的群团组织。 </w:t>
            </w:r>
          </w:p>
        </w:tc>
        <w:tc>
          <w:tcPr>
            <w:tcW w:w="1028" w:type="pct"/>
            <w:noWrap w:val="0"/>
            <w:vAlign w:val="center"/>
          </w:tcPr>
          <w:p w14:paraId="5D125AF7">
            <w:pPr>
              <w:tabs>
                <w:tab w:val="left" w:pos="1080"/>
              </w:tabs>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格式见《响应文件格式》</w:t>
            </w:r>
          </w:p>
        </w:tc>
      </w:tr>
      <w:tr w14:paraId="542B2C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2CF56C05">
            <w:pPr>
              <w:tabs>
                <w:tab w:val="left" w:pos="1080"/>
              </w:tabs>
              <w:snapToGrid w:val="0"/>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3</w:t>
            </w:r>
          </w:p>
        </w:tc>
        <w:tc>
          <w:tcPr>
            <w:tcW w:w="938" w:type="pct"/>
            <w:noWrap w:val="0"/>
            <w:vAlign w:val="center"/>
          </w:tcPr>
          <w:p w14:paraId="2E93A401">
            <w:pPr>
              <w:tabs>
                <w:tab w:val="left" w:pos="1080"/>
              </w:tabs>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其他特定资格要求</w:t>
            </w:r>
          </w:p>
        </w:tc>
        <w:tc>
          <w:tcPr>
            <w:tcW w:w="2579" w:type="pct"/>
            <w:noWrap w:val="0"/>
            <w:vAlign w:val="center"/>
          </w:tcPr>
          <w:p w14:paraId="7CD8EB43">
            <w:pPr>
              <w:keepNext w:val="0"/>
              <w:keepLines w:val="0"/>
              <w:widowControl/>
              <w:suppressLineNumbers w:val="0"/>
              <w:jc w:val="lef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如有，见第一章《采购邀请》</w:t>
            </w:r>
          </w:p>
        </w:tc>
        <w:tc>
          <w:tcPr>
            <w:tcW w:w="1028" w:type="pct"/>
            <w:noWrap w:val="0"/>
            <w:vAlign w:val="center"/>
          </w:tcPr>
          <w:p w14:paraId="0F851659">
            <w:pPr>
              <w:tabs>
                <w:tab w:val="left" w:pos="1080"/>
              </w:tabs>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提供证明文件的电子件或电子证照</w:t>
            </w:r>
          </w:p>
        </w:tc>
      </w:tr>
      <w:tr w14:paraId="74A688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32BF209F">
            <w:pPr>
              <w:tabs>
                <w:tab w:val="left" w:pos="1080"/>
              </w:tabs>
              <w:snapToGrid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938" w:type="pct"/>
            <w:noWrap w:val="0"/>
            <w:vAlign w:val="center"/>
          </w:tcPr>
          <w:p w14:paraId="45729D71">
            <w:pPr>
              <w:tabs>
                <w:tab w:val="left" w:pos="1080"/>
              </w:tabs>
              <w:snapToGrid w:val="0"/>
              <w:rPr>
                <w:rFonts w:hint="eastAsia" w:ascii="宋体" w:hAnsi="宋体" w:eastAsia="宋体" w:cs="宋体"/>
                <w:color w:val="auto"/>
                <w:sz w:val="24"/>
                <w:highlight w:val="none"/>
              </w:rPr>
            </w:pPr>
            <w:r>
              <w:rPr>
                <w:rFonts w:hint="eastAsia" w:ascii="宋体" w:hAnsi="宋体" w:eastAsia="宋体" w:cs="宋体"/>
                <w:color w:val="auto"/>
                <w:kern w:val="0"/>
                <w:sz w:val="24"/>
                <w:highlight w:val="none"/>
              </w:rPr>
              <w:t>磋商保证金</w:t>
            </w:r>
          </w:p>
        </w:tc>
        <w:tc>
          <w:tcPr>
            <w:tcW w:w="2579" w:type="pct"/>
            <w:noWrap w:val="0"/>
            <w:vAlign w:val="center"/>
          </w:tcPr>
          <w:p w14:paraId="5CC01C2B">
            <w:pPr>
              <w:tabs>
                <w:tab w:val="left" w:pos="1080"/>
              </w:tabs>
              <w:snapToGrid w:val="0"/>
              <w:rPr>
                <w:rFonts w:hint="eastAsia" w:ascii="宋体" w:hAnsi="宋体" w:eastAsia="宋体" w:cs="宋体"/>
                <w:color w:val="auto"/>
                <w:sz w:val="24"/>
                <w:highlight w:val="none"/>
              </w:rPr>
            </w:pPr>
            <w:r>
              <w:rPr>
                <w:rFonts w:hint="eastAsia" w:ascii="宋体" w:hAnsi="宋体" w:eastAsia="宋体" w:cs="宋体"/>
                <w:color w:val="auto"/>
                <w:kern w:val="0"/>
                <w:sz w:val="24"/>
                <w:highlight w:val="none"/>
              </w:rPr>
              <w:t>按照竞争性磋商文件的要求提交磋商保证金。</w:t>
            </w:r>
          </w:p>
        </w:tc>
        <w:tc>
          <w:tcPr>
            <w:tcW w:w="1028" w:type="pct"/>
            <w:noWrap w:val="0"/>
            <w:vAlign w:val="center"/>
          </w:tcPr>
          <w:p w14:paraId="659965EC">
            <w:pPr>
              <w:tabs>
                <w:tab w:val="left" w:pos="1080"/>
              </w:tabs>
              <w:snapToGrid w:val="0"/>
              <w:rPr>
                <w:rFonts w:hint="eastAsia" w:ascii="宋体" w:hAnsi="宋体" w:eastAsia="宋体" w:cs="宋体"/>
                <w:color w:val="auto"/>
                <w:sz w:val="24"/>
                <w:highlight w:val="none"/>
              </w:rPr>
            </w:pPr>
          </w:p>
        </w:tc>
      </w:tr>
    </w:tbl>
    <w:p w14:paraId="5E3E0F3A">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p w14:paraId="5AC965D8">
      <w:pPr>
        <w:numPr>
          <w:ilvl w:val="1"/>
          <w:numId w:val="6"/>
        </w:numPr>
        <w:tabs>
          <w:tab w:val="left" w:pos="1080"/>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《符合性审查要求》见下表：</w:t>
      </w:r>
    </w:p>
    <w:p w14:paraId="332844EC">
      <w:pPr>
        <w:widowControl/>
        <w:spacing w:line="360" w:lineRule="auto"/>
        <w:jc w:val="center"/>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t>符合性审查要求</w:t>
      </w:r>
    </w:p>
    <w:tbl>
      <w:tblPr>
        <w:tblStyle w:val="18"/>
        <w:tblW w:w="452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5"/>
        <w:gridCol w:w="1666"/>
        <w:gridCol w:w="3429"/>
        <w:gridCol w:w="1609"/>
        <w:gridCol w:w="43"/>
      </w:tblGrid>
      <w:tr w14:paraId="10318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25" w:type="pct"/>
            <w:shd w:val="clear" w:color="000000" w:fill="FFFFFF"/>
            <w:noWrap w:val="0"/>
            <w:vAlign w:val="center"/>
          </w:tcPr>
          <w:p w14:paraId="219F92B7">
            <w:pPr>
              <w:widowControl/>
              <w:jc w:val="center"/>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t>序号</w:t>
            </w:r>
          </w:p>
        </w:tc>
        <w:tc>
          <w:tcPr>
            <w:tcW w:w="1080" w:type="pct"/>
            <w:shd w:val="clear" w:color="000000" w:fill="FFFFFF"/>
            <w:noWrap w:val="0"/>
            <w:vAlign w:val="center"/>
          </w:tcPr>
          <w:p w14:paraId="77AD1312">
            <w:pPr>
              <w:widowControl/>
              <w:jc w:val="center"/>
              <w:rPr>
                <w:rFonts w:hint="eastAsia" w:ascii="宋体" w:hAnsi="宋体" w:eastAsia="宋体" w:cs="宋体"/>
                <w:b/>
                <w:color w:val="auto"/>
                <w:kern w:val="0"/>
                <w:sz w:val="24"/>
                <w:highlight w:val="none"/>
              </w:rPr>
            </w:pPr>
            <w:r>
              <w:rPr>
                <w:rFonts w:hint="eastAsia" w:ascii="宋体" w:hAnsi="宋体" w:eastAsia="宋体" w:cs="宋体"/>
                <w:b/>
                <w:color w:val="auto"/>
                <w:sz w:val="24"/>
                <w:highlight w:val="none"/>
              </w:rPr>
              <w:t>检查</w:t>
            </w:r>
            <w:r>
              <w:rPr>
                <w:rFonts w:hint="eastAsia" w:ascii="宋体" w:hAnsi="宋体" w:eastAsia="宋体" w:cs="宋体"/>
                <w:b/>
                <w:color w:val="auto"/>
                <w:kern w:val="0"/>
                <w:sz w:val="24"/>
                <w:highlight w:val="none"/>
              </w:rPr>
              <w:t>因素</w:t>
            </w:r>
          </w:p>
        </w:tc>
        <w:tc>
          <w:tcPr>
            <w:tcW w:w="2223" w:type="pct"/>
            <w:shd w:val="clear" w:color="000000" w:fill="FFFFFF"/>
            <w:noWrap w:val="0"/>
            <w:vAlign w:val="center"/>
          </w:tcPr>
          <w:p w14:paraId="445015EA">
            <w:pPr>
              <w:widowControl/>
              <w:jc w:val="center"/>
              <w:rPr>
                <w:rFonts w:hint="eastAsia" w:ascii="宋体" w:hAnsi="宋体" w:eastAsia="宋体" w:cs="宋体"/>
                <w:b/>
                <w:color w:val="auto"/>
                <w:kern w:val="0"/>
                <w:sz w:val="24"/>
                <w:highlight w:val="none"/>
              </w:rPr>
            </w:pPr>
            <w:r>
              <w:rPr>
                <w:rFonts w:hint="eastAsia" w:ascii="宋体" w:hAnsi="宋体" w:eastAsia="宋体" w:cs="宋体"/>
                <w:b/>
                <w:color w:val="auto"/>
                <w:sz w:val="24"/>
                <w:highlight w:val="none"/>
              </w:rPr>
              <w:t>检查</w:t>
            </w:r>
            <w:r>
              <w:rPr>
                <w:rFonts w:hint="eastAsia" w:ascii="宋体" w:hAnsi="宋体" w:eastAsia="宋体" w:cs="宋体"/>
                <w:b/>
                <w:color w:val="auto"/>
                <w:kern w:val="0"/>
                <w:sz w:val="24"/>
                <w:highlight w:val="none"/>
              </w:rPr>
              <w:t>内容</w:t>
            </w:r>
          </w:p>
        </w:tc>
        <w:tc>
          <w:tcPr>
            <w:tcW w:w="1071" w:type="pct"/>
            <w:gridSpan w:val="2"/>
            <w:shd w:val="clear" w:color="000000" w:fill="FFFFFF"/>
            <w:noWrap w:val="0"/>
            <w:vAlign w:val="center"/>
          </w:tcPr>
          <w:p w14:paraId="78727D73">
            <w:pPr>
              <w:widowControl/>
              <w:jc w:val="center"/>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t>是否允许澄清、说明或者更正</w:t>
            </w:r>
          </w:p>
        </w:tc>
      </w:tr>
      <w:tr w14:paraId="63B3A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25" w:type="pct"/>
            <w:shd w:val="clear" w:color="000000" w:fill="FFFFFF"/>
            <w:noWrap w:val="0"/>
            <w:vAlign w:val="center"/>
          </w:tcPr>
          <w:p w14:paraId="12F1548C">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w:t>
            </w:r>
          </w:p>
        </w:tc>
        <w:tc>
          <w:tcPr>
            <w:tcW w:w="1080" w:type="pct"/>
            <w:shd w:val="clear" w:color="000000" w:fill="FFFFFF"/>
            <w:noWrap w:val="0"/>
            <w:vAlign w:val="center"/>
          </w:tcPr>
          <w:p w14:paraId="1E27F971">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投标有效期</w:t>
            </w:r>
          </w:p>
        </w:tc>
        <w:tc>
          <w:tcPr>
            <w:tcW w:w="2223" w:type="pct"/>
            <w:shd w:val="clear" w:color="000000" w:fill="FFFFFF"/>
            <w:noWrap w:val="0"/>
            <w:vAlign w:val="center"/>
          </w:tcPr>
          <w:p w14:paraId="2BA6EA4C">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sz w:val="24"/>
                <w:szCs w:val="28"/>
                <w:highlight w:val="none"/>
              </w:rPr>
              <w:t>响应文件有效期满足磋商文件要求的</w:t>
            </w:r>
          </w:p>
        </w:tc>
        <w:tc>
          <w:tcPr>
            <w:tcW w:w="1071" w:type="pct"/>
            <w:gridSpan w:val="2"/>
            <w:shd w:val="clear" w:color="000000" w:fill="FFFFFF"/>
            <w:noWrap w:val="0"/>
            <w:vAlign w:val="center"/>
          </w:tcPr>
          <w:p w14:paraId="61FE29B5">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否</w:t>
            </w:r>
          </w:p>
        </w:tc>
      </w:tr>
      <w:tr w14:paraId="05F6D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25" w:type="pct"/>
            <w:shd w:val="clear" w:color="000000" w:fill="FFFFFF"/>
            <w:noWrap w:val="0"/>
            <w:vAlign w:val="center"/>
          </w:tcPr>
          <w:p w14:paraId="2666BAA9">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w:t>
            </w:r>
          </w:p>
        </w:tc>
        <w:tc>
          <w:tcPr>
            <w:tcW w:w="1080" w:type="pct"/>
            <w:shd w:val="clear" w:color="000000" w:fill="FFFFFF"/>
            <w:noWrap w:val="0"/>
            <w:vAlign w:val="center"/>
          </w:tcPr>
          <w:p w14:paraId="3EA4F6E5">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签署、盖章情况</w:t>
            </w:r>
          </w:p>
        </w:tc>
        <w:tc>
          <w:tcPr>
            <w:tcW w:w="2223" w:type="pct"/>
            <w:shd w:val="clear" w:color="000000" w:fill="FFFFFF"/>
            <w:noWrap w:val="0"/>
            <w:vAlign w:val="center"/>
          </w:tcPr>
          <w:p w14:paraId="097F0CEB">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响应文件符合磋商文件的签署和盖章要求</w:t>
            </w:r>
          </w:p>
        </w:tc>
        <w:tc>
          <w:tcPr>
            <w:tcW w:w="1071" w:type="pct"/>
            <w:gridSpan w:val="2"/>
            <w:shd w:val="clear" w:color="000000" w:fill="FFFFFF"/>
            <w:noWrap w:val="0"/>
            <w:vAlign w:val="center"/>
          </w:tcPr>
          <w:p w14:paraId="6FD6E592">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否</w:t>
            </w:r>
          </w:p>
        </w:tc>
      </w:tr>
      <w:tr w14:paraId="64535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25" w:type="pct"/>
            <w:shd w:val="clear" w:color="000000" w:fill="FFFFFF"/>
            <w:noWrap w:val="0"/>
            <w:vAlign w:val="center"/>
          </w:tcPr>
          <w:p w14:paraId="31B99E7E">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w:t>
            </w:r>
          </w:p>
        </w:tc>
        <w:tc>
          <w:tcPr>
            <w:tcW w:w="1080" w:type="pct"/>
            <w:shd w:val="clear" w:color="000000" w:fill="FFFFFF"/>
            <w:noWrap w:val="0"/>
            <w:vAlign w:val="center"/>
          </w:tcPr>
          <w:p w14:paraId="4B3E56EF">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授权委托书</w:t>
            </w:r>
          </w:p>
        </w:tc>
        <w:tc>
          <w:tcPr>
            <w:tcW w:w="2223" w:type="pct"/>
            <w:shd w:val="clear" w:color="000000" w:fill="FFFFFF"/>
            <w:noWrap w:val="0"/>
            <w:vAlign w:val="center"/>
          </w:tcPr>
          <w:p w14:paraId="4CD86DDF">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按磋商文件要求提供授权委托书；</w:t>
            </w:r>
          </w:p>
        </w:tc>
        <w:tc>
          <w:tcPr>
            <w:tcW w:w="1071" w:type="pct"/>
            <w:gridSpan w:val="2"/>
            <w:shd w:val="clear" w:color="000000" w:fill="FFFFFF"/>
            <w:noWrap w:val="0"/>
            <w:vAlign w:val="center"/>
          </w:tcPr>
          <w:p w14:paraId="376D2B62">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否</w:t>
            </w:r>
          </w:p>
        </w:tc>
      </w:tr>
      <w:tr w14:paraId="64A87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5" w:hRule="atLeast"/>
          <w:jc w:val="center"/>
        </w:trPr>
        <w:tc>
          <w:tcPr>
            <w:tcW w:w="625" w:type="pct"/>
            <w:shd w:val="clear" w:color="000000" w:fill="FFFFFF"/>
            <w:noWrap w:val="0"/>
            <w:vAlign w:val="center"/>
          </w:tcPr>
          <w:p w14:paraId="241C042C">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w:t>
            </w:r>
          </w:p>
        </w:tc>
        <w:tc>
          <w:tcPr>
            <w:tcW w:w="1080" w:type="pct"/>
            <w:shd w:val="clear" w:color="000000" w:fill="FFFFFF"/>
            <w:noWrap w:val="0"/>
            <w:vAlign w:val="center"/>
          </w:tcPr>
          <w:p w14:paraId="54CB0180">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实质性格式</w:t>
            </w:r>
          </w:p>
        </w:tc>
        <w:tc>
          <w:tcPr>
            <w:tcW w:w="2223" w:type="pct"/>
            <w:shd w:val="clear" w:color="000000" w:fill="FFFFFF"/>
            <w:noWrap w:val="0"/>
            <w:vAlign w:val="center"/>
          </w:tcPr>
          <w:p w14:paraId="2830D893">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标记为“实质性格式”的文件均按磋商文件要求提供；</w:t>
            </w:r>
          </w:p>
        </w:tc>
        <w:tc>
          <w:tcPr>
            <w:tcW w:w="1071" w:type="pct"/>
            <w:gridSpan w:val="2"/>
            <w:shd w:val="clear" w:color="000000" w:fill="FFFFFF"/>
            <w:noWrap w:val="0"/>
            <w:vAlign w:val="center"/>
          </w:tcPr>
          <w:p w14:paraId="6CB6477A">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否</w:t>
            </w:r>
          </w:p>
        </w:tc>
      </w:tr>
      <w:tr w14:paraId="44E5E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25" w:type="pct"/>
            <w:shd w:val="clear" w:color="000000" w:fill="FFFFFF"/>
            <w:noWrap w:val="0"/>
            <w:vAlign w:val="center"/>
          </w:tcPr>
          <w:p w14:paraId="235765D0">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5</w:t>
            </w:r>
          </w:p>
        </w:tc>
        <w:tc>
          <w:tcPr>
            <w:tcW w:w="1080" w:type="pct"/>
            <w:shd w:val="clear" w:color="000000" w:fill="FFFFFF"/>
            <w:noWrap w:val="0"/>
            <w:vAlign w:val="center"/>
          </w:tcPr>
          <w:p w14:paraId="3FB65600">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工期</w:t>
            </w:r>
          </w:p>
        </w:tc>
        <w:tc>
          <w:tcPr>
            <w:tcW w:w="2223" w:type="pct"/>
            <w:shd w:val="clear" w:color="000000" w:fill="FFFFFF"/>
            <w:noWrap w:val="0"/>
            <w:vAlign w:val="center"/>
          </w:tcPr>
          <w:p w14:paraId="185D4DFA">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工期满足磋商文件要求；</w:t>
            </w:r>
          </w:p>
        </w:tc>
        <w:tc>
          <w:tcPr>
            <w:tcW w:w="1071" w:type="pct"/>
            <w:gridSpan w:val="2"/>
            <w:shd w:val="clear" w:color="000000" w:fill="FFFFFF"/>
            <w:noWrap w:val="0"/>
            <w:vAlign w:val="center"/>
          </w:tcPr>
          <w:p w14:paraId="3796FBCD">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否</w:t>
            </w:r>
          </w:p>
        </w:tc>
      </w:tr>
      <w:tr w14:paraId="343AB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25" w:type="pct"/>
            <w:shd w:val="clear" w:color="000000" w:fill="FFFFFF"/>
            <w:noWrap w:val="0"/>
            <w:vAlign w:val="center"/>
          </w:tcPr>
          <w:p w14:paraId="59072804">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6</w:t>
            </w:r>
          </w:p>
        </w:tc>
        <w:tc>
          <w:tcPr>
            <w:tcW w:w="1080" w:type="pct"/>
            <w:shd w:val="clear" w:color="000000" w:fill="FFFFFF"/>
            <w:noWrap w:val="0"/>
            <w:vAlign w:val="center"/>
          </w:tcPr>
          <w:p w14:paraId="00F75EC8">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工程质量</w:t>
            </w:r>
          </w:p>
        </w:tc>
        <w:tc>
          <w:tcPr>
            <w:tcW w:w="2223" w:type="pct"/>
            <w:shd w:val="clear" w:color="000000" w:fill="FFFFFF"/>
            <w:noWrap w:val="0"/>
            <w:vAlign w:val="center"/>
          </w:tcPr>
          <w:p w14:paraId="0985E81F">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工程质量要求满足磋商文件要求：</w:t>
            </w:r>
            <w:r>
              <w:rPr>
                <w:rFonts w:hint="eastAsia" w:ascii="宋体" w:hAnsi="宋体" w:eastAsia="宋体" w:cs="宋体"/>
                <w:b/>
                <w:color w:val="auto"/>
                <w:sz w:val="24"/>
                <w:highlight w:val="none"/>
              </w:rPr>
              <w:t>合格；</w:t>
            </w:r>
          </w:p>
        </w:tc>
        <w:tc>
          <w:tcPr>
            <w:tcW w:w="1071" w:type="pct"/>
            <w:gridSpan w:val="2"/>
            <w:shd w:val="clear" w:color="000000" w:fill="FFFFFF"/>
            <w:noWrap w:val="0"/>
            <w:vAlign w:val="center"/>
          </w:tcPr>
          <w:p w14:paraId="60F6D870">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否</w:t>
            </w:r>
          </w:p>
        </w:tc>
      </w:tr>
      <w:tr w14:paraId="216F1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25" w:type="pct"/>
            <w:shd w:val="clear" w:color="000000" w:fill="FFFFFF"/>
            <w:noWrap w:val="0"/>
            <w:vAlign w:val="center"/>
          </w:tcPr>
          <w:p w14:paraId="364C40AB">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7</w:t>
            </w:r>
          </w:p>
        </w:tc>
        <w:tc>
          <w:tcPr>
            <w:tcW w:w="1080" w:type="pct"/>
            <w:shd w:val="clear" w:color="000000" w:fill="FFFFFF"/>
            <w:noWrap w:val="0"/>
            <w:vAlign w:val="center"/>
          </w:tcPr>
          <w:p w14:paraId="370E6434">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施工现场安全生产标准化管理目标等级</w:t>
            </w:r>
          </w:p>
        </w:tc>
        <w:tc>
          <w:tcPr>
            <w:tcW w:w="2223" w:type="pct"/>
            <w:shd w:val="clear" w:color="000000" w:fill="FFFFFF"/>
            <w:noWrap w:val="0"/>
            <w:vAlign w:val="center"/>
          </w:tcPr>
          <w:p w14:paraId="41DD555A">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施工现场安全生产标准化管理目标等级达到磋商文件要求：</w:t>
            </w:r>
            <w:r>
              <w:rPr>
                <w:rFonts w:hint="eastAsia" w:ascii="宋体" w:hAnsi="宋体" w:eastAsia="宋体" w:cs="宋体"/>
                <w:b/>
                <w:color w:val="auto"/>
                <w:sz w:val="24"/>
                <w:highlight w:val="none"/>
              </w:rPr>
              <w:t>达标；</w:t>
            </w:r>
          </w:p>
        </w:tc>
        <w:tc>
          <w:tcPr>
            <w:tcW w:w="1071" w:type="pct"/>
            <w:gridSpan w:val="2"/>
            <w:shd w:val="clear" w:color="000000" w:fill="FFFFFF"/>
            <w:noWrap w:val="0"/>
            <w:vAlign w:val="center"/>
          </w:tcPr>
          <w:p w14:paraId="22A44FC1">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否</w:t>
            </w:r>
          </w:p>
        </w:tc>
      </w:tr>
      <w:tr w14:paraId="37BCA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25" w:type="pct"/>
            <w:shd w:val="clear" w:color="000000" w:fill="FFFFFF"/>
            <w:noWrap w:val="0"/>
            <w:vAlign w:val="center"/>
          </w:tcPr>
          <w:p w14:paraId="5565A31B">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8</w:t>
            </w:r>
          </w:p>
        </w:tc>
        <w:tc>
          <w:tcPr>
            <w:tcW w:w="1080" w:type="pct"/>
            <w:shd w:val="clear" w:color="000000" w:fill="FFFFFF"/>
            <w:noWrap w:val="0"/>
            <w:vAlign w:val="center"/>
          </w:tcPr>
          <w:p w14:paraId="5A5D1352">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sz w:val="24"/>
                <w:highlight w:val="none"/>
                <w:shd w:val="clear" w:color="auto" w:fill="FFFFFF"/>
              </w:rPr>
              <w:t>已标价工程量清单</w:t>
            </w:r>
          </w:p>
        </w:tc>
        <w:tc>
          <w:tcPr>
            <w:tcW w:w="2223" w:type="pct"/>
            <w:shd w:val="clear" w:color="000000" w:fill="FFFFFF"/>
            <w:noWrap w:val="0"/>
            <w:vAlign w:val="center"/>
          </w:tcPr>
          <w:p w14:paraId="00044D49">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未出现：供应商提供的报价文件未按工程量清单计价相关格式的规定经造价人员或有注册执业资格的造价工程师签字并加盖执业专用章的；</w:t>
            </w:r>
          </w:p>
        </w:tc>
        <w:tc>
          <w:tcPr>
            <w:tcW w:w="1071" w:type="pct"/>
            <w:gridSpan w:val="2"/>
            <w:shd w:val="clear" w:color="000000" w:fill="FFFFFF"/>
            <w:noWrap w:val="0"/>
            <w:vAlign w:val="center"/>
          </w:tcPr>
          <w:p w14:paraId="461A6AE3">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否</w:t>
            </w:r>
          </w:p>
        </w:tc>
      </w:tr>
      <w:tr w14:paraId="02AAC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25" w:type="pct"/>
            <w:shd w:val="clear" w:color="000000" w:fill="FFFFFF"/>
            <w:noWrap w:val="0"/>
            <w:vAlign w:val="center"/>
          </w:tcPr>
          <w:p w14:paraId="12F0148B">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9</w:t>
            </w:r>
          </w:p>
        </w:tc>
        <w:tc>
          <w:tcPr>
            <w:tcW w:w="1080" w:type="pct"/>
            <w:shd w:val="clear" w:color="000000" w:fill="FFFFFF"/>
            <w:noWrap w:val="0"/>
            <w:vAlign w:val="center"/>
          </w:tcPr>
          <w:p w14:paraId="48B222E0">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公平竞争</w:t>
            </w:r>
          </w:p>
        </w:tc>
        <w:tc>
          <w:tcPr>
            <w:tcW w:w="2223" w:type="pct"/>
            <w:shd w:val="clear" w:color="000000" w:fill="FFFFFF"/>
            <w:noWrap w:val="0"/>
            <w:vAlign w:val="center"/>
          </w:tcPr>
          <w:p w14:paraId="2A6BEB19">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投标人遵循公平竞争的原则，不存在恶意串通，妨碍其他投标人的竞争行为，不存在损害采购人或者其他投标人的合法权益情形的；</w:t>
            </w:r>
          </w:p>
        </w:tc>
        <w:tc>
          <w:tcPr>
            <w:tcW w:w="1071" w:type="pct"/>
            <w:gridSpan w:val="2"/>
            <w:shd w:val="clear" w:color="000000" w:fill="FFFFFF"/>
            <w:noWrap w:val="0"/>
            <w:vAlign w:val="center"/>
          </w:tcPr>
          <w:p w14:paraId="64B2403B">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否</w:t>
            </w:r>
          </w:p>
        </w:tc>
      </w:tr>
      <w:tr w14:paraId="5BF5D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25" w:type="pct"/>
            <w:noWrap w:val="0"/>
            <w:vAlign w:val="center"/>
          </w:tcPr>
          <w:p w14:paraId="2F2CC8CF">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10</w:t>
            </w:r>
          </w:p>
        </w:tc>
        <w:tc>
          <w:tcPr>
            <w:tcW w:w="1080" w:type="pct"/>
            <w:noWrap w:val="0"/>
            <w:vAlign w:val="center"/>
          </w:tcPr>
          <w:p w14:paraId="66575826">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串通投标</w:t>
            </w:r>
          </w:p>
        </w:tc>
        <w:tc>
          <w:tcPr>
            <w:tcW w:w="2223" w:type="pct"/>
            <w:noWrap w:val="0"/>
            <w:vAlign w:val="center"/>
          </w:tcPr>
          <w:p w14:paraId="6E09DC17">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p>
        </w:tc>
        <w:tc>
          <w:tcPr>
            <w:tcW w:w="1071" w:type="pct"/>
            <w:gridSpan w:val="2"/>
            <w:noWrap w:val="0"/>
            <w:vAlign w:val="center"/>
          </w:tcPr>
          <w:p w14:paraId="3AFC10C5">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否</w:t>
            </w:r>
          </w:p>
        </w:tc>
      </w:tr>
      <w:tr w14:paraId="34A95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7" w:type="pct"/>
          <w:trHeight w:val="685" w:hRule="atLeast"/>
          <w:jc w:val="center"/>
        </w:trPr>
        <w:tc>
          <w:tcPr>
            <w:tcW w:w="625" w:type="pct"/>
            <w:noWrap w:val="0"/>
            <w:vAlign w:val="center"/>
          </w:tcPr>
          <w:p w14:paraId="0D216C29">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w:t>
            </w:r>
          </w:p>
        </w:tc>
        <w:tc>
          <w:tcPr>
            <w:tcW w:w="1080" w:type="pct"/>
            <w:noWrap w:val="0"/>
            <w:vAlign w:val="center"/>
          </w:tcPr>
          <w:p w14:paraId="17DD5F93">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附加条件</w:t>
            </w:r>
          </w:p>
        </w:tc>
        <w:tc>
          <w:tcPr>
            <w:tcW w:w="2223" w:type="pct"/>
            <w:noWrap w:val="0"/>
            <w:vAlign w:val="center"/>
          </w:tcPr>
          <w:p w14:paraId="0E729F0F">
            <w:pPr>
              <w:widowControl/>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投标文件未含有采购人不能接受的附加条件的；</w:t>
            </w:r>
          </w:p>
        </w:tc>
        <w:tc>
          <w:tcPr>
            <w:tcW w:w="1043" w:type="pct"/>
            <w:noWrap w:val="0"/>
            <w:vAlign w:val="center"/>
          </w:tcPr>
          <w:p w14:paraId="337F662F">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否</w:t>
            </w:r>
          </w:p>
        </w:tc>
      </w:tr>
      <w:tr w14:paraId="5F993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7" w:type="pct"/>
          <w:trHeight w:val="685" w:hRule="atLeast"/>
          <w:jc w:val="center"/>
        </w:trPr>
        <w:tc>
          <w:tcPr>
            <w:tcW w:w="625" w:type="pct"/>
            <w:noWrap w:val="0"/>
            <w:vAlign w:val="center"/>
          </w:tcPr>
          <w:p w14:paraId="358EFE33">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12</w:t>
            </w:r>
          </w:p>
        </w:tc>
        <w:tc>
          <w:tcPr>
            <w:tcW w:w="1080" w:type="pct"/>
            <w:noWrap w:val="0"/>
            <w:vAlign w:val="center"/>
          </w:tcPr>
          <w:p w14:paraId="0E948491">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报价合理性</w:t>
            </w:r>
          </w:p>
        </w:tc>
        <w:tc>
          <w:tcPr>
            <w:tcW w:w="2223" w:type="pct"/>
            <w:noWrap w:val="0"/>
            <w:vAlign w:val="center"/>
          </w:tcPr>
          <w:p w14:paraId="3CF2B4ED">
            <w:pPr>
              <w:widowControl/>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报价合理，或投标人的报价明显低于其他通过符合性审查投标人的报价，有可能影响产品质量或者不能诚信履约的，能够应评标委员会要求在规定时间内证明其报价合理性的；</w:t>
            </w:r>
          </w:p>
        </w:tc>
        <w:tc>
          <w:tcPr>
            <w:tcW w:w="1043" w:type="pct"/>
            <w:noWrap w:val="0"/>
            <w:vAlign w:val="center"/>
          </w:tcPr>
          <w:p w14:paraId="0B59BAF7">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否</w:t>
            </w:r>
          </w:p>
        </w:tc>
      </w:tr>
      <w:tr w14:paraId="0CE1B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7" w:type="pct"/>
          <w:trHeight w:val="685" w:hRule="atLeast"/>
          <w:jc w:val="center"/>
        </w:trPr>
        <w:tc>
          <w:tcPr>
            <w:tcW w:w="625" w:type="pct"/>
            <w:noWrap w:val="0"/>
            <w:vAlign w:val="center"/>
          </w:tcPr>
          <w:p w14:paraId="07D6753B">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13</w:t>
            </w:r>
          </w:p>
        </w:tc>
        <w:tc>
          <w:tcPr>
            <w:tcW w:w="1080" w:type="pct"/>
            <w:noWrap w:val="0"/>
            <w:vAlign w:val="center"/>
          </w:tcPr>
          <w:p w14:paraId="31148258">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其他无效情形</w:t>
            </w:r>
          </w:p>
        </w:tc>
        <w:tc>
          <w:tcPr>
            <w:tcW w:w="2223" w:type="pct"/>
            <w:noWrap w:val="0"/>
            <w:vAlign w:val="center"/>
          </w:tcPr>
          <w:p w14:paraId="03E798F9">
            <w:pPr>
              <w:widowControl/>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未出现按照法律、法规、规章和规范性文件规定的应当列入的其他情形。</w:t>
            </w:r>
          </w:p>
        </w:tc>
        <w:tc>
          <w:tcPr>
            <w:tcW w:w="1043" w:type="pct"/>
            <w:noWrap w:val="0"/>
            <w:vAlign w:val="center"/>
          </w:tcPr>
          <w:p w14:paraId="51CAC99E">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否</w:t>
            </w:r>
          </w:p>
        </w:tc>
      </w:tr>
    </w:tbl>
    <w:p w14:paraId="071C08AE">
      <w:pPr>
        <w:tabs>
          <w:tab w:val="left" w:pos="900"/>
          <w:tab w:val="left" w:pos="1080"/>
          <w:tab w:val="left" w:pos="1589"/>
        </w:tabs>
        <w:snapToGrid w:val="0"/>
        <w:spacing w:line="360" w:lineRule="auto"/>
        <w:rPr>
          <w:rFonts w:hint="eastAsia" w:ascii="宋体" w:hAnsi="宋体" w:eastAsia="宋体" w:cs="宋体"/>
          <w:color w:val="auto"/>
          <w:sz w:val="24"/>
          <w:highlight w:val="none"/>
        </w:rPr>
      </w:pPr>
    </w:p>
    <w:p w14:paraId="7CB3DA8E">
      <w:pPr>
        <w:tabs>
          <w:tab w:val="left" w:pos="900"/>
          <w:tab w:val="left" w:pos="1080"/>
          <w:tab w:val="left" w:pos="1589"/>
        </w:tabs>
        <w:snapToGrid w:val="0"/>
        <w:spacing w:line="360" w:lineRule="auto"/>
        <w:rPr>
          <w:rFonts w:hint="eastAsia" w:ascii="宋体" w:hAnsi="宋体" w:eastAsia="宋体" w:cs="宋体"/>
          <w:color w:val="auto"/>
          <w:sz w:val="24"/>
          <w:highlight w:val="none"/>
        </w:rPr>
      </w:pPr>
    </w:p>
    <w:p w14:paraId="7DAC8091">
      <w:pPr>
        <w:numPr>
          <w:ilvl w:val="0"/>
          <w:numId w:val="6"/>
        </w:numPr>
        <w:tabs>
          <w:tab w:val="left" w:pos="360"/>
        </w:tabs>
        <w:snapToGrid w:val="0"/>
        <w:spacing w:line="360" w:lineRule="auto"/>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磋商、响应文件有关事项的澄清、说明或者更正和最后报价</w:t>
      </w:r>
    </w:p>
    <w:p w14:paraId="1C8D973A">
      <w:pPr>
        <w:numPr>
          <w:ilvl w:val="1"/>
          <w:numId w:val="6"/>
        </w:numPr>
        <w:tabs>
          <w:tab w:val="left" w:pos="1080"/>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磋商小组所有成员应当集中与单一供应商分别进行磋商，并给予所有参加磋商的供应商平等的磋商机会。</w:t>
      </w:r>
    </w:p>
    <w:p w14:paraId="62047DB8">
      <w:pPr>
        <w:numPr>
          <w:ilvl w:val="1"/>
          <w:numId w:val="6"/>
        </w:numPr>
        <w:tabs>
          <w:tab w:val="left" w:pos="1080"/>
          <w:tab w:val="left" w:pos="1872"/>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kern w:val="0"/>
          <w:sz w:val="24"/>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14:paraId="2E3C520F">
      <w:pPr>
        <w:numPr>
          <w:ilvl w:val="1"/>
          <w:numId w:val="6"/>
        </w:numPr>
        <w:tabs>
          <w:tab w:val="left" w:pos="1080"/>
          <w:tab w:val="left" w:pos="1872"/>
        </w:tabs>
        <w:snapToGrid w:val="0"/>
        <w:spacing w:line="360" w:lineRule="auto"/>
        <w:ind w:left="1077" w:hanging="72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对磋商文件作出的实质性变动是磋商文件的有效组成部分，磋商小组应当及时以书面形式同时通知所有参加磋商的供应商。</w:t>
      </w:r>
    </w:p>
    <w:p w14:paraId="08295DF1">
      <w:pPr>
        <w:numPr>
          <w:ilvl w:val="1"/>
          <w:numId w:val="6"/>
        </w:numPr>
        <w:tabs>
          <w:tab w:val="left" w:pos="1080"/>
          <w:tab w:val="left" w:pos="1872"/>
        </w:tabs>
        <w:snapToGrid w:val="0"/>
        <w:spacing w:line="360" w:lineRule="auto"/>
        <w:ind w:left="1077" w:hanging="72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供应商应当按照磋商文件的变动情况和磋商小组的要求重新提交响应文件，并由其法定代表人（若供应商为事业单位或其他组织或分支机构，可为单位负责人）或授权代表签字或者加盖公章。由授权代表签字的，应当附授权委托书。供应商为自然人的，应当由本人签字并附身份证明。</w:t>
      </w:r>
    </w:p>
    <w:p w14:paraId="50695C85">
      <w:pPr>
        <w:numPr>
          <w:ilvl w:val="1"/>
          <w:numId w:val="6"/>
        </w:numPr>
        <w:tabs>
          <w:tab w:val="left" w:pos="1080"/>
          <w:tab w:val="left" w:pos="1872"/>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响应文件的澄清、说明或者更正：</w:t>
      </w:r>
    </w:p>
    <w:p w14:paraId="3EACAC87">
      <w:pPr>
        <w:numPr>
          <w:ilvl w:val="2"/>
          <w:numId w:val="6"/>
        </w:numPr>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磋商小组在对响应文件的有效性、完整性和响应程度进行审查时，可以要求供应商对响应文件中含义不明确、同类问题表述不一致或者有明显文字和计算错误的内容等作出必要的澄清、说明或者更正。</w:t>
      </w:r>
    </w:p>
    <w:p w14:paraId="361EBBB2">
      <w:pPr>
        <w:numPr>
          <w:ilvl w:val="2"/>
          <w:numId w:val="6"/>
        </w:numPr>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磋商小组对响应文件进行审查，如发现供应商提交的响应文件存在不满足《符合性审查要求》的内容，如属于表中“不允许”澄清、说明或者更正的内容，则供应商响应文件按</w:t>
      </w:r>
      <w:r>
        <w:rPr>
          <w:rFonts w:hint="eastAsia" w:ascii="宋体" w:hAnsi="宋体" w:eastAsia="宋体" w:cs="宋体"/>
          <w:b/>
          <w:color w:val="auto"/>
          <w:sz w:val="24"/>
          <w:highlight w:val="none"/>
        </w:rPr>
        <w:t>无效处理</w:t>
      </w:r>
      <w:r>
        <w:rPr>
          <w:rFonts w:hint="eastAsia" w:ascii="宋体" w:hAnsi="宋体" w:eastAsia="宋体" w:cs="宋体"/>
          <w:color w:val="auto"/>
          <w:sz w:val="24"/>
          <w:highlight w:val="none"/>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hint="eastAsia" w:ascii="宋体" w:hAnsi="宋体" w:eastAsia="宋体" w:cs="宋体"/>
          <w:b/>
          <w:color w:val="auto"/>
          <w:sz w:val="24"/>
          <w:highlight w:val="none"/>
        </w:rPr>
        <w:t>无效处理</w:t>
      </w:r>
      <w:r>
        <w:rPr>
          <w:rFonts w:hint="eastAsia" w:ascii="宋体" w:hAnsi="宋体" w:eastAsia="宋体" w:cs="宋体"/>
          <w:color w:val="auto"/>
          <w:sz w:val="24"/>
          <w:highlight w:val="none"/>
        </w:rPr>
        <w:t>。</w:t>
      </w:r>
    </w:p>
    <w:p w14:paraId="5D8CB5BC">
      <w:pPr>
        <w:numPr>
          <w:ilvl w:val="2"/>
          <w:numId w:val="6"/>
        </w:numPr>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Pr>
          <w:rFonts w:hint="eastAsia" w:ascii="宋体" w:hAnsi="宋体" w:eastAsia="宋体" w:cs="宋体"/>
          <w:color w:val="auto"/>
          <w:kern w:val="0"/>
          <w:sz w:val="24"/>
          <w:highlight w:val="none"/>
        </w:rPr>
        <w:t>（若供应商为事业单位或其他组织或分支机构，可为单位负责人）</w:t>
      </w:r>
      <w:r>
        <w:rPr>
          <w:rFonts w:hint="eastAsia" w:ascii="宋体" w:hAnsi="宋体" w:eastAsia="宋体" w:cs="宋体"/>
          <w:color w:val="auto"/>
          <w:sz w:val="24"/>
          <w:highlight w:val="none"/>
        </w:rPr>
        <w:t>或其授权代表签字或者加盖公章。由授权代表签字的，应当附授权委托书。供应商为自然人的，应当由本人签字并附身份证明。澄清</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说明或者更正</w:t>
      </w:r>
      <w:r>
        <w:rPr>
          <w:rFonts w:hint="eastAsia" w:ascii="宋体" w:hAnsi="宋体" w:eastAsia="宋体" w:cs="宋体"/>
          <w:color w:val="auto"/>
          <w:sz w:val="24"/>
          <w:highlight w:val="none"/>
        </w:rPr>
        <w:t>文件将作为响应文件内容的一部分。</w:t>
      </w:r>
    </w:p>
    <w:p w14:paraId="53B6C647">
      <w:pPr>
        <w:numPr>
          <w:ilvl w:val="1"/>
          <w:numId w:val="6"/>
        </w:numPr>
        <w:tabs>
          <w:tab w:val="left" w:pos="1080"/>
          <w:tab w:val="left" w:pos="1872"/>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磋商结束后，磋商小组将要求所有实质性响应的供应商在规定时间内提交最后报价。最后报价时间为磋商小组指定的时间，具体时间根据磋商进度另行通知。</w:t>
      </w:r>
    </w:p>
    <w:p w14:paraId="26E6F503">
      <w:pPr>
        <w:numPr>
          <w:ilvl w:val="1"/>
          <w:numId w:val="6"/>
        </w:numPr>
        <w:tabs>
          <w:tab w:val="left" w:pos="1080"/>
          <w:tab w:val="left" w:pos="1872"/>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snapToGrid w:val="0"/>
          <w:color w:val="auto"/>
          <w:sz w:val="24"/>
          <w:highlight w:val="none"/>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hint="eastAsia" w:ascii="宋体" w:hAnsi="宋体" w:eastAsia="宋体" w:cs="宋体"/>
          <w:color w:val="auto"/>
          <w:sz w:val="24"/>
          <w:highlight w:val="none"/>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7D239EB8">
      <w:pPr>
        <w:numPr>
          <w:ilvl w:val="1"/>
          <w:numId w:val="6"/>
        </w:numPr>
        <w:tabs>
          <w:tab w:val="left" w:pos="1080"/>
          <w:tab w:val="left" w:pos="1872"/>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最后报价是供应商响应文件的有效组成部分。</w:t>
      </w:r>
    </w:p>
    <w:p w14:paraId="2F7160F6">
      <w:pPr>
        <w:numPr>
          <w:ilvl w:val="1"/>
          <w:numId w:val="6"/>
        </w:numPr>
        <w:tabs>
          <w:tab w:val="left" w:pos="1080"/>
          <w:tab w:val="left" w:pos="1872"/>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已提交响应文件的供应商，在提交最后报价之前，可以根据磋商情况退出磋商。</w:t>
      </w:r>
    </w:p>
    <w:p w14:paraId="0F13AA17">
      <w:pPr>
        <w:numPr>
          <w:ilvl w:val="0"/>
          <w:numId w:val="6"/>
        </w:numPr>
        <w:tabs>
          <w:tab w:val="left" w:pos="360"/>
        </w:tabs>
        <w:snapToGrid w:val="0"/>
        <w:spacing w:line="360" w:lineRule="auto"/>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最后报价的算术修正及政策调整</w:t>
      </w:r>
    </w:p>
    <w:p w14:paraId="7A28BBB1">
      <w:pPr>
        <w:numPr>
          <w:ilvl w:val="1"/>
          <w:numId w:val="6"/>
        </w:numPr>
        <w:tabs>
          <w:tab w:val="left" w:pos="1080"/>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hint="eastAsia" w:ascii="宋体" w:hAnsi="宋体" w:eastAsia="宋体" w:cs="宋体"/>
          <w:b/>
          <w:color w:val="auto"/>
          <w:sz w:val="24"/>
          <w:highlight w:val="none"/>
        </w:rPr>
        <w:t>响应无效</w:t>
      </w:r>
      <w:r>
        <w:rPr>
          <w:rFonts w:hint="eastAsia" w:ascii="宋体" w:hAnsi="宋体" w:eastAsia="宋体" w:cs="宋体"/>
          <w:color w:val="auto"/>
          <w:sz w:val="24"/>
          <w:highlight w:val="none"/>
        </w:rPr>
        <w:t>。</w:t>
      </w:r>
    </w:p>
    <w:p w14:paraId="266B4BC1">
      <w:pPr>
        <w:numPr>
          <w:ilvl w:val="1"/>
          <w:numId w:val="6"/>
        </w:numPr>
        <w:tabs>
          <w:tab w:val="left" w:pos="1080"/>
          <w:tab w:val="left" w:pos="1872"/>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最后报价出现前后不一致的，按照下列规定修正：</w:t>
      </w:r>
    </w:p>
    <w:p w14:paraId="3464D5D4">
      <w:pPr>
        <w:numPr>
          <w:ilvl w:val="2"/>
          <w:numId w:val="6"/>
        </w:numPr>
        <w:tabs>
          <w:tab w:val="left" w:pos="1080"/>
          <w:tab w:val="left" w:pos="1589"/>
          <w:tab w:val="left" w:pos="2035"/>
          <w:tab w:val="left" w:pos="2114"/>
        </w:tabs>
        <w:snapToGrid w:val="0"/>
        <w:spacing w:line="360" w:lineRule="auto"/>
        <w:ind w:left="2035"/>
        <w:rPr>
          <w:rFonts w:hint="eastAsia" w:ascii="宋体" w:hAnsi="宋体" w:eastAsia="宋体" w:cs="宋体"/>
          <w:color w:val="auto"/>
          <w:sz w:val="24"/>
          <w:highlight w:val="none"/>
        </w:rPr>
      </w:pPr>
      <w:r>
        <w:rPr>
          <w:rFonts w:hint="eastAsia" w:ascii="宋体" w:hAnsi="宋体" w:eastAsia="宋体" w:cs="宋体"/>
          <w:color w:val="auto"/>
          <w:sz w:val="24"/>
          <w:highlight w:val="none"/>
        </w:rPr>
        <w:t>竞争性磋商文件对于报价修正是否另有规定：</w:t>
      </w:r>
    </w:p>
    <w:p w14:paraId="230CC9C2">
      <w:pPr>
        <w:tabs>
          <w:tab w:val="left" w:pos="1080"/>
          <w:tab w:val="left" w:pos="1589"/>
          <w:tab w:val="left" w:pos="2035"/>
          <w:tab w:val="left" w:pos="2114"/>
        </w:tabs>
        <w:snapToGrid w:val="0"/>
        <w:spacing w:line="360" w:lineRule="auto"/>
        <w:ind w:left="2035"/>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□有，具体规定为：</w:t>
      </w:r>
      <w:r>
        <w:rPr>
          <w:rFonts w:hint="eastAsia" w:ascii="宋体" w:hAnsi="宋体" w:eastAsia="宋体" w:cs="宋体"/>
          <w:color w:val="auto"/>
          <w:sz w:val="24"/>
          <w:highlight w:val="none"/>
          <w:u w:val="single"/>
        </w:rPr>
        <w:t xml:space="preserve">   /   </w:t>
      </w:r>
    </w:p>
    <w:p w14:paraId="46F19659">
      <w:pPr>
        <w:tabs>
          <w:tab w:val="left" w:pos="1080"/>
          <w:tab w:val="left" w:pos="1589"/>
          <w:tab w:val="left" w:pos="2035"/>
          <w:tab w:val="left" w:pos="2114"/>
        </w:tabs>
        <w:snapToGrid w:val="0"/>
        <w:spacing w:line="360" w:lineRule="auto"/>
        <w:ind w:left="2035"/>
        <w:rPr>
          <w:rFonts w:hint="eastAsia" w:ascii="宋体" w:hAnsi="宋体" w:eastAsia="宋体" w:cs="宋体"/>
          <w:color w:val="auto"/>
          <w:sz w:val="24"/>
          <w:highlight w:val="none"/>
        </w:rPr>
      </w:pPr>
      <w:r>
        <w:rPr>
          <w:rFonts w:hint="eastAsia" w:ascii="宋体" w:hAnsi="宋体" w:eastAsia="宋体" w:cs="宋体"/>
          <w:b/>
          <w:color w:val="auto"/>
          <w:sz w:val="24"/>
          <w:highlight w:val="none"/>
        </w:rPr>
        <w:sym w:font="Wingdings 2" w:char="00A1"/>
      </w:r>
      <w:r>
        <w:rPr>
          <w:rFonts w:hint="eastAsia" w:ascii="宋体" w:hAnsi="宋体" w:eastAsia="宋体" w:cs="宋体"/>
          <w:color w:val="auto"/>
          <w:sz w:val="24"/>
          <w:highlight w:val="none"/>
        </w:rPr>
        <w:t>无，按下述3.2.2-3.2.5项规定修正。</w:t>
      </w:r>
    </w:p>
    <w:p w14:paraId="5DEC77F3">
      <w:pPr>
        <w:numPr>
          <w:ilvl w:val="2"/>
          <w:numId w:val="6"/>
        </w:numPr>
        <w:tabs>
          <w:tab w:val="left" w:pos="2035"/>
          <w:tab w:val="left" w:pos="2114"/>
          <w:tab w:val="left" w:pos="2977"/>
        </w:tabs>
        <w:snapToGrid w:val="0"/>
        <w:spacing w:line="360" w:lineRule="auto"/>
        <w:ind w:left="2035"/>
        <w:rPr>
          <w:rFonts w:hint="eastAsia" w:ascii="宋体" w:hAnsi="宋体" w:eastAsia="宋体" w:cs="宋体"/>
          <w:color w:val="auto"/>
          <w:sz w:val="24"/>
          <w:highlight w:val="none"/>
        </w:rPr>
      </w:pPr>
      <w:r>
        <w:rPr>
          <w:rFonts w:hint="eastAsia" w:ascii="宋体" w:hAnsi="宋体" w:eastAsia="宋体" w:cs="宋体"/>
          <w:color w:val="auto"/>
          <w:sz w:val="24"/>
          <w:highlight w:val="none"/>
        </w:rPr>
        <w:t>大写金额和小写金额不一致的，以大写金额为准；</w:t>
      </w:r>
    </w:p>
    <w:p w14:paraId="070545A0">
      <w:pPr>
        <w:numPr>
          <w:ilvl w:val="2"/>
          <w:numId w:val="6"/>
        </w:numPr>
        <w:tabs>
          <w:tab w:val="left" w:pos="2035"/>
          <w:tab w:val="left" w:pos="2114"/>
          <w:tab w:val="left" w:pos="2977"/>
        </w:tabs>
        <w:snapToGrid w:val="0"/>
        <w:spacing w:line="360" w:lineRule="auto"/>
        <w:ind w:left="2035"/>
        <w:rPr>
          <w:rFonts w:hint="eastAsia" w:ascii="宋体" w:hAnsi="宋体" w:eastAsia="宋体" w:cs="宋体"/>
          <w:color w:val="auto"/>
          <w:sz w:val="24"/>
          <w:highlight w:val="none"/>
        </w:rPr>
      </w:pPr>
      <w:r>
        <w:rPr>
          <w:rFonts w:hint="eastAsia" w:ascii="宋体" w:hAnsi="宋体" w:eastAsia="宋体" w:cs="宋体"/>
          <w:color w:val="auto"/>
          <w:sz w:val="24"/>
          <w:highlight w:val="none"/>
        </w:rPr>
        <w:t>单价金额小数点或者百分比有明显错位的，以总价为准，并修改单价；</w:t>
      </w:r>
    </w:p>
    <w:p w14:paraId="708688EE">
      <w:pPr>
        <w:numPr>
          <w:ilvl w:val="2"/>
          <w:numId w:val="6"/>
        </w:numPr>
        <w:tabs>
          <w:tab w:val="left" w:pos="2035"/>
          <w:tab w:val="left" w:pos="2114"/>
          <w:tab w:val="left" w:pos="2977"/>
        </w:tabs>
        <w:snapToGrid w:val="0"/>
        <w:spacing w:line="360" w:lineRule="auto"/>
        <w:ind w:left="2035"/>
        <w:rPr>
          <w:rFonts w:hint="eastAsia" w:ascii="宋体" w:hAnsi="宋体" w:eastAsia="宋体" w:cs="宋体"/>
          <w:color w:val="auto"/>
          <w:sz w:val="24"/>
          <w:highlight w:val="none"/>
        </w:rPr>
      </w:pPr>
      <w:r>
        <w:rPr>
          <w:rFonts w:hint="eastAsia" w:ascii="宋体" w:hAnsi="宋体" w:eastAsia="宋体" w:cs="宋体"/>
          <w:color w:val="auto"/>
          <w:sz w:val="24"/>
          <w:highlight w:val="none"/>
        </w:rPr>
        <w:t>总价金额与按单价汇总金额不一致的，以单价金额计算结果为准。</w:t>
      </w:r>
    </w:p>
    <w:p w14:paraId="7D7EC945">
      <w:pPr>
        <w:numPr>
          <w:ilvl w:val="2"/>
          <w:numId w:val="6"/>
        </w:numPr>
        <w:tabs>
          <w:tab w:val="left" w:pos="1080"/>
          <w:tab w:val="left" w:pos="1589"/>
          <w:tab w:val="left" w:pos="2035"/>
          <w:tab w:val="left" w:pos="2114"/>
        </w:tabs>
        <w:snapToGrid w:val="0"/>
        <w:spacing w:line="360" w:lineRule="auto"/>
        <w:ind w:left="2035"/>
        <w:rPr>
          <w:rFonts w:hint="eastAsia" w:ascii="宋体" w:hAnsi="宋体" w:eastAsia="宋体" w:cs="宋体"/>
          <w:color w:val="auto"/>
          <w:sz w:val="24"/>
          <w:highlight w:val="none"/>
        </w:rPr>
      </w:pPr>
      <w:r>
        <w:rPr>
          <w:rFonts w:hint="eastAsia" w:ascii="宋体" w:hAnsi="宋体" w:eastAsia="宋体" w:cs="宋体"/>
          <w:color w:val="auto"/>
          <w:sz w:val="24"/>
          <w:highlight w:val="none"/>
        </w:rPr>
        <w:t>同时出现两种以上不一致的，按照前款规定的顺序修正。修正后的报价经供应商书面确认后产生约束力，供应商不确认的，</w:t>
      </w:r>
      <w:r>
        <w:rPr>
          <w:rFonts w:hint="eastAsia" w:ascii="宋体" w:hAnsi="宋体" w:eastAsia="宋体" w:cs="宋体"/>
          <w:b/>
          <w:color w:val="auto"/>
          <w:sz w:val="24"/>
          <w:highlight w:val="none"/>
        </w:rPr>
        <w:t>其响应无效</w:t>
      </w:r>
      <w:r>
        <w:rPr>
          <w:rFonts w:hint="eastAsia" w:ascii="宋体" w:hAnsi="宋体" w:eastAsia="宋体" w:cs="宋体"/>
          <w:color w:val="auto"/>
          <w:sz w:val="24"/>
          <w:highlight w:val="none"/>
        </w:rPr>
        <w:t>。</w:t>
      </w:r>
    </w:p>
    <w:p w14:paraId="57417B72">
      <w:pPr>
        <w:numPr>
          <w:ilvl w:val="1"/>
          <w:numId w:val="6"/>
        </w:numPr>
        <w:tabs>
          <w:tab w:val="left" w:pos="1080"/>
          <w:tab w:val="left" w:pos="1872"/>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落实政府采购政策的价格调整：只有符合第二章《供应商须知》4.2条规定情形的，可以享受中小企业扶持政策，用扣除后的价格参加评审；否则，评审时价格不予扣除。</w:t>
      </w:r>
    </w:p>
    <w:p w14:paraId="2EB64994">
      <w:pPr>
        <w:numPr>
          <w:ilvl w:val="2"/>
          <w:numId w:val="6"/>
        </w:numPr>
        <w:tabs>
          <w:tab w:val="left" w:pos="1080"/>
          <w:tab w:val="left" w:pos="1589"/>
          <w:tab w:val="left" w:pos="2035"/>
        </w:tabs>
        <w:snapToGrid w:val="0"/>
        <w:spacing w:line="360" w:lineRule="auto"/>
        <w:ind w:left="2035"/>
        <w:rPr>
          <w:rFonts w:hint="eastAsia" w:ascii="宋体" w:hAnsi="宋体" w:eastAsia="宋体" w:cs="宋体"/>
          <w:color w:val="auto"/>
          <w:sz w:val="24"/>
          <w:highlight w:val="none"/>
        </w:rPr>
      </w:pPr>
      <w:r>
        <w:rPr>
          <w:rFonts w:hint="eastAsia" w:ascii="宋体" w:hAnsi="宋体" w:eastAsia="宋体" w:cs="宋体"/>
          <w:color w:val="auto"/>
          <w:sz w:val="24"/>
          <w:highlight w:val="none"/>
        </w:rPr>
        <w:t>对于未预留份额专门面向中小企业采购的采购项目，以及预留份额项目中的非预留部分采购包，对小微企业报价给予5%的扣除，用扣除后的价格参加评审。</w:t>
      </w:r>
    </w:p>
    <w:p w14:paraId="2E53E3C5">
      <w:pPr>
        <w:numPr>
          <w:ilvl w:val="2"/>
          <w:numId w:val="6"/>
        </w:numPr>
        <w:tabs>
          <w:tab w:val="left" w:pos="1080"/>
          <w:tab w:val="left" w:pos="1589"/>
          <w:tab w:val="left" w:pos="2035"/>
        </w:tabs>
        <w:snapToGrid w:val="0"/>
        <w:spacing w:line="360" w:lineRule="auto"/>
        <w:ind w:left="2035"/>
        <w:rPr>
          <w:rFonts w:hint="eastAsia" w:ascii="宋体" w:hAnsi="宋体" w:eastAsia="宋体" w:cs="宋体"/>
          <w:color w:val="auto"/>
          <w:sz w:val="24"/>
          <w:highlight w:val="none"/>
        </w:rPr>
      </w:pPr>
      <w:r>
        <w:rPr>
          <w:rFonts w:hint="eastAsia" w:ascii="宋体" w:hAnsi="宋体" w:eastAsia="宋体" w:cs="宋体"/>
          <w:color w:val="auto"/>
          <w:sz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以上的联合体或者大中型企业的报价给予2%的扣除，用扣除后的价格参加评审。</w:t>
      </w:r>
    </w:p>
    <w:p w14:paraId="77768A81">
      <w:pPr>
        <w:numPr>
          <w:ilvl w:val="2"/>
          <w:numId w:val="6"/>
        </w:numPr>
        <w:tabs>
          <w:tab w:val="left" w:pos="1080"/>
          <w:tab w:val="left" w:pos="1589"/>
          <w:tab w:val="left" w:pos="2035"/>
        </w:tabs>
        <w:snapToGrid w:val="0"/>
        <w:spacing w:line="360" w:lineRule="auto"/>
        <w:ind w:left="2035"/>
        <w:rPr>
          <w:rFonts w:hint="eastAsia" w:ascii="宋体" w:hAnsi="宋体" w:eastAsia="宋体" w:cs="宋体"/>
          <w:color w:val="auto"/>
          <w:sz w:val="24"/>
          <w:highlight w:val="none"/>
        </w:rPr>
      </w:pPr>
      <w:r>
        <w:rPr>
          <w:rFonts w:hint="eastAsia" w:ascii="宋体" w:hAnsi="宋体" w:eastAsia="宋体" w:cs="宋体"/>
          <w:color w:val="auto"/>
          <w:sz w:val="24"/>
          <w:highlight w:val="none"/>
        </w:rPr>
        <w:t>组成联合体或者接受分包的小微企业与联合体内其他企业、分包企业之间存在直接控股、管理关系的，不享受价格扣除优惠政策。</w:t>
      </w:r>
    </w:p>
    <w:p w14:paraId="0A48064A">
      <w:pPr>
        <w:numPr>
          <w:ilvl w:val="2"/>
          <w:numId w:val="6"/>
        </w:numPr>
        <w:tabs>
          <w:tab w:val="left" w:pos="1080"/>
          <w:tab w:val="left" w:pos="1589"/>
          <w:tab w:val="left" w:pos="2035"/>
        </w:tabs>
        <w:snapToGrid w:val="0"/>
        <w:spacing w:line="360" w:lineRule="auto"/>
        <w:ind w:left="2035"/>
        <w:rPr>
          <w:rFonts w:hint="eastAsia" w:ascii="宋体" w:hAnsi="宋体" w:eastAsia="宋体" w:cs="宋体"/>
          <w:color w:val="auto"/>
          <w:sz w:val="24"/>
          <w:highlight w:val="none"/>
        </w:rPr>
      </w:pPr>
      <w:r>
        <w:rPr>
          <w:rFonts w:hint="eastAsia" w:ascii="宋体" w:hAnsi="宋体" w:eastAsia="宋体" w:cs="宋体"/>
          <w:color w:val="auto"/>
          <w:sz w:val="24"/>
          <w:highlight w:val="none"/>
        </w:rPr>
        <w:t>价格扣除比例对小型企业和微型企业同等对待，不作区分。</w:t>
      </w:r>
    </w:p>
    <w:p w14:paraId="2C0B4A8F">
      <w:pPr>
        <w:numPr>
          <w:ilvl w:val="2"/>
          <w:numId w:val="6"/>
        </w:numPr>
        <w:tabs>
          <w:tab w:val="left" w:pos="1080"/>
          <w:tab w:val="left" w:pos="1589"/>
          <w:tab w:val="left" w:pos="2035"/>
        </w:tabs>
        <w:snapToGrid w:val="0"/>
        <w:spacing w:line="360" w:lineRule="auto"/>
        <w:ind w:left="2035"/>
        <w:rPr>
          <w:rFonts w:hint="eastAsia" w:ascii="宋体" w:hAnsi="宋体" w:eastAsia="宋体" w:cs="宋体"/>
          <w:color w:val="auto"/>
          <w:sz w:val="24"/>
          <w:highlight w:val="none"/>
        </w:rPr>
      </w:pPr>
      <w:r>
        <w:rPr>
          <w:rFonts w:hint="eastAsia" w:ascii="宋体" w:hAnsi="宋体" w:eastAsia="宋体" w:cs="宋体"/>
          <w:color w:val="auto"/>
          <w:sz w:val="24"/>
          <w:highlight w:val="none"/>
        </w:rPr>
        <w:t>中小企业参加政府采购活动，应当按照竞争性磋商文件给定的格式出具《中小企业声明函》，否则不得享受相关中小企业扶持政策。</w:t>
      </w:r>
    </w:p>
    <w:p w14:paraId="7022FDDD">
      <w:pPr>
        <w:numPr>
          <w:ilvl w:val="2"/>
          <w:numId w:val="6"/>
        </w:numPr>
        <w:tabs>
          <w:tab w:val="left" w:pos="1080"/>
          <w:tab w:val="left" w:pos="1589"/>
          <w:tab w:val="left" w:pos="2035"/>
        </w:tabs>
        <w:snapToGrid w:val="0"/>
        <w:spacing w:line="360" w:lineRule="auto"/>
        <w:ind w:left="2035"/>
        <w:rPr>
          <w:rFonts w:hint="eastAsia" w:ascii="宋体" w:hAnsi="宋体" w:eastAsia="宋体" w:cs="宋体"/>
          <w:color w:val="auto"/>
          <w:sz w:val="24"/>
          <w:highlight w:val="none"/>
        </w:rPr>
      </w:pPr>
      <w:r>
        <w:rPr>
          <w:rFonts w:hint="eastAsia" w:ascii="宋体" w:hAnsi="宋体" w:eastAsia="宋体" w:cs="宋体"/>
          <w:color w:val="auto"/>
          <w:sz w:val="24"/>
          <w:highlight w:val="none"/>
        </w:rPr>
        <w:t>监狱企业提供了由省级以上监狱管理局、戒毒管理局（含新疆生产建设兵团）出具的属于监狱企业的证明文件的，视同小微企业。</w:t>
      </w:r>
    </w:p>
    <w:p w14:paraId="2F423847">
      <w:pPr>
        <w:numPr>
          <w:ilvl w:val="2"/>
          <w:numId w:val="6"/>
        </w:numPr>
        <w:tabs>
          <w:tab w:val="left" w:pos="1080"/>
          <w:tab w:val="left" w:pos="1589"/>
          <w:tab w:val="left" w:pos="2035"/>
        </w:tabs>
        <w:snapToGrid w:val="0"/>
        <w:spacing w:line="360" w:lineRule="auto"/>
        <w:ind w:left="2035"/>
        <w:rPr>
          <w:rFonts w:hint="eastAsia" w:ascii="宋体" w:hAnsi="宋体" w:eastAsia="宋体" w:cs="宋体"/>
          <w:color w:val="auto"/>
          <w:sz w:val="24"/>
          <w:highlight w:val="none"/>
        </w:rPr>
      </w:pPr>
      <w:r>
        <w:rPr>
          <w:rFonts w:hint="eastAsia" w:ascii="宋体" w:hAnsi="宋体" w:eastAsia="宋体" w:cs="宋体"/>
          <w:color w:val="auto"/>
          <w:sz w:val="24"/>
          <w:highlight w:val="none"/>
        </w:rPr>
        <w:t>残疾人福利性单位按竞争性磋商文件要求提供了《残疾人福利性单位声明函》的，视同小微企业。</w:t>
      </w:r>
    </w:p>
    <w:p w14:paraId="16DB602A">
      <w:pPr>
        <w:numPr>
          <w:ilvl w:val="2"/>
          <w:numId w:val="6"/>
        </w:numPr>
        <w:tabs>
          <w:tab w:val="left" w:pos="1080"/>
          <w:tab w:val="left" w:pos="1589"/>
          <w:tab w:val="left" w:pos="2014"/>
        </w:tabs>
        <w:snapToGrid w:val="0"/>
        <w:spacing w:line="360" w:lineRule="auto"/>
        <w:ind w:left="2035"/>
        <w:rPr>
          <w:rFonts w:hint="eastAsia" w:ascii="宋体" w:hAnsi="宋体" w:eastAsia="宋体" w:cs="宋体"/>
          <w:color w:val="auto"/>
          <w:sz w:val="24"/>
          <w:highlight w:val="none"/>
        </w:rPr>
      </w:pPr>
      <w:r>
        <w:rPr>
          <w:rFonts w:hint="eastAsia" w:ascii="宋体" w:hAnsi="宋体" w:eastAsia="宋体" w:cs="宋体"/>
          <w:color w:val="auto"/>
          <w:sz w:val="24"/>
          <w:highlight w:val="none"/>
        </w:rPr>
        <w:t>若供应商同时属于小型或微型企业、监狱企业、残疾人福利性单位中的两种及以上，将不重复享受小微企业价格扣减的优惠政策。</w:t>
      </w:r>
    </w:p>
    <w:p w14:paraId="2E1CC3C8">
      <w:pPr>
        <w:numPr>
          <w:ilvl w:val="2"/>
          <w:numId w:val="6"/>
        </w:numPr>
        <w:tabs>
          <w:tab w:val="left" w:pos="1080"/>
          <w:tab w:val="left" w:pos="1589"/>
          <w:tab w:val="left" w:pos="2014"/>
        </w:tabs>
        <w:snapToGrid w:val="0"/>
        <w:spacing w:line="360" w:lineRule="auto"/>
        <w:ind w:left="2035"/>
        <w:rPr>
          <w:rFonts w:hint="eastAsia" w:ascii="宋体" w:hAnsi="宋体" w:eastAsia="宋体" w:cs="宋体"/>
          <w:color w:val="auto"/>
          <w:sz w:val="24"/>
          <w:highlight w:val="none"/>
        </w:rPr>
      </w:pPr>
      <w:r>
        <w:rPr>
          <w:rFonts w:hint="eastAsia" w:ascii="宋体" w:hAnsi="宋体" w:eastAsia="宋体" w:cs="宋体"/>
          <w:color w:val="auto"/>
          <w:sz w:val="24"/>
          <w:highlight w:val="none"/>
        </w:rPr>
        <w:t>其他为落实政府采购政策实施的优先采购：扶持不发达地区和少数民族地区、促进中小企业发展、支持监狱、戒毒企业发展、促进残疾人就业等政府采购政策、优先采购贫困地区农副产品等政府采购政策。</w:t>
      </w:r>
    </w:p>
    <w:p w14:paraId="0FFDB317">
      <w:pPr>
        <w:numPr>
          <w:ilvl w:val="0"/>
          <w:numId w:val="6"/>
        </w:numPr>
        <w:tabs>
          <w:tab w:val="left" w:pos="360"/>
        </w:tabs>
        <w:snapToGrid w:val="0"/>
        <w:spacing w:line="360" w:lineRule="auto"/>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磋商环节及提交最后报价后如出现以下情况的，供应商的</w:t>
      </w:r>
      <w:r>
        <w:rPr>
          <w:rFonts w:hint="eastAsia" w:ascii="宋体" w:hAnsi="宋体" w:eastAsia="宋体" w:cs="宋体"/>
          <w:b/>
          <w:color w:val="auto"/>
          <w:sz w:val="24"/>
          <w:highlight w:val="none"/>
        </w:rPr>
        <w:t>响应文件无效</w:t>
      </w:r>
      <w:r>
        <w:rPr>
          <w:rFonts w:hint="eastAsia" w:ascii="宋体" w:hAnsi="宋体" w:eastAsia="宋体" w:cs="宋体"/>
          <w:color w:val="auto"/>
          <w:sz w:val="24"/>
          <w:highlight w:val="none"/>
        </w:rPr>
        <w:t>：</w:t>
      </w:r>
    </w:p>
    <w:p w14:paraId="041D26A7">
      <w:pPr>
        <w:numPr>
          <w:ilvl w:val="1"/>
          <w:numId w:val="6"/>
        </w:numPr>
        <w:tabs>
          <w:tab w:val="left" w:pos="1080"/>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供应商对实质性变动不予确认的；</w:t>
      </w:r>
    </w:p>
    <w:p w14:paraId="1247396B">
      <w:pPr>
        <w:numPr>
          <w:ilvl w:val="1"/>
          <w:numId w:val="6"/>
        </w:numPr>
        <w:tabs>
          <w:tab w:val="left" w:pos="1080"/>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不满足磋商文件★号条款或磋商文件技术指标超出磋商文件《采购需求》中主要技术参数允许偏差的最大范围的（如有）；</w:t>
      </w:r>
    </w:p>
    <w:p w14:paraId="2A2B1E7B">
      <w:pPr>
        <w:numPr>
          <w:ilvl w:val="1"/>
          <w:numId w:val="6"/>
        </w:numPr>
        <w:tabs>
          <w:tab w:val="left" w:pos="1080"/>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未按照磋商小组规定的时间、逾期提交最后报价的；</w:t>
      </w:r>
    </w:p>
    <w:p w14:paraId="69065B36">
      <w:pPr>
        <w:numPr>
          <w:ilvl w:val="1"/>
          <w:numId w:val="6"/>
        </w:numPr>
        <w:tabs>
          <w:tab w:val="left" w:pos="1080"/>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如供应商的最后报价超过竞争性磋商文件中规定的项目/采购包预算金额或者项目/采购包最高限价的；</w:t>
      </w:r>
    </w:p>
    <w:p w14:paraId="32E25C68">
      <w:pPr>
        <w:numPr>
          <w:ilvl w:val="1"/>
          <w:numId w:val="6"/>
        </w:numPr>
        <w:tabs>
          <w:tab w:val="left" w:pos="1080"/>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响应文件中出现可选择性或可调整的报价的（竞争性磋商文件另有规定的除外）；</w:t>
      </w:r>
    </w:p>
    <w:p w14:paraId="568A49A5">
      <w:pPr>
        <w:numPr>
          <w:ilvl w:val="1"/>
          <w:numId w:val="6"/>
        </w:numPr>
        <w:tabs>
          <w:tab w:val="left" w:pos="1080"/>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最后报价出现前后不一致，供应商对修正后的报价不予确认的；</w:t>
      </w:r>
    </w:p>
    <w:p w14:paraId="7F770716">
      <w:pPr>
        <w:numPr>
          <w:ilvl w:val="1"/>
          <w:numId w:val="6"/>
        </w:numPr>
        <w:tabs>
          <w:tab w:val="left" w:pos="1080"/>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其他：</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w:t>
      </w:r>
    </w:p>
    <w:bookmarkEnd w:id="609"/>
    <w:bookmarkEnd w:id="610"/>
    <w:p w14:paraId="382169F4">
      <w:pPr>
        <w:numPr>
          <w:ilvl w:val="0"/>
          <w:numId w:val="6"/>
        </w:numPr>
        <w:tabs>
          <w:tab w:val="left" w:pos="360"/>
        </w:tabs>
        <w:snapToGrid w:val="0"/>
        <w:spacing w:line="360" w:lineRule="auto"/>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评审方法和评审标准</w:t>
      </w:r>
    </w:p>
    <w:p w14:paraId="702A6E9D">
      <w:pPr>
        <w:numPr>
          <w:ilvl w:val="1"/>
          <w:numId w:val="6"/>
        </w:numPr>
        <w:tabs>
          <w:tab w:val="left" w:pos="1080"/>
          <w:tab w:val="left" w:pos="1872"/>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327A51C6">
      <w:pPr>
        <w:numPr>
          <w:ilvl w:val="1"/>
          <w:numId w:val="6"/>
        </w:numPr>
        <w:tabs>
          <w:tab w:val="left" w:pos="1080"/>
          <w:tab w:val="left" w:pos="1872"/>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竞争性磋商文件中没有规定的评审标准不得作为评审依据。</w:t>
      </w:r>
    </w:p>
    <w:p w14:paraId="4C547502">
      <w:pPr>
        <w:numPr>
          <w:ilvl w:val="1"/>
          <w:numId w:val="6"/>
        </w:numPr>
        <w:tabs>
          <w:tab w:val="left" w:pos="1080"/>
          <w:tab w:val="left" w:pos="1872"/>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非政府强制采购的节能产品或环境标志产品，依据品目清单和认证证书实施政府优先采购。优先采购的具体规定（如涉及）</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w:t>
      </w:r>
    </w:p>
    <w:p w14:paraId="7FE9F965">
      <w:pPr>
        <w:numPr>
          <w:ilvl w:val="1"/>
          <w:numId w:val="6"/>
        </w:numPr>
        <w:tabs>
          <w:tab w:val="left" w:pos="1080"/>
          <w:tab w:val="left" w:pos="1872"/>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关于无线局域网认证产品政府采购清单中的产品，优先采购的具体规定（如涉及）</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w:t>
      </w:r>
    </w:p>
    <w:p w14:paraId="1CC4409F">
      <w:pPr>
        <w:numPr>
          <w:ilvl w:val="0"/>
          <w:numId w:val="6"/>
        </w:numPr>
        <w:tabs>
          <w:tab w:val="left" w:pos="360"/>
        </w:tabs>
        <w:snapToGrid w:val="0"/>
        <w:spacing w:line="360" w:lineRule="auto"/>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确定</w:t>
      </w:r>
      <w:bookmarkStart w:id="626" w:name="_Toc142311048"/>
      <w:bookmarkStart w:id="627" w:name="_Toc151193788"/>
      <w:bookmarkStart w:id="628" w:name="_Toc151193860"/>
      <w:bookmarkStart w:id="629" w:name="_Toc127151546"/>
      <w:bookmarkStart w:id="630" w:name="_Toc226965736"/>
      <w:bookmarkStart w:id="631" w:name="_Toc150509297"/>
      <w:bookmarkStart w:id="632" w:name="_Toc226965819"/>
      <w:bookmarkStart w:id="633" w:name="_Toc164608815"/>
      <w:bookmarkStart w:id="634" w:name="_Toc164229241"/>
      <w:bookmarkStart w:id="635" w:name="_Ref467307010"/>
      <w:bookmarkStart w:id="636" w:name="_Toc164229387"/>
      <w:bookmarkStart w:id="637" w:name="_Toc305158888"/>
      <w:bookmarkStart w:id="638" w:name="_Toc151193716"/>
      <w:bookmarkStart w:id="639" w:name="_Toc151190173"/>
      <w:bookmarkStart w:id="640" w:name="_Toc226309790"/>
      <w:bookmarkStart w:id="641" w:name="_Toc150774751"/>
      <w:bookmarkStart w:id="642" w:name="_Toc264969236"/>
      <w:bookmarkStart w:id="643" w:name="_Toc226337242"/>
      <w:bookmarkStart w:id="644" w:name="_Toc164608660"/>
      <w:bookmarkStart w:id="645" w:name="_Toc151193644"/>
      <w:bookmarkStart w:id="646" w:name="_Toc151193934"/>
      <w:bookmarkStart w:id="647" w:name="_Toc520356170"/>
      <w:bookmarkStart w:id="648" w:name="_Toc127151747"/>
      <w:bookmarkStart w:id="649" w:name="_Toc164351640"/>
      <w:bookmarkStart w:id="650" w:name="_Toc150480784"/>
      <w:bookmarkStart w:id="651" w:name="_Toc127161460"/>
      <w:bookmarkStart w:id="652" w:name="_Toc150774646"/>
      <w:bookmarkStart w:id="653" w:name="_Toc149720839"/>
      <w:bookmarkStart w:id="654" w:name="_Toc265228384"/>
      <w:bookmarkStart w:id="655" w:name="_Toc195842911"/>
      <w:bookmarkStart w:id="656" w:name="_Toc305158814"/>
      <w:r>
        <w:rPr>
          <w:rFonts w:hint="eastAsia" w:ascii="宋体" w:hAnsi="宋体" w:eastAsia="宋体" w:cs="宋体"/>
          <w:color w:val="auto"/>
          <w:sz w:val="24"/>
          <w:highlight w:val="none"/>
        </w:rPr>
        <w:t>成交候选人名单</w:t>
      </w:r>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p>
    <w:p w14:paraId="64D2DFFC">
      <w:pPr>
        <w:numPr>
          <w:ilvl w:val="1"/>
          <w:numId w:val="6"/>
        </w:numPr>
        <w:tabs>
          <w:tab w:val="left" w:pos="1080"/>
          <w:tab w:val="left" w:pos="1872"/>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4BABCF6A">
      <w:pPr>
        <w:numPr>
          <w:ilvl w:val="1"/>
          <w:numId w:val="6"/>
        </w:numPr>
        <w:tabs>
          <w:tab w:val="left" w:pos="1080"/>
          <w:tab w:val="left" w:pos="1872"/>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kern w:val="0"/>
          <w:sz w:val="24"/>
          <w:szCs w:val="20"/>
          <w:highlight w:val="none"/>
        </w:rPr>
        <w:t>磋商小组根据上述供应商排序，依次推荐排序前</w:t>
      </w:r>
      <w:r>
        <w:rPr>
          <w:rFonts w:hint="eastAsia" w:ascii="宋体" w:hAnsi="宋体" w:eastAsia="宋体" w:cs="宋体"/>
          <w:color w:val="auto"/>
          <w:sz w:val="24"/>
          <w:highlight w:val="none"/>
          <w:u w:val="single"/>
        </w:rPr>
        <w:t xml:space="preserve">  3  </w:t>
      </w:r>
      <w:r>
        <w:rPr>
          <w:rFonts w:hint="eastAsia" w:ascii="宋体" w:hAnsi="宋体" w:eastAsia="宋体" w:cs="宋体"/>
          <w:color w:val="auto"/>
          <w:sz w:val="24"/>
          <w:highlight w:val="none"/>
        </w:rPr>
        <w:t>名</w:t>
      </w:r>
      <w:r>
        <w:rPr>
          <w:rFonts w:hint="eastAsia" w:ascii="宋体" w:hAnsi="宋体" w:eastAsia="宋体" w:cs="宋体"/>
          <w:color w:val="auto"/>
          <w:kern w:val="0"/>
          <w:sz w:val="24"/>
          <w:szCs w:val="20"/>
          <w:highlight w:val="none"/>
        </w:rPr>
        <w:t>的供应商为</w:t>
      </w:r>
      <w:r>
        <w:rPr>
          <w:rFonts w:hint="eastAsia" w:ascii="宋体" w:hAnsi="宋体" w:eastAsia="宋体" w:cs="宋体"/>
          <w:snapToGrid w:val="0"/>
          <w:color w:val="auto"/>
          <w:kern w:val="0"/>
          <w:sz w:val="24"/>
          <w:szCs w:val="21"/>
          <w:highlight w:val="none"/>
        </w:rPr>
        <w:t>成交候选供应商</w:t>
      </w:r>
      <w:r>
        <w:rPr>
          <w:rFonts w:hint="eastAsia" w:ascii="宋体" w:hAnsi="宋体" w:eastAsia="宋体" w:cs="宋体"/>
          <w:color w:val="auto"/>
          <w:kern w:val="0"/>
          <w:sz w:val="24"/>
          <w:szCs w:val="20"/>
          <w:highlight w:val="none"/>
        </w:rPr>
        <w:t>（若在磋商文件允许的情形下提交最后报价的供应商为二家，则依次推荐二名供应商为成交候选供应商），并编写评审报告。</w:t>
      </w:r>
    </w:p>
    <w:p w14:paraId="6539A2A4">
      <w:pPr>
        <w:numPr>
          <w:ilvl w:val="1"/>
          <w:numId w:val="6"/>
        </w:numPr>
        <w:tabs>
          <w:tab w:val="left" w:pos="1080"/>
          <w:tab w:val="left" w:pos="1872"/>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磋商小组要对评分汇总情况进行复核，特别是对排名第一的、报价最低的、响应文件被认定为无效的情形进行重点复核。</w:t>
      </w:r>
    </w:p>
    <w:p w14:paraId="487B2608">
      <w:pPr>
        <w:numPr>
          <w:ilvl w:val="0"/>
          <w:numId w:val="6"/>
        </w:numPr>
        <w:tabs>
          <w:tab w:val="left" w:pos="360"/>
        </w:tabs>
        <w:snapToGrid w:val="0"/>
        <w:spacing w:line="360" w:lineRule="auto"/>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报告违法行为</w:t>
      </w:r>
    </w:p>
    <w:p w14:paraId="2E2420E5">
      <w:pPr>
        <w:widowControl/>
        <w:numPr>
          <w:ilvl w:val="1"/>
          <w:numId w:val="6"/>
        </w:numPr>
        <w:tabs>
          <w:tab w:val="left" w:pos="1080"/>
          <w:tab w:val="left" w:pos="1872"/>
        </w:tabs>
        <w:snapToGrid w:val="0"/>
        <w:spacing w:line="360" w:lineRule="auto"/>
        <w:ind w:left="1077" w:hanging="720"/>
        <w:jc w:val="left"/>
        <w:rPr>
          <w:rFonts w:hint="eastAsia" w:ascii="宋体" w:hAnsi="宋体" w:eastAsia="宋体" w:cs="宋体"/>
          <w:b/>
          <w:color w:val="auto"/>
          <w:sz w:val="24"/>
          <w:highlight w:val="none"/>
        </w:rPr>
      </w:pPr>
      <w:r>
        <w:rPr>
          <w:rFonts w:hint="eastAsia" w:ascii="宋体" w:hAnsi="宋体" w:eastAsia="宋体" w:cs="宋体"/>
          <w:color w:val="auto"/>
          <w:sz w:val="24"/>
          <w:highlight w:val="none"/>
        </w:rPr>
        <w:t>磋商小组在评审过程中发现供应商有行贿、提供虚假材料或者串通等违法行为时，有向采购人、采购代理机构或者有关部门报告的职责。</w:t>
      </w:r>
      <w:r>
        <w:rPr>
          <w:rFonts w:hint="eastAsia" w:ascii="宋体" w:hAnsi="宋体" w:eastAsia="宋体" w:cs="宋体"/>
          <w:b/>
          <w:color w:val="auto"/>
          <w:sz w:val="24"/>
          <w:highlight w:val="none"/>
        </w:rPr>
        <w:br w:type="page"/>
      </w:r>
    </w:p>
    <w:p w14:paraId="1E25300C">
      <w:pPr>
        <w:pStyle w:val="3"/>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二、评审标准</w:t>
      </w:r>
    </w:p>
    <w:p w14:paraId="615A7CC4">
      <w:pPr>
        <w:tabs>
          <w:tab w:val="left" w:pos="360"/>
          <w:tab w:val="left" w:pos="900"/>
          <w:tab w:val="left" w:pos="1080"/>
          <w:tab w:val="left" w:pos="2014"/>
        </w:tabs>
        <w:snapToGrid w:val="0"/>
        <w:spacing w:line="360" w:lineRule="auto"/>
        <w:rPr>
          <w:rFonts w:hint="eastAsia" w:ascii="宋体" w:hAnsi="宋体" w:eastAsia="宋体" w:cs="宋体"/>
          <w:color w:val="auto"/>
          <w:sz w:val="24"/>
          <w:highlight w:val="none"/>
        </w:rPr>
      </w:pPr>
    </w:p>
    <w:tbl>
      <w:tblPr>
        <w:tblStyle w:val="18"/>
        <w:tblW w:w="518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9"/>
        <w:gridCol w:w="1073"/>
        <w:gridCol w:w="1049"/>
        <w:gridCol w:w="584"/>
        <w:gridCol w:w="5565"/>
      </w:tblGrid>
      <w:tr w14:paraId="4960D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jc w:val="center"/>
        </w:trPr>
        <w:tc>
          <w:tcPr>
            <w:tcW w:w="322" w:type="pct"/>
            <w:tcBorders>
              <w:top w:val="single" w:color="auto" w:sz="4" w:space="0"/>
              <w:left w:val="single" w:color="auto" w:sz="4" w:space="0"/>
              <w:bottom w:val="single" w:color="auto" w:sz="4" w:space="0"/>
              <w:right w:val="single" w:color="auto" w:sz="4" w:space="0"/>
            </w:tcBorders>
            <w:noWrap w:val="0"/>
            <w:vAlign w:val="center"/>
          </w:tcPr>
          <w:p w14:paraId="2CC44FE7">
            <w:pPr>
              <w:spacing w:line="360" w:lineRule="auto"/>
              <w:ind w:firstLine="28"/>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序号</w:t>
            </w:r>
          </w:p>
        </w:tc>
        <w:tc>
          <w:tcPr>
            <w:tcW w:w="607" w:type="pct"/>
            <w:tcBorders>
              <w:top w:val="single" w:color="auto" w:sz="4" w:space="0"/>
              <w:left w:val="single" w:color="auto" w:sz="4" w:space="0"/>
              <w:bottom w:val="single" w:color="auto" w:sz="4" w:space="0"/>
              <w:right w:val="single" w:color="auto" w:sz="4" w:space="0"/>
            </w:tcBorders>
            <w:noWrap w:val="0"/>
            <w:vAlign w:val="center"/>
          </w:tcPr>
          <w:p w14:paraId="02DA48CC">
            <w:pPr>
              <w:spacing w:line="360" w:lineRule="auto"/>
              <w:ind w:firstLine="28"/>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评分因素</w:t>
            </w:r>
          </w:p>
        </w:tc>
        <w:tc>
          <w:tcPr>
            <w:tcW w:w="593" w:type="pct"/>
            <w:tcBorders>
              <w:top w:val="single" w:color="auto" w:sz="4" w:space="0"/>
              <w:left w:val="single" w:color="auto" w:sz="4" w:space="0"/>
              <w:bottom w:val="single" w:color="auto" w:sz="4" w:space="0"/>
              <w:right w:val="single" w:color="auto" w:sz="4" w:space="0"/>
            </w:tcBorders>
            <w:noWrap w:val="0"/>
            <w:vAlign w:val="center"/>
          </w:tcPr>
          <w:p w14:paraId="1B0686CF">
            <w:pPr>
              <w:spacing w:line="360" w:lineRule="auto"/>
              <w:ind w:firstLine="28"/>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说明</w:t>
            </w:r>
          </w:p>
        </w:tc>
        <w:tc>
          <w:tcPr>
            <w:tcW w:w="330" w:type="pct"/>
            <w:tcBorders>
              <w:top w:val="single" w:color="auto" w:sz="4" w:space="0"/>
              <w:left w:val="single" w:color="auto" w:sz="4" w:space="0"/>
              <w:bottom w:val="single" w:color="auto" w:sz="4" w:space="0"/>
              <w:right w:val="single" w:color="auto" w:sz="4" w:space="0"/>
            </w:tcBorders>
            <w:noWrap w:val="0"/>
            <w:vAlign w:val="center"/>
          </w:tcPr>
          <w:p w14:paraId="27CFEE0E">
            <w:pPr>
              <w:spacing w:line="360" w:lineRule="auto"/>
              <w:ind w:firstLine="28"/>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分值</w:t>
            </w:r>
          </w:p>
        </w:tc>
        <w:tc>
          <w:tcPr>
            <w:tcW w:w="3147" w:type="pct"/>
            <w:tcBorders>
              <w:top w:val="single" w:color="auto" w:sz="4" w:space="0"/>
              <w:left w:val="single" w:color="auto" w:sz="4" w:space="0"/>
              <w:bottom w:val="single" w:color="auto" w:sz="4" w:space="0"/>
              <w:right w:val="single" w:color="auto" w:sz="4" w:space="0"/>
            </w:tcBorders>
            <w:noWrap w:val="0"/>
            <w:vAlign w:val="center"/>
          </w:tcPr>
          <w:p w14:paraId="22F47CCC">
            <w:pPr>
              <w:spacing w:line="360" w:lineRule="auto"/>
              <w:ind w:firstLine="28"/>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评分标准</w:t>
            </w:r>
          </w:p>
        </w:tc>
      </w:tr>
      <w:tr w14:paraId="0DA08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322" w:type="pct"/>
            <w:vMerge w:val="restart"/>
            <w:tcBorders>
              <w:top w:val="single" w:color="auto" w:sz="4" w:space="0"/>
              <w:left w:val="single" w:color="auto" w:sz="4" w:space="0"/>
              <w:right w:val="single" w:color="auto" w:sz="4" w:space="0"/>
            </w:tcBorders>
            <w:noWrap w:val="0"/>
            <w:vAlign w:val="center"/>
          </w:tcPr>
          <w:p w14:paraId="229344DF">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607" w:type="pct"/>
            <w:vMerge w:val="restart"/>
            <w:tcBorders>
              <w:top w:val="single" w:color="auto" w:sz="4" w:space="0"/>
              <w:left w:val="single" w:color="auto" w:sz="4" w:space="0"/>
              <w:right w:val="single" w:color="auto" w:sz="4" w:space="0"/>
            </w:tcBorders>
            <w:noWrap w:val="0"/>
            <w:vAlign w:val="center"/>
          </w:tcPr>
          <w:p w14:paraId="594E80D5">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商务部分（1</w:t>
            </w:r>
            <w:r>
              <w:rPr>
                <w:rFonts w:hint="eastAsia" w:ascii="宋体" w:hAnsi="宋体" w:cs="宋体"/>
                <w:color w:val="auto"/>
                <w:szCs w:val="21"/>
                <w:highlight w:val="none"/>
                <w:lang w:val="en-US" w:eastAsia="zh-CN"/>
              </w:rPr>
              <w:t>6</w:t>
            </w:r>
            <w:r>
              <w:rPr>
                <w:rFonts w:hint="eastAsia" w:ascii="宋体" w:hAnsi="宋体" w:eastAsia="宋体" w:cs="宋体"/>
                <w:color w:val="auto"/>
                <w:szCs w:val="21"/>
                <w:highlight w:val="none"/>
              </w:rPr>
              <w:t>分）</w:t>
            </w:r>
          </w:p>
        </w:tc>
        <w:tc>
          <w:tcPr>
            <w:tcW w:w="593" w:type="pct"/>
            <w:tcBorders>
              <w:top w:val="single" w:color="auto" w:sz="4" w:space="0"/>
              <w:left w:val="single" w:color="auto" w:sz="4" w:space="0"/>
              <w:bottom w:val="single" w:color="auto" w:sz="4" w:space="0"/>
              <w:right w:val="single" w:color="auto" w:sz="4" w:space="0"/>
            </w:tcBorders>
            <w:noWrap w:val="0"/>
            <w:vAlign w:val="center"/>
          </w:tcPr>
          <w:p w14:paraId="0DBD87FD">
            <w:pPr>
              <w:widowControl/>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业绩</w:t>
            </w:r>
          </w:p>
          <w:p w14:paraId="1B2A0FD8">
            <w:pPr>
              <w:widowControl/>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hint="eastAsia" w:ascii="宋体" w:hAnsi="宋体" w:eastAsia="宋体" w:cs="宋体"/>
                <w:color w:val="auto"/>
                <w:kern w:val="0"/>
                <w:szCs w:val="21"/>
                <w:highlight w:val="none"/>
                <w:lang w:val="en-US" w:eastAsia="zh-CN"/>
              </w:rPr>
              <w:t>5</w:t>
            </w:r>
            <w:r>
              <w:rPr>
                <w:rFonts w:hint="eastAsia" w:ascii="宋体" w:hAnsi="宋体" w:eastAsia="宋体" w:cs="宋体"/>
                <w:color w:val="auto"/>
                <w:kern w:val="0"/>
                <w:szCs w:val="21"/>
                <w:highlight w:val="none"/>
              </w:rPr>
              <w:t>分）</w:t>
            </w:r>
          </w:p>
        </w:tc>
        <w:tc>
          <w:tcPr>
            <w:tcW w:w="330" w:type="pct"/>
            <w:tcBorders>
              <w:top w:val="single" w:color="auto" w:sz="4" w:space="0"/>
              <w:left w:val="single" w:color="auto" w:sz="4" w:space="0"/>
              <w:bottom w:val="single" w:color="auto" w:sz="4" w:space="0"/>
              <w:right w:val="single" w:color="auto" w:sz="4" w:space="0"/>
            </w:tcBorders>
            <w:noWrap w:val="0"/>
            <w:vAlign w:val="center"/>
          </w:tcPr>
          <w:p w14:paraId="5119817B">
            <w:pPr>
              <w:spacing w:line="360" w:lineRule="auto"/>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5</w:t>
            </w:r>
          </w:p>
        </w:tc>
        <w:tc>
          <w:tcPr>
            <w:tcW w:w="3147" w:type="pct"/>
            <w:tcBorders>
              <w:top w:val="single" w:color="auto" w:sz="4" w:space="0"/>
              <w:left w:val="single" w:color="auto" w:sz="4" w:space="0"/>
              <w:bottom w:val="single" w:color="auto" w:sz="4" w:space="0"/>
              <w:right w:val="single" w:color="auto" w:sz="4" w:space="0"/>
            </w:tcBorders>
            <w:noWrap w:val="0"/>
            <w:vAlign w:val="center"/>
          </w:tcPr>
          <w:p w14:paraId="5E160DAB">
            <w:pPr>
              <w:widowControl/>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企业近 </w:t>
            </w:r>
            <w:r>
              <w:rPr>
                <w:rFonts w:hint="eastAsia" w:ascii="宋体" w:hAnsi="宋体" w:cs="宋体"/>
                <w:color w:val="auto"/>
                <w:kern w:val="0"/>
                <w:szCs w:val="21"/>
                <w:highlight w:val="none"/>
                <w:lang w:val="en-US" w:eastAsia="zh-CN"/>
              </w:rPr>
              <w:t>3</w:t>
            </w:r>
            <w:r>
              <w:rPr>
                <w:rFonts w:hint="eastAsia" w:ascii="宋体" w:hAnsi="宋体" w:eastAsia="宋体" w:cs="宋体"/>
                <w:color w:val="auto"/>
                <w:kern w:val="0"/>
                <w:szCs w:val="21"/>
                <w:highlight w:val="none"/>
              </w:rPr>
              <w:t>年完成的</w:t>
            </w:r>
            <w:r>
              <w:rPr>
                <w:rFonts w:hint="eastAsia" w:ascii="宋体" w:hAnsi="宋体" w:cs="宋体"/>
                <w:color w:val="auto"/>
                <w:kern w:val="0"/>
                <w:szCs w:val="21"/>
                <w:highlight w:val="none"/>
                <w:lang w:val="en-US" w:eastAsia="zh-CN"/>
              </w:rPr>
              <w:t>类似</w:t>
            </w:r>
            <w:r>
              <w:rPr>
                <w:rFonts w:hint="eastAsia" w:ascii="宋体" w:hAnsi="宋体" w:eastAsia="宋体" w:cs="宋体"/>
                <w:color w:val="auto"/>
                <w:kern w:val="0"/>
                <w:szCs w:val="21"/>
                <w:highlight w:val="none"/>
              </w:rPr>
              <w:t>工程项目，毎有 1 项 得</w:t>
            </w:r>
            <w:r>
              <w:rPr>
                <w:rFonts w:hint="eastAsia" w:ascii="宋体" w:hAnsi="宋体" w:cs="宋体"/>
                <w:color w:val="auto"/>
                <w:kern w:val="0"/>
                <w:szCs w:val="21"/>
                <w:highlight w:val="none"/>
                <w:lang w:val="en-US" w:eastAsia="zh-CN"/>
              </w:rPr>
              <w:t>1</w:t>
            </w:r>
            <w:r>
              <w:rPr>
                <w:rFonts w:hint="eastAsia" w:ascii="宋体" w:hAnsi="宋体" w:eastAsia="宋体" w:cs="宋体"/>
                <w:color w:val="auto"/>
                <w:kern w:val="0"/>
                <w:szCs w:val="21"/>
                <w:highlight w:val="none"/>
              </w:rPr>
              <w:t xml:space="preserve">分，最多得 </w:t>
            </w:r>
            <w:r>
              <w:rPr>
                <w:rFonts w:hint="eastAsia" w:ascii="宋体" w:hAnsi="宋体" w:cs="宋体"/>
                <w:color w:val="auto"/>
                <w:kern w:val="0"/>
                <w:szCs w:val="21"/>
                <w:highlight w:val="none"/>
                <w:lang w:val="en-US" w:eastAsia="zh-CN"/>
              </w:rPr>
              <w:t>5</w:t>
            </w:r>
            <w:r>
              <w:rPr>
                <w:rFonts w:hint="eastAsia" w:ascii="宋体" w:hAnsi="宋体" w:eastAsia="宋体" w:cs="宋体"/>
                <w:color w:val="auto"/>
                <w:kern w:val="0"/>
                <w:szCs w:val="21"/>
                <w:highlight w:val="none"/>
              </w:rPr>
              <w:t xml:space="preserve"> 分。</w:t>
            </w:r>
          </w:p>
          <w:p w14:paraId="7430CC24">
            <w:pPr>
              <w:widowControl/>
              <w:spacing w:line="360" w:lineRule="auto"/>
              <w:jc w:val="left"/>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 xml:space="preserve">注：须提供企业近 </w:t>
            </w:r>
            <w:r>
              <w:rPr>
                <w:rFonts w:hint="eastAsia" w:ascii="宋体" w:hAnsi="宋体" w:cs="宋体"/>
                <w:color w:val="auto"/>
                <w:kern w:val="0"/>
                <w:szCs w:val="21"/>
                <w:highlight w:val="none"/>
                <w:lang w:val="en-US" w:eastAsia="zh-CN"/>
              </w:rPr>
              <w:t>3</w:t>
            </w:r>
            <w:r>
              <w:rPr>
                <w:rFonts w:hint="eastAsia" w:ascii="宋体" w:hAnsi="宋体" w:eastAsia="宋体" w:cs="宋体"/>
                <w:color w:val="auto"/>
                <w:kern w:val="0"/>
                <w:szCs w:val="21"/>
                <w:highlight w:val="none"/>
              </w:rPr>
              <w:t xml:space="preserve"> 年完成的中标价（或工程规模）</w:t>
            </w:r>
            <w:r>
              <w:rPr>
                <w:rFonts w:hint="eastAsia" w:ascii="宋体" w:hAnsi="宋体" w:cs="宋体"/>
                <w:color w:val="auto"/>
                <w:kern w:val="0"/>
                <w:szCs w:val="21"/>
                <w:highlight w:val="none"/>
                <w:lang w:val="en-US" w:eastAsia="zh-CN"/>
              </w:rPr>
              <w:t>154</w:t>
            </w:r>
            <w:r>
              <w:rPr>
                <w:rFonts w:hint="eastAsia" w:ascii="宋体" w:hAnsi="宋体" w:eastAsia="宋体" w:cs="宋体"/>
                <w:color w:val="auto"/>
                <w:kern w:val="0"/>
                <w:szCs w:val="21"/>
                <w:highlight w:val="none"/>
              </w:rPr>
              <w:t xml:space="preserve"> 万元以上的</w:t>
            </w:r>
            <w:r>
              <w:rPr>
                <w:rFonts w:hint="eastAsia" w:ascii="宋体" w:hAnsi="宋体" w:cs="宋体"/>
                <w:color w:val="auto"/>
                <w:kern w:val="0"/>
                <w:szCs w:val="21"/>
                <w:highlight w:val="none"/>
                <w:lang w:val="en-US" w:eastAsia="zh-CN"/>
              </w:rPr>
              <w:t>类似</w:t>
            </w:r>
            <w:r>
              <w:rPr>
                <w:rFonts w:hint="eastAsia" w:ascii="宋体" w:hAnsi="宋体" w:eastAsia="宋体" w:cs="宋体"/>
                <w:color w:val="auto"/>
                <w:kern w:val="0"/>
                <w:szCs w:val="21"/>
                <w:highlight w:val="none"/>
              </w:rPr>
              <w:t>工程的中标通知书或合同协议书及验收资料或业主证明等相关证明文件</w:t>
            </w:r>
            <w:r>
              <w:rPr>
                <w:rFonts w:hint="eastAsia" w:ascii="宋体" w:hAnsi="宋体" w:cs="宋体"/>
                <w:color w:val="auto"/>
                <w:kern w:val="0"/>
                <w:szCs w:val="21"/>
                <w:highlight w:val="none"/>
                <w:lang w:eastAsia="zh-CN"/>
              </w:rPr>
              <w:t>。</w:t>
            </w:r>
          </w:p>
        </w:tc>
      </w:tr>
      <w:tr w14:paraId="4102A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atLeast"/>
          <w:jc w:val="center"/>
        </w:trPr>
        <w:tc>
          <w:tcPr>
            <w:tcW w:w="322" w:type="pct"/>
            <w:vMerge w:val="continue"/>
            <w:tcBorders>
              <w:left w:val="single" w:color="auto" w:sz="4" w:space="0"/>
              <w:right w:val="single" w:color="auto" w:sz="4" w:space="0"/>
            </w:tcBorders>
            <w:noWrap w:val="0"/>
            <w:vAlign w:val="center"/>
          </w:tcPr>
          <w:p w14:paraId="7D4EFEE4">
            <w:pPr>
              <w:widowControl/>
              <w:spacing w:beforeAutospacing="1" w:afterAutospacing="1" w:line="360" w:lineRule="auto"/>
              <w:jc w:val="left"/>
              <w:rPr>
                <w:rFonts w:hint="eastAsia" w:ascii="宋体" w:hAnsi="宋体" w:eastAsia="宋体" w:cs="宋体"/>
                <w:color w:val="auto"/>
                <w:szCs w:val="21"/>
                <w:highlight w:val="none"/>
              </w:rPr>
            </w:pPr>
          </w:p>
        </w:tc>
        <w:tc>
          <w:tcPr>
            <w:tcW w:w="607" w:type="pct"/>
            <w:vMerge w:val="continue"/>
            <w:tcBorders>
              <w:left w:val="single" w:color="auto" w:sz="4" w:space="0"/>
              <w:right w:val="single" w:color="auto" w:sz="4" w:space="0"/>
            </w:tcBorders>
            <w:noWrap w:val="0"/>
            <w:vAlign w:val="center"/>
          </w:tcPr>
          <w:p w14:paraId="4CD3EB4B">
            <w:pPr>
              <w:widowControl/>
              <w:spacing w:beforeAutospacing="1" w:afterAutospacing="1" w:line="360" w:lineRule="auto"/>
              <w:jc w:val="left"/>
              <w:rPr>
                <w:rFonts w:hint="eastAsia" w:ascii="宋体" w:hAnsi="宋体" w:eastAsia="宋体" w:cs="宋体"/>
                <w:color w:val="auto"/>
                <w:szCs w:val="21"/>
                <w:highlight w:val="none"/>
              </w:rPr>
            </w:pPr>
          </w:p>
        </w:tc>
        <w:tc>
          <w:tcPr>
            <w:tcW w:w="593" w:type="pct"/>
            <w:vMerge w:val="restart"/>
            <w:tcBorders>
              <w:top w:val="single" w:color="auto" w:sz="4" w:space="0"/>
              <w:left w:val="single" w:color="auto" w:sz="4" w:space="0"/>
              <w:right w:val="single" w:color="auto" w:sz="4" w:space="0"/>
            </w:tcBorders>
            <w:noWrap w:val="0"/>
            <w:vAlign w:val="center"/>
          </w:tcPr>
          <w:p w14:paraId="1C0733BB">
            <w:pPr>
              <w:widowControl/>
              <w:spacing w:line="360" w:lineRule="auto"/>
              <w:jc w:val="center"/>
              <w:rPr>
                <w:rFonts w:hint="eastAsia" w:ascii="宋体" w:hAnsi="宋体" w:eastAsia="宋体" w:cs="宋体"/>
                <w:color w:val="auto"/>
                <w:kern w:val="0"/>
                <w:szCs w:val="21"/>
                <w:highlight w:val="none"/>
                <w:lang w:bidi="ar"/>
              </w:rPr>
            </w:pPr>
          </w:p>
          <w:p w14:paraId="50E25C6B">
            <w:pPr>
              <w:widowControl/>
              <w:spacing w:line="360" w:lineRule="auto"/>
              <w:jc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项目管理机构配置</w:t>
            </w:r>
          </w:p>
          <w:p w14:paraId="0B3874DC">
            <w:pPr>
              <w:widowControl/>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bidi="ar"/>
              </w:rPr>
              <w:t>（</w:t>
            </w:r>
            <w:r>
              <w:rPr>
                <w:rFonts w:hint="eastAsia" w:ascii="宋体" w:hAnsi="宋体" w:cs="宋体"/>
                <w:color w:val="auto"/>
                <w:kern w:val="0"/>
                <w:szCs w:val="21"/>
                <w:highlight w:val="none"/>
                <w:lang w:val="en-US" w:eastAsia="zh-CN" w:bidi="ar"/>
              </w:rPr>
              <w:t>9</w:t>
            </w:r>
            <w:r>
              <w:rPr>
                <w:rFonts w:hint="eastAsia" w:ascii="宋体" w:hAnsi="宋体" w:eastAsia="宋体" w:cs="宋体"/>
                <w:color w:val="auto"/>
                <w:kern w:val="0"/>
                <w:szCs w:val="21"/>
                <w:highlight w:val="none"/>
                <w:lang w:bidi="ar"/>
              </w:rPr>
              <w:t>分）</w:t>
            </w:r>
          </w:p>
        </w:tc>
        <w:tc>
          <w:tcPr>
            <w:tcW w:w="330" w:type="pct"/>
            <w:tcBorders>
              <w:top w:val="single" w:color="auto" w:sz="4" w:space="0"/>
              <w:left w:val="single" w:color="auto" w:sz="4" w:space="0"/>
              <w:right w:val="single" w:color="auto" w:sz="4" w:space="0"/>
            </w:tcBorders>
            <w:noWrap w:val="0"/>
            <w:vAlign w:val="center"/>
          </w:tcPr>
          <w:p w14:paraId="4D1D934A">
            <w:pPr>
              <w:spacing w:line="360" w:lineRule="auto"/>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3</w:t>
            </w:r>
          </w:p>
        </w:tc>
        <w:tc>
          <w:tcPr>
            <w:tcW w:w="3147" w:type="pct"/>
            <w:tcBorders>
              <w:top w:val="single" w:color="auto" w:sz="4" w:space="0"/>
              <w:left w:val="single" w:color="auto" w:sz="4" w:space="0"/>
              <w:bottom w:val="single" w:color="auto" w:sz="4" w:space="0"/>
              <w:right w:val="single" w:color="auto" w:sz="4" w:space="0"/>
            </w:tcBorders>
            <w:noWrap w:val="0"/>
            <w:vAlign w:val="center"/>
          </w:tcPr>
          <w:p w14:paraId="79DCAA90">
            <w:pPr>
              <w:pStyle w:val="33"/>
              <w:spacing w:before="33" w:line="233" w:lineRule="auto"/>
              <w:ind w:right="46"/>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项目经理资历：（1）学历：具有大学本科 （含）以上学历者，得 1.5 分； 其他，得 0 分；</w:t>
            </w:r>
          </w:p>
          <w:p w14:paraId="782AC1CF">
            <w:pPr>
              <w:pStyle w:val="33"/>
              <w:spacing w:before="21" w:line="233" w:lineRule="auto"/>
              <w:ind w:right="102"/>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（2）职称：具有相关专业中级（含）以上职称， 得 1.5分；其他， 得 0 分；</w:t>
            </w:r>
          </w:p>
          <w:p w14:paraId="3E1F0B15">
            <w:pPr>
              <w:widowControl/>
              <w:spacing w:line="360" w:lineRule="auto"/>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注：须提供有效学历证书及 职称证书证明材料。</w:t>
            </w:r>
          </w:p>
        </w:tc>
      </w:tr>
      <w:tr w14:paraId="18CA9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atLeast"/>
          <w:jc w:val="center"/>
        </w:trPr>
        <w:tc>
          <w:tcPr>
            <w:tcW w:w="322" w:type="pct"/>
            <w:vMerge w:val="continue"/>
            <w:tcBorders>
              <w:left w:val="single" w:color="auto" w:sz="4" w:space="0"/>
              <w:right w:val="single" w:color="auto" w:sz="4" w:space="0"/>
            </w:tcBorders>
            <w:noWrap w:val="0"/>
            <w:vAlign w:val="center"/>
          </w:tcPr>
          <w:p w14:paraId="210DBFC1">
            <w:pPr>
              <w:widowControl/>
              <w:spacing w:line="360" w:lineRule="auto"/>
              <w:jc w:val="left"/>
              <w:rPr>
                <w:highlight w:val="none"/>
              </w:rPr>
            </w:pPr>
          </w:p>
        </w:tc>
        <w:tc>
          <w:tcPr>
            <w:tcW w:w="607" w:type="pct"/>
            <w:vMerge w:val="continue"/>
            <w:tcBorders>
              <w:left w:val="single" w:color="auto" w:sz="4" w:space="0"/>
              <w:right w:val="single" w:color="auto" w:sz="4" w:space="0"/>
            </w:tcBorders>
            <w:noWrap w:val="0"/>
            <w:vAlign w:val="center"/>
          </w:tcPr>
          <w:p w14:paraId="56F612B4">
            <w:pPr>
              <w:widowControl/>
              <w:spacing w:line="360" w:lineRule="auto"/>
              <w:jc w:val="left"/>
              <w:rPr>
                <w:highlight w:val="none"/>
              </w:rPr>
            </w:pPr>
          </w:p>
        </w:tc>
        <w:tc>
          <w:tcPr>
            <w:tcW w:w="593" w:type="pct"/>
            <w:vMerge w:val="continue"/>
            <w:tcBorders>
              <w:left w:val="single" w:color="auto" w:sz="4" w:space="0"/>
              <w:right w:val="single" w:color="auto" w:sz="4" w:space="0"/>
            </w:tcBorders>
            <w:noWrap w:val="0"/>
            <w:vAlign w:val="center"/>
          </w:tcPr>
          <w:p w14:paraId="044B10E7">
            <w:pPr>
              <w:widowControl/>
              <w:spacing w:line="360" w:lineRule="auto"/>
              <w:jc w:val="left"/>
              <w:rPr>
                <w:highlight w:val="none"/>
              </w:rPr>
            </w:pPr>
          </w:p>
        </w:tc>
        <w:tc>
          <w:tcPr>
            <w:tcW w:w="330" w:type="pct"/>
            <w:tcBorders>
              <w:left w:val="single" w:color="auto" w:sz="4" w:space="0"/>
              <w:right w:val="single" w:color="auto" w:sz="4" w:space="0"/>
            </w:tcBorders>
            <w:noWrap w:val="0"/>
            <w:vAlign w:val="center"/>
          </w:tcPr>
          <w:p w14:paraId="42642D27">
            <w:pPr>
              <w:spacing w:line="360" w:lineRule="auto"/>
              <w:jc w:val="cente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3</w:t>
            </w:r>
          </w:p>
        </w:tc>
        <w:tc>
          <w:tcPr>
            <w:tcW w:w="3147" w:type="pct"/>
            <w:tcBorders>
              <w:top w:val="single" w:color="auto" w:sz="4" w:space="0"/>
              <w:left w:val="single" w:color="auto" w:sz="4" w:space="0"/>
              <w:bottom w:val="single" w:color="auto" w:sz="4" w:space="0"/>
              <w:right w:val="single" w:color="auto" w:sz="4" w:space="0"/>
            </w:tcBorders>
            <w:noWrap w:val="0"/>
            <w:vAlign w:val="center"/>
          </w:tcPr>
          <w:p w14:paraId="7AB8B580">
            <w:pPr>
              <w:pStyle w:val="33"/>
              <w:spacing w:before="34" w:line="233" w:lineRule="auto"/>
              <w:ind w:right="46"/>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技术负责人资历：（1）学历：具有大学本科（含）以上学历者，得 1 分； 其他， 得 0 分；</w:t>
            </w:r>
          </w:p>
          <w:p w14:paraId="093E3E70">
            <w:pPr>
              <w:pStyle w:val="33"/>
              <w:spacing w:before="20" w:line="233" w:lineRule="auto"/>
              <w:ind w:right="102"/>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（2）职称：具有相关专业 中级（含） 以上职 称，得 2分；其他，得 0 分；</w:t>
            </w:r>
          </w:p>
          <w:p w14:paraId="0947D07E">
            <w:pPr>
              <w:widowControl/>
              <w:spacing w:line="360" w:lineRule="auto"/>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注：须提供有效学历证书及职称证书证明材料。</w:t>
            </w:r>
          </w:p>
        </w:tc>
      </w:tr>
      <w:tr w14:paraId="5AD71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atLeast"/>
          <w:jc w:val="center"/>
        </w:trPr>
        <w:tc>
          <w:tcPr>
            <w:tcW w:w="322" w:type="pct"/>
            <w:vMerge w:val="continue"/>
            <w:tcBorders>
              <w:left w:val="single" w:color="auto" w:sz="4" w:space="0"/>
              <w:right w:val="single" w:color="auto" w:sz="4" w:space="0"/>
            </w:tcBorders>
            <w:noWrap w:val="0"/>
            <w:vAlign w:val="center"/>
          </w:tcPr>
          <w:p w14:paraId="60BDF136">
            <w:pPr>
              <w:widowControl/>
              <w:spacing w:line="360" w:lineRule="auto"/>
              <w:jc w:val="left"/>
              <w:rPr>
                <w:highlight w:val="none"/>
              </w:rPr>
            </w:pPr>
          </w:p>
        </w:tc>
        <w:tc>
          <w:tcPr>
            <w:tcW w:w="607" w:type="pct"/>
            <w:vMerge w:val="continue"/>
            <w:tcBorders>
              <w:left w:val="single" w:color="auto" w:sz="4" w:space="0"/>
              <w:right w:val="single" w:color="auto" w:sz="4" w:space="0"/>
            </w:tcBorders>
            <w:noWrap w:val="0"/>
            <w:vAlign w:val="center"/>
          </w:tcPr>
          <w:p w14:paraId="2901A860">
            <w:pPr>
              <w:widowControl/>
              <w:spacing w:line="360" w:lineRule="auto"/>
              <w:jc w:val="left"/>
              <w:rPr>
                <w:highlight w:val="none"/>
              </w:rPr>
            </w:pPr>
          </w:p>
        </w:tc>
        <w:tc>
          <w:tcPr>
            <w:tcW w:w="593" w:type="pct"/>
            <w:vMerge w:val="continue"/>
            <w:tcBorders>
              <w:left w:val="single" w:color="auto" w:sz="4" w:space="0"/>
              <w:bottom w:val="single" w:color="auto" w:sz="4" w:space="0"/>
              <w:right w:val="single" w:color="auto" w:sz="4" w:space="0"/>
            </w:tcBorders>
            <w:noWrap w:val="0"/>
            <w:vAlign w:val="center"/>
          </w:tcPr>
          <w:p w14:paraId="1F57CDF2">
            <w:pPr>
              <w:widowControl/>
              <w:spacing w:line="360" w:lineRule="auto"/>
              <w:jc w:val="left"/>
              <w:rPr>
                <w:highlight w:val="none"/>
              </w:rPr>
            </w:pPr>
          </w:p>
        </w:tc>
        <w:tc>
          <w:tcPr>
            <w:tcW w:w="330" w:type="pct"/>
            <w:tcBorders>
              <w:left w:val="single" w:color="auto" w:sz="4" w:space="0"/>
              <w:bottom w:val="single" w:color="auto" w:sz="4" w:space="0"/>
              <w:right w:val="single" w:color="auto" w:sz="4" w:space="0"/>
            </w:tcBorders>
            <w:noWrap w:val="0"/>
            <w:vAlign w:val="center"/>
          </w:tcPr>
          <w:p w14:paraId="484D759F">
            <w:pPr>
              <w:spacing w:line="360" w:lineRule="auto"/>
              <w:jc w:val="cente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3</w:t>
            </w:r>
          </w:p>
        </w:tc>
        <w:tc>
          <w:tcPr>
            <w:tcW w:w="3147" w:type="pct"/>
            <w:tcBorders>
              <w:top w:val="single" w:color="auto" w:sz="4" w:space="0"/>
              <w:left w:val="single" w:color="auto" w:sz="4" w:space="0"/>
              <w:bottom w:val="single" w:color="auto" w:sz="4" w:space="0"/>
              <w:right w:val="single" w:color="auto" w:sz="4" w:space="0"/>
            </w:tcBorders>
            <w:noWrap w:val="0"/>
            <w:vAlign w:val="center"/>
          </w:tcPr>
          <w:p w14:paraId="033C237E">
            <w:pPr>
              <w:widowControl/>
              <w:spacing w:line="360" w:lineRule="auto"/>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项目管理机构人员构成情况：项目管理团队中，安全、质检、施工、造价、财务、资料管理等岗位设置齐全，得 3 分；每有一项缺失减 0.5 分。</w:t>
            </w:r>
          </w:p>
        </w:tc>
      </w:tr>
      <w:tr w14:paraId="4B2BF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322" w:type="pct"/>
            <w:vMerge w:val="continue"/>
            <w:tcBorders>
              <w:left w:val="single" w:color="auto" w:sz="4" w:space="0"/>
              <w:right w:val="single" w:color="auto" w:sz="4" w:space="0"/>
            </w:tcBorders>
            <w:noWrap w:val="0"/>
            <w:vAlign w:val="center"/>
          </w:tcPr>
          <w:p w14:paraId="7C1982BF">
            <w:pPr>
              <w:widowControl/>
              <w:spacing w:beforeAutospacing="1" w:afterAutospacing="1" w:line="360" w:lineRule="auto"/>
              <w:jc w:val="left"/>
              <w:rPr>
                <w:rFonts w:hint="eastAsia" w:ascii="宋体" w:hAnsi="宋体" w:eastAsia="宋体" w:cs="宋体"/>
                <w:color w:val="auto"/>
                <w:szCs w:val="21"/>
                <w:highlight w:val="none"/>
              </w:rPr>
            </w:pPr>
          </w:p>
        </w:tc>
        <w:tc>
          <w:tcPr>
            <w:tcW w:w="607" w:type="pct"/>
            <w:vMerge w:val="continue"/>
            <w:tcBorders>
              <w:left w:val="single" w:color="auto" w:sz="4" w:space="0"/>
              <w:right w:val="single" w:color="auto" w:sz="4" w:space="0"/>
            </w:tcBorders>
            <w:noWrap w:val="0"/>
            <w:vAlign w:val="center"/>
          </w:tcPr>
          <w:p w14:paraId="11269754">
            <w:pPr>
              <w:widowControl/>
              <w:spacing w:beforeAutospacing="1" w:afterAutospacing="1" w:line="360" w:lineRule="auto"/>
              <w:jc w:val="left"/>
              <w:rPr>
                <w:rFonts w:hint="eastAsia" w:ascii="宋体" w:hAnsi="宋体" w:eastAsia="宋体" w:cs="宋体"/>
                <w:color w:val="auto"/>
                <w:szCs w:val="21"/>
                <w:highlight w:val="none"/>
              </w:rPr>
            </w:pPr>
          </w:p>
        </w:tc>
        <w:tc>
          <w:tcPr>
            <w:tcW w:w="593" w:type="pct"/>
            <w:tcBorders>
              <w:top w:val="single" w:color="auto" w:sz="4" w:space="0"/>
              <w:left w:val="single" w:color="auto" w:sz="4" w:space="0"/>
              <w:bottom w:val="single" w:color="auto" w:sz="4" w:space="0"/>
              <w:right w:val="single" w:color="auto" w:sz="4" w:space="0"/>
            </w:tcBorders>
            <w:noWrap w:val="0"/>
            <w:vAlign w:val="center"/>
          </w:tcPr>
          <w:p w14:paraId="73A21D01">
            <w:pPr>
              <w:widowControl/>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体系认证</w:t>
            </w:r>
          </w:p>
          <w:p w14:paraId="3FF8EB31">
            <w:pPr>
              <w:widowControl/>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hint="eastAsia" w:ascii="宋体" w:hAnsi="宋体" w:eastAsia="宋体" w:cs="宋体"/>
                <w:color w:val="auto"/>
                <w:kern w:val="0"/>
                <w:szCs w:val="21"/>
                <w:highlight w:val="none"/>
                <w:lang w:val="en-US" w:eastAsia="zh-CN"/>
              </w:rPr>
              <w:t>2</w:t>
            </w:r>
            <w:r>
              <w:rPr>
                <w:rFonts w:hint="eastAsia" w:ascii="宋体" w:hAnsi="宋体" w:eastAsia="宋体" w:cs="宋体"/>
                <w:color w:val="auto"/>
                <w:kern w:val="0"/>
                <w:szCs w:val="21"/>
                <w:highlight w:val="none"/>
              </w:rPr>
              <w:t>分）</w:t>
            </w:r>
          </w:p>
        </w:tc>
        <w:tc>
          <w:tcPr>
            <w:tcW w:w="330" w:type="pct"/>
            <w:tcBorders>
              <w:top w:val="single" w:color="auto" w:sz="4" w:space="0"/>
              <w:left w:val="single" w:color="auto" w:sz="4" w:space="0"/>
              <w:bottom w:val="single" w:color="auto" w:sz="4" w:space="0"/>
              <w:right w:val="single" w:color="auto" w:sz="4" w:space="0"/>
            </w:tcBorders>
            <w:noWrap w:val="0"/>
            <w:vAlign w:val="center"/>
          </w:tcPr>
          <w:p w14:paraId="48EE02E2">
            <w:pPr>
              <w:spacing w:line="360" w:lineRule="auto"/>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2</w:t>
            </w:r>
          </w:p>
        </w:tc>
        <w:tc>
          <w:tcPr>
            <w:tcW w:w="3147" w:type="pct"/>
            <w:tcBorders>
              <w:top w:val="single" w:color="auto" w:sz="4" w:space="0"/>
              <w:left w:val="single" w:color="auto" w:sz="4" w:space="0"/>
              <w:bottom w:val="single" w:color="auto" w:sz="4" w:space="0"/>
              <w:right w:val="single" w:color="auto" w:sz="4" w:space="0"/>
            </w:tcBorders>
            <w:noWrap w:val="0"/>
            <w:vAlign w:val="center"/>
          </w:tcPr>
          <w:p w14:paraId="2DAA68B7">
            <w:pPr>
              <w:widowControl/>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（1）已经取得 ISO9001 质量管理体系认证且运行情况良好的得 </w:t>
            </w:r>
            <w:r>
              <w:rPr>
                <w:rFonts w:hint="eastAsia" w:ascii="宋体" w:hAnsi="宋体" w:eastAsia="宋体" w:cs="宋体"/>
                <w:color w:val="auto"/>
                <w:kern w:val="0"/>
                <w:szCs w:val="21"/>
                <w:highlight w:val="none"/>
                <w:lang w:val="en-US" w:eastAsia="zh-CN"/>
              </w:rPr>
              <w:t>0.5</w:t>
            </w:r>
            <w:r>
              <w:rPr>
                <w:rFonts w:hint="eastAsia" w:ascii="宋体" w:hAnsi="宋体" w:eastAsia="宋体" w:cs="宋体"/>
                <w:color w:val="auto"/>
                <w:kern w:val="0"/>
                <w:szCs w:val="21"/>
                <w:highlight w:val="none"/>
              </w:rPr>
              <w:t>分，否则不得分；</w:t>
            </w:r>
          </w:p>
          <w:p w14:paraId="1FB82DAB">
            <w:pPr>
              <w:widowControl/>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（2）已经取得 ISO14001 环境管理体系认证且运行情况良</w:t>
            </w:r>
          </w:p>
          <w:p w14:paraId="5418632C">
            <w:pPr>
              <w:widowControl/>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好的得</w:t>
            </w:r>
            <w:r>
              <w:rPr>
                <w:rFonts w:hint="eastAsia" w:ascii="宋体" w:hAnsi="宋体" w:eastAsia="宋体" w:cs="宋体"/>
                <w:color w:val="auto"/>
                <w:kern w:val="0"/>
                <w:szCs w:val="21"/>
                <w:highlight w:val="none"/>
                <w:lang w:val="en-US" w:eastAsia="zh-CN"/>
              </w:rPr>
              <w:t>0.5</w:t>
            </w:r>
            <w:r>
              <w:rPr>
                <w:rFonts w:hint="eastAsia" w:ascii="宋体" w:hAnsi="宋体" w:eastAsia="宋体" w:cs="宋体"/>
                <w:color w:val="auto"/>
                <w:kern w:val="0"/>
                <w:szCs w:val="21"/>
                <w:highlight w:val="none"/>
              </w:rPr>
              <w:t>分，否则不得分；</w:t>
            </w:r>
          </w:p>
          <w:p w14:paraId="2ED5D052">
            <w:pPr>
              <w:widowControl/>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（3）已经取得 OHSAS18001 职业安全健康管理体系认证且</w:t>
            </w:r>
          </w:p>
          <w:p w14:paraId="65C828FF">
            <w:pPr>
              <w:widowControl/>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运行情况良好的得 1 分，否则不得分。</w:t>
            </w:r>
          </w:p>
        </w:tc>
      </w:tr>
      <w:tr w14:paraId="30B2B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4" w:hRule="atLeast"/>
          <w:jc w:val="center"/>
        </w:trPr>
        <w:tc>
          <w:tcPr>
            <w:tcW w:w="322" w:type="pct"/>
            <w:vMerge w:val="restart"/>
            <w:tcBorders>
              <w:top w:val="single" w:color="auto" w:sz="4" w:space="0"/>
              <w:left w:val="single" w:color="auto" w:sz="4" w:space="0"/>
              <w:right w:val="single" w:color="auto" w:sz="4" w:space="0"/>
            </w:tcBorders>
            <w:noWrap w:val="0"/>
            <w:vAlign w:val="center"/>
          </w:tcPr>
          <w:p w14:paraId="70DC6E35">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607" w:type="pct"/>
            <w:vMerge w:val="restart"/>
            <w:tcBorders>
              <w:top w:val="single" w:color="auto" w:sz="4" w:space="0"/>
              <w:left w:val="single" w:color="auto" w:sz="4" w:space="0"/>
              <w:right w:val="single" w:color="auto" w:sz="4" w:space="0"/>
            </w:tcBorders>
            <w:noWrap w:val="0"/>
            <w:vAlign w:val="center"/>
          </w:tcPr>
          <w:p w14:paraId="13171C60">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技术部分（5</w:t>
            </w: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rPr>
              <w:t>）</w:t>
            </w:r>
          </w:p>
        </w:tc>
        <w:tc>
          <w:tcPr>
            <w:tcW w:w="593" w:type="pct"/>
            <w:tcBorders>
              <w:top w:val="single" w:color="auto" w:sz="4" w:space="0"/>
              <w:left w:val="single" w:color="auto" w:sz="4" w:space="0"/>
              <w:right w:val="single" w:color="auto" w:sz="4" w:space="0"/>
            </w:tcBorders>
            <w:noWrap w:val="0"/>
            <w:vAlign w:val="center"/>
          </w:tcPr>
          <w:p w14:paraId="65EF8E5E">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施工方案与技术措</w:t>
            </w:r>
          </w:p>
          <w:p w14:paraId="2976DF3E">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施</w:t>
            </w:r>
          </w:p>
          <w:p w14:paraId="717C8B6E">
            <w:pPr>
              <w:pStyle w:val="7"/>
              <w:jc w:val="center"/>
              <w:rPr>
                <w:rFonts w:hint="eastAsia" w:ascii="宋体" w:hAnsi="宋体" w:eastAsia="宋体" w:cs="宋体"/>
                <w:color w:val="auto"/>
                <w:highlight w:val="none"/>
              </w:rPr>
            </w:pPr>
            <w:r>
              <w:rPr>
                <w:rFonts w:hint="eastAsia" w:ascii="宋体" w:hAnsi="宋体" w:eastAsia="宋体" w:cs="宋体"/>
                <w:color w:val="auto"/>
                <w:kern w:val="0"/>
                <w:sz w:val="21"/>
                <w:szCs w:val="21"/>
                <w:highlight w:val="none"/>
                <w:lang w:val="en-US" w:eastAsia="zh-CN" w:bidi="ar-SA"/>
              </w:rPr>
              <w:t>（12分</w:t>
            </w:r>
            <w:r>
              <w:rPr>
                <w:rFonts w:hint="eastAsia" w:ascii="宋体" w:hAnsi="宋体" w:eastAsia="宋体" w:cs="宋体"/>
                <w:color w:val="auto"/>
                <w:sz w:val="21"/>
                <w:highlight w:val="none"/>
              </w:rPr>
              <w:t>）</w:t>
            </w:r>
          </w:p>
        </w:tc>
        <w:tc>
          <w:tcPr>
            <w:tcW w:w="330" w:type="pct"/>
            <w:tcBorders>
              <w:top w:val="single" w:color="auto" w:sz="4" w:space="0"/>
              <w:left w:val="single" w:color="auto" w:sz="4" w:space="0"/>
              <w:right w:val="single" w:color="auto" w:sz="4" w:space="0"/>
            </w:tcBorders>
            <w:noWrap w:val="0"/>
            <w:vAlign w:val="center"/>
          </w:tcPr>
          <w:p w14:paraId="409E699B">
            <w:pPr>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2</w:t>
            </w:r>
          </w:p>
        </w:tc>
        <w:tc>
          <w:tcPr>
            <w:tcW w:w="3147" w:type="pct"/>
            <w:tcBorders>
              <w:top w:val="single" w:color="auto" w:sz="4" w:space="0"/>
              <w:left w:val="single" w:color="auto" w:sz="4" w:space="0"/>
              <w:right w:val="single" w:color="auto" w:sz="4" w:space="0"/>
            </w:tcBorders>
            <w:noWrap w:val="0"/>
            <w:vAlign w:val="center"/>
          </w:tcPr>
          <w:p w14:paraId="40C9F011">
            <w:pPr>
              <w:pStyle w:val="7"/>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（1）方案能保障质量、机械设备投入合理、技术措施有保障得1</w:t>
            </w:r>
            <w:r>
              <w:rPr>
                <w:rFonts w:hint="eastAsia" w:ascii="宋体" w:hAnsi="宋体" w:eastAsia="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rPr>
              <w:t>分；</w:t>
            </w:r>
          </w:p>
          <w:p w14:paraId="79434D9A">
            <w:pPr>
              <w:pStyle w:val="7"/>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方案能保障质量、机械设备投入基本合理、技术措施基本有保障得7分；</w:t>
            </w:r>
          </w:p>
          <w:p w14:paraId="12476E58">
            <w:pPr>
              <w:pStyle w:val="7"/>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（3）方案较能保障质量、机械设备投入较合理、技术措施一般得4分；</w:t>
            </w:r>
          </w:p>
          <w:p w14:paraId="1F8C50CA">
            <w:pPr>
              <w:pStyle w:val="7"/>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（4）方案不能保障质量、机械设备投入不合理、技术措施差得1分。</w:t>
            </w:r>
          </w:p>
          <w:p w14:paraId="56B1493E">
            <w:pPr>
              <w:pStyle w:val="14"/>
              <w:ind w:left="0" w:leftChars="0"/>
              <w:rPr>
                <w:rFonts w:hint="eastAsia" w:ascii="宋体" w:hAnsi="宋体" w:eastAsia="宋体" w:cs="宋体"/>
                <w:color w:val="auto"/>
                <w:highlight w:val="none"/>
                <w:lang w:eastAsia="zh-CN"/>
              </w:rPr>
            </w:pPr>
            <w:r>
              <w:rPr>
                <w:rFonts w:hint="eastAsia" w:ascii="宋体" w:hAnsi="宋体" w:eastAsia="宋体" w:cs="宋体"/>
                <w:color w:val="auto"/>
                <w:kern w:val="0"/>
                <w:szCs w:val="21"/>
                <w:highlight w:val="none"/>
              </w:rPr>
              <w:t>（5）未提供得0分</w:t>
            </w:r>
            <w:r>
              <w:rPr>
                <w:rFonts w:hint="eastAsia" w:ascii="宋体" w:hAnsi="宋体" w:eastAsia="宋体" w:cs="宋体"/>
                <w:color w:val="auto"/>
                <w:kern w:val="0"/>
                <w:szCs w:val="21"/>
                <w:highlight w:val="none"/>
                <w:lang w:eastAsia="zh-CN"/>
              </w:rPr>
              <w:t>。</w:t>
            </w:r>
          </w:p>
        </w:tc>
      </w:tr>
      <w:tr w14:paraId="3F233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9" w:hRule="atLeast"/>
          <w:jc w:val="center"/>
        </w:trPr>
        <w:tc>
          <w:tcPr>
            <w:tcW w:w="322" w:type="pct"/>
            <w:vMerge w:val="continue"/>
            <w:tcBorders>
              <w:left w:val="single" w:color="auto" w:sz="4" w:space="0"/>
              <w:right w:val="single" w:color="auto" w:sz="4" w:space="0"/>
            </w:tcBorders>
            <w:noWrap w:val="0"/>
            <w:vAlign w:val="center"/>
          </w:tcPr>
          <w:p w14:paraId="69CFF2FE">
            <w:pPr>
              <w:spacing w:line="360" w:lineRule="auto"/>
              <w:jc w:val="center"/>
              <w:rPr>
                <w:rFonts w:hint="eastAsia" w:ascii="宋体" w:hAnsi="宋体" w:eastAsia="宋体" w:cs="宋体"/>
                <w:color w:val="auto"/>
                <w:szCs w:val="21"/>
                <w:highlight w:val="none"/>
              </w:rPr>
            </w:pPr>
          </w:p>
        </w:tc>
        <w:tc>
          <w:tcPr>
            <w:tcW w:w="607" w:type="pct"/>
            <w:vMerge w:val="continue"/>
            <w:tcBorders>
              <w:left w:val="single" w:color="auto" w:sz="4" w:space="0"/>
              <w:right w:val="single" w:color="auto" w:sz="4" w:space="0"/>
            </w:tcBorders>
            <w:noWrap w:val="0"/>
            <w:vAlign w:val="center"/>
          </w:tcPr>
          <w:p w14:paraId="7F21FA76">
            <w:pPr>
              <w:spacing w:line="360" w:lineRule="auto"/>
              <w:jc w:val="center"/>
              <w:rPr>
                <w:rFonts w:hint="eastAsia" w:ascii="宋体" w:hAnsi="宋体" w:eastAsia="宋体" w:cs="宋体"/>
                <w:color w:val="auto"/>
                <w:szCs w:val="21"/>
                <w:highlight w:val="none"/>
              </w:rPr>
            </w:pPr>
          </w:p>
        </w:tc>
        <w:tc>
          <w:tcPr>
            <w:tcW w:w="593" w:type="pct"/>
            <w:tcBorders>
              <w:top w:val="single" w:color="auto" w:sz="4" w:space="0"/>
              <w:left w:val="single" w:color="auto" w:sz="4" w:space="0"/>
              <w:bottom w:val="single" w:color="auto" w:sz="4" w:space="0"/>
              <w:right w:val="single" w:color="auto" w:sz="4" w:space="0"/>
            </w:tcBorders>
            <w:noWrap w:val="0"/>
            <w:vAlign w:val="center"/>
          </w:tcPr>
          <w:p w14:paraId="66E0D560">
            <w:pPr>
              <w:spacing w:line="360" w:lineRule="auto"/>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highlight w:val="none"/>
              </w:rPr>
              <w:t>质量保证</w:t>
            </w:r>
            <w:r>
              <w:rPr>
                <w:rFonts w:hint="eastAsia" w:ascii="宋体" w:hAnsi="宋体" w:eastAsia="宋体" w:cs="宋体"/>
                <w:color w:val="auto"/>
                <w:kern w:val="0"/>
                <w:sz w:val="21"/>
                <w:szCs w:val="21"/>
                <w:highlight w:val="none"/>
                <w:lang w:val="en-US" w:eastAsia="zh-CN" w:bidi="ar-SA"/>
              </w:rPr>
              <w:t>措施</w:t>
            </w:r>
          </w:p>
          <w:p w14:paraId="037348A8">
            <w:pPr>
              <w:spacing w:line="360" w:lineRule="auto"/>
              <w:rPr>
                <w:rFonts w:hint="eastAsia" w:ascii="宋体" w:hAnsi="宋体" w:eastAsia="宋体" w:cs="宋体"/>
                <w:color w:val="auto"/>
                <w:highlight w:val="none"/>
              </w:rPr>
            </w:pPr>
            <w:r>
              <w:rPr>
                <w:rFonts w:hint="eastAsia" w:ascii="宋体" w:hAnsi="宋体" w:eastAsia="宋体" w:cs="宋体"/>
                <w:color w:val="auto"/>
                <w:kern w:val="0"/>
                <w:sz w:val="21"/>
                <w:szCs w:val="21"/>
                <w:highlight w:val="none"/>
                <w:lang w:val="en-US" w:eastAsia="zh-CN" w:bidi="ar-SA"/>
              </w:rPr>
              <w:t>（12分</w:t>
            </w:r>
            <w:r>
              <w:rPr>
                <w:rFonts w:hint="eastAsia" w:ascii="宋体" w:hAnsi="宋体" w:eastAsia="宋体" w:cs="宋体"/>
                <w:color w:val="auto"/>
                <w:highlight w:val="none"/>
              </w:rPr>
              <w:t>）</w:t>
            </w:r>
          </w:p>
        </w:tc>
        <w:tc>
          <w:tcPr>
            <w:tcW w:w="330" w:type="pct"/>
            <w:tcBorders>
              <w:top w:val="single" w:color="auto" w:sz="4" w:space="0"/>
              <w:left w:val="single" w:color="auto" w:sz="4" w:space="0"/>
              <w:bottom w:val="single" w:color="auto" w:sz="4" w:space="0"/>
              <w:right w:val="single" w:color="auto" w:sz="4" w:space="0"/>
            </w:tcBorders>
            <w:noWrap w:val="0"/>
            <w:vAlign w:val="center"/>
          </w:tcPr>
          <w:p w14:paraId="6BA327FE">
            <w:pPr>
              <w:spacing w:line="360" w:lineRule="auto"/>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2</w:t>
            </w:r>
          </w:p>
        </w:tc>
        <w:tc>
          <w:tcPr>
            <w:tcW w:w="3147" w:type="pct"/>
            <w:tcBorders>
              <w:top w:val="single" w:color="auto" w:sz="4" w:space="0"/>
              <w:left w:val="single" w:color="auto" w:sz="4" w:space="0"/>
              <w:bottom w:val="single" w:color="auto" w:sz="4" w:space="0"/>
              <w:right w:val="single" w:color="auto" w:sz="4" w:space="0"/>
            </w:tcBorders>
            <w:noWrap w:val="0"/>
            <w:vAlign w:val="center"/>
          </w:tcPr>
          <w:p w14:paraId="61E3EC5F">
            <w:pPr>
              <w:widowControl/>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（1）该措施依据本项目编制，安全管理规范、保障措施详细可行、合理性强，得1</w:t>
            </w:r>
            <w:r>
              <w:rPr>
                <w:rFonts w:hint="eastAsia" w:ascii="宋体" w:hAnsi="宋体" w:eastAsia="宋体" w:cs="宋体"/>
                <w:color w:val="auto"/>
                <w:kern w:val="0"/>
                <w:szCs w:val="21"/>
                <w:highlight w:val="none"/>
                <w:lang w:val="en-US" w:eastAsia="zh-CN"/>
              </w:rPr>
              <w:t>2</w:t>
            </w:r>
            <w:r>
              <w:rPr>
                <w:rFonts w:hint="eastAsia" w:ascii="宋体" w:hAnsi="宋体" w:eastAsia="宋体" w:cs="宋体"/>
                <w:color w:val="auto"/>
                <w:kern w:val="0"/>
                <w:szCs w:val="21"/>
                <w:highlight w:val="none"/>
              </w:rPr>
              <w:t>分；</w:t>
            </w:r>
          </w:p>
          <w:p w14:paraId="4E51CD2C">
            <w:pPr>
              <w:widowControl/>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（2）该措施依据本项目编制，安全管理规范、保障措施可行、较合理，得8分；</w:t>
            </w:r>
          </w:p>
          <w:p w14:paraId="5280D554">
            <w:pPr>
              <w:widowControl/>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（3）该措施贴近本项目编制，安全管理较规范、保障措施可行性一般、合理性一般，得6分；</w:t>
            </w:r>
          </w:p>
          <w:p w14:paraId="06CBF6B6">
            <w:pPr>
              <w:widowControl/>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（4）安全管理规范、保障措施差、基本满足要求，得4分；</w:t>
            </w:r>
          </w:p>
          <w:p w14:paraId="2665C689">
            <w:pPr>
              <w:widowControl/>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（5）该措施未贴近本项目编制，安全管理不规范，保障措施很差，无法满足该项目要求得1分；</w:t>
            </w:r>
          </w:p>
          <w:p w14:paraId="5E165CF5">
            <w:pPr>
              <w:widowControl/>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（6）未提供不得分。</w:t>
            </w:r>
          </w:p>
        </w:tc>
      </w:tr>
      <w:tr w14:paraId="128E7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2" w:hRule="atLeast"/>
          <w:jc w:val="center"/>
        </w:trPr>
        <w:tc>
          <w:tcPr>
            <w:tcW w:w="322" w:type="pct"/>
            <w:vMerge w:val="continue"/>
            <w:tcBorders>
              <w:left w:val="single" w:color="auto" w:sz="4" w:space="0"/>
              <w:right w:val="single" w:color="auto" w:sz="4" w:space="0"/>
            </w:tcBorders>
            <w:noWrap w:val="0"/>
            <w:vAlign w:val="center"/>
          </w:tcPr>
          <w:p w14:paraId="3453FCED">
            <w:pPr>
              <w:spacing w:line="360" w:lineRule="auto"/>
              <w:jc w:val="center"/>
              <w:rPr>
                <w:rFonts w:hint="eastAsia" w:ascii="宋体" w:hAnsi="宋体" w:eastAsia="宋体" w:cs="宋体"/>
                <w:color w:val="auto"/>
                <w:szCs w:val="21"/>
                <w:highlight w:val="none"/>
              </w:rPr>
            </w:pPr>
          </w:p>
        </w:tc>
        <w:tc>
          <w:tcPr>
            <w:tcW w:w="607" w:type="pct"/>
            <w:vMerge w:val="continue"/>
            <w:tcBorders>
              <w:left w:val="single" w:color="auto" w:sz="4" w:space="0"/>
              <w:right w:val="single" w:color="auto" w:sz="4" w:space="0"/>
            </w:tcBorders>
            <w:noWrap w:val="0"/>
            <w:vAlign w:val="center"/>
          </w:tcPr>
          <w:p w14:paraId="264E63CF">
            <w:pPr>
              <w:spacing w:line="360" w:lineRule="auto"/>
              <w:jc w:val="center"/>
              <w:rPr>
                <w:rFonts w:hint="eastAsia" w:ascii="宋体" w:hAnsi="宋体" w:eastAsia="宋体" w:cs="宋体"/>
                <w:color w:val="auto"/>
                <w:szCs w:val="21"/>
                <w:highlight w:val="none"/>
              </w:rPr>
            </w:pPr>
          </w:p>
        </w:tc>
        <w:tc>
          <w:tcPr>
            <w:tcW w:w="593" w:type="pct"/>
            <w:tcBorders>
              <w:top w:val="single" w:color="auto" w:sz="4" w:space="0"/>
              <w:left w:val="single" w:color="auto" w:sz="4" w:space="0"/>
              <w:bottom w:val="single" w:color="auto" w:sz="4" w:space="0"/>
              <w:right w:val="single" w:color="auto" w:sz="4" w:space="0"/>
            </w:tcBorders>
            <w:noWrap w:val="0"/>
            <w:vAlign w:val="center"/>
          </w:tcPr>
          <w:p w14:paraId="677765F9">
            <w:pPr>
              <w:widowControl/>
              <w:jc w:val="center"/>
              <w:rPr>
                <w:rFonts w:hint="eastAsia" w:ascii="宋体" w:hAnsi="宋体" w:eastAsia="宋体" w:cs="宋体"/>
                <w:color w:val="auto"/>
                <w:highlight w:val="none"/>
              </w:rPr>
            </w:pPr>
            <w:r>
              <w:rPr>
                <w:rFonts w:hint="eastAsia" w:ascii="宋体" w:hAnsi="宋体" w:eastAsia="宋体" w:cs="宋体"/>
                <w:color w:val="auto"/>
                <w:kern w:val="0"/>
                <w:szCs w:val="21"/>
                <w:highlight w:val="none"/>
                <w:lang w:bidi="ar"/>
              </w:rPr>
              <w:t>安全文明施工方案</w:t>
            </w:r>
          </w:p>
          <w:p w14:paraId="3FCB2F4A">
            <w:pPr>
              <w:widowControl/>
              <w:jc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及保障措施</w:t>
            </w:r>
          </w:p>
          <w:p w14:paraId="010E1CF2">
            <w:pPr>
              <w:widowControl/>
              <w:jc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(8分）</w:t>
            </w:r>
          </w:p>
        </w:tc>
        <w:tc>
          <w:tcPr>
            <w:tcW w:w="330" w:type="pct"/>
            <w:tcBorders>
              <w:top w:val="single" w:color="auto" w:sz="4" w:space="0"/>
              <w:left w:val="single" w:color="auto" w:sz="4" w:space="0"/>
              <w:bottom w:val="single" w:color="auto" w:sz="4" w:space="0"/>
              <w:right w:val="single" w:color="auto" w:sz="4" w:space="0"/>
            </w:tcBorders>
            <w:noWrap w:val="0"/>
            <w:vAlign w:val="center"/>
          </w:tcPr>
          <w:p w14:paraId="4F2E6005">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8</w:t>
            </w:r>
          </w:p>
        </w:tc>
        <w:tc>
          <w:tcPr>
            <w:tcW w:w="3147" w:type="pct"/>
            <w:tcBorders>
              <w:top w:val="single" w:color="auto" w:sz="4" w:space="0"/>
              <w:left w:val="single" w:color="auto" w:sz="4" w:space="0"/>
              <w:bottom w:val="single" w:color="auto" w:sz="4" w:space="0"/>
              <w:right w:val="single" w:color="auto" w:sz="4" w:space="0"/>
            </w:tcBorders>
            <w:noWrap w:val="0"/>
            <w:vAlign w:val="center"/>
          </w:tcPr>
          <w:p w14:paraId="11D81378">
            <w:pPr>
              <w:widowControl/>
              <w:numPr>
                <w:ilvl w:val="0"/>
                <w:numId w:val="7"/>
              </w:numPr>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方案针对性强、措施科学、合理得8分；</w:t>
            </w:r>
          </w:p>
          <w:p w14:paraId="03936C50">
            <w:pPr>
              <w:widowControl/>
              <w:numPr>
                <w:ilvl w:val="0"/>
                <w:numId w:val="7"/>
              </w:numPr>
              <w:spacing w:line="360" w:lineRule="auto"/>
              <w:jc w:val="left"/>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方案针对性较好、措施较科学、合理得5分；</w:t>
            </w:r>
          </w:p>
          <w:p w14:paraId="2CADC46A">
            <w:pPr>
              <w:widowControl/>
              <w:numPr>
                <w:ilvl w:val="0"/>
                <w:numId w:val="7"/>
              </w:numPr>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bidi="ar"/>
              </w:rPr>
              <w:t>方案针对性一般、措施可行性一般得2分；</w:t>
            </w:r>
          </w:p>
          <w:p w14:paraId="31EDD84F">
            <w:pPr>
              <w:widowControl/>
              <w:numPr>
                <w:ilvl w:val="0"/>
                <w:numId w:val="7"/>
              </w:numPr>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bidi="ar"/>
              </w:rPr>
              <w:t>方案针对性差，措施欠合理或未提供相关方案得0分。</w:t>
            </w:r>
          </w:p>
        </w:tc>
      </w:tr>
      <w:tr w14:paraId="55A41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4" w:hRule="atLeast"/>
          <w:jc w:val="center"/>
        </w:trPr>
        <w:tc>
          <w:tcPr>
            <w:tcW w:w="322" w:type="pct"/>
            <w:vMerge w:val="continue"/>
            <w:tcBorders>
              <w:left w:val="single" w:color="auto" w:sz="4" w:space="0"/>
              <w:right w:val="single" w:color="auto" w:sz="4" w:space="0"/>
            </w:tcBorders>
            <w:noWrap w:val="0"/>
            <w:vAlign w:val="center"/>
          </w:tcPr>
          <w:p w14:paraId="67EC7457">
            <w:pPr>
              <w:spacing w:line="360" w:lineRule="auto"/>
              <w:jc w:val="center"/>
              <w:rPr>
                <w:rFonts w:hint="eastAsia" w:ascii="宋体" w:hAnsi="宋体" w:eastAsia="宋体" w:cs="宋体"/>
                <w:color w:val="auto"/>
                <w:szCs w:val="21"/>
                <w:highlight w:val="none"/>
              </w:rPr>
            </w:pPr>
          </w:p>
        </w:tc>
        <w:tc>
          <w:tcPr>
            <w:tcW w:w="607" w:type="pct"/>
            <w:vMerge w:val="continue"/>
            <w:tcBorders>
              <w:left w:val="single" w:color="auto" w:sz="4" w:space="0"/>
              <w:right w:val="single" w:color="auto" w:sz="4" w:space="0"/>
            </w:tcBorders>
            <w:noWrap w:val="0"/>
            <w:vAlign w:val="center"/>
          </w:tcPr>
          <w:p w14:paraId="6F8294AC">
            <w:pPr>
              <w:spacing w:line="360" w:lineRule="auto"/>
              <w:jc w:val="center"/>
              <w:rPr>
                <w:rFonts w:hint="eastAsia" w:ascii="宋体" w:hAnsi="宋体" w:eastAsia="宋体" w:cs="宋体"/>
                <w:color w:val="auto"/>
                <w:szCs w:val="21"/>
                <w:highlight w:val="none"/>
              </w:rPr>
            </w:pPr>
          </w:p>
        </w:tc>
        <w:tc>
          <w:tcPr>
            <w:tcW w:w="593" w:type="pct"/>
            <w:tcBorders>
              <w:top w:val="single" w:color="auto" w:sz="4" w:space="0"/>
              <w:left w:val="single" w:color="auto" w:sz="4" w:space="0"/>
              <w:bottom w:val="single" w:color="auto" w:sz="4" w:space="0"/>
              <w:right w:val="single" w:color="auto" w:sz="4" w:space="0"/>
            </w:tcBorders>
            <w:noWrap w:val="0"/>
            <w:vAlign w:val="center"/>
          </w:tcPr>
          <w:p w14:paraId="34629692">
            <w:pPr>
              <w:widowControl/>
              <w:jc w:val="center"/>
              <w:rPr>
                <w:rFonts w:hint="eastAsia" w:ascii="宋体" w:hAnsi="宋体" w:eastAsia="宋体" w:cs="宋体"/>
                <w:color w:val="auto"/>
                <w:highlight w:val="none"/>
              </w:rPr>
            </w:pPr>
            <w:r>
              <w:rPr>
                <w:rFonts w:hint="eastAsia" w:ascii="宋体" w:hAnsi="宋体" w:eastAsia="宋体" w:cs="宋体"/>
                <w:color w:val="auto"/>
                <w:kern w:val="0"/>
                <w:szCs w:val="21"/>
                <w:highlight w:val="none"/>
                <w:lang w:bidi="ar"/>
              </w:rPr>
              <w:t>工程进度计划及保</w:t>
            </w:r>
          </w:p>
          <w:p w14:paraId="21891DC6">
            <w:pPr>
              <w:widowControl/>
              <w:jc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障措施</w:t>
            </w:r>
          </w:p>
          <w:p w14:paraId="49FB498A">
            <w:pPr>
              <w:widowControl/>
              <w:jc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w:t>
            </w:r>
            <w:r>
              <w:rPr>
                <w:rFonts w:hint="eastAsia" w:ascii="宋体" w:hAnsi="宋体" w:cs="宋体"/>
                <w:color w:val="auto"/>
                <w:kern w:val="0"/>
                <w:szCs w:val="21"/>
                <w:highlight w:val="none"/>
                <w:lang w:val="en-US" w:eastAsia="zh-CN" w:bidi="ar"/>
              </w:rPr>
              <w:t>8</w:t>
            </w:r>
            <w:r>
              <w:rPr>
                <w:rFonts w:hint="eastAsia" w:ascii="宋体" w:hAnsi="宋体" w:eastAsia="宋体" w:cs="宋体"/>
                <w:color w:val="auto"/>
                <w:kern w:val="0"/>
                <w:szCs w:val="21"/>
                <w:highlight w:val="none"/>
                <w:lang w:bidi="ar"/>
              </w:rPr>
              <w:t>分）</w:t>
            </w:r>
          </w:p>
        </w:tc>
        <w:tc>
          <w:tcPr>
            <w:tcW w:w="330" w:type="pct"/>
            <w:tcBorders>
              <w:top w:val="single" w:color="auto" w:sz="4" w:space="0"/>
              <w:left w:val="single" w:color="auto" w:sz="4" w:space="0"/>
              <w:bottom w:val="single" w:color="auto" w:sz="4" w:space="0"/>
              <w:right w:val="single" w:color="auto" w:sz="4" w:space="0"/>
            </w:tcBorders>
            <w:noWrap w:val="0"/>
            <w:vAlign w:val="center"/>
          </w:tcPr>
          <w:p w14:paraId="101DE50F">
            <w:pPr>
              <w:spacing w:line="360" w:lineRule="auto"/>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8</w:t>
            </w:r>
          </w:p>
        </w:tc>
        <w:tc>
          <w:tcPr>
            <w:tcW w:w="3147" w:type="pct"/>
            <w:tcBorders>
              <w:top w:val="single" w:color="auto" w:sz="4" w:space="0"/>
              <w:left w:val="single" w:color="auto" w:sz="4" w:space="0"/>
              <w:bottom w:val="single" w:color="auto" w:sz="4" w:space="0"/>
              <w:right w:val="single" w:color="auto" w:sz="4" w:space="0"/>
            </w:tcBorders>
            <w:noWrap w:val="0"/>
            <w:vAlign w:val="center"/>
          </w:tcPr>
          <w:p w14:paraId="05B9E5E5">
            <w:pPr>
              <w:widowControl/>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（1）计划合理，措施有力，有针对性得</w:t>
            </w:r>
            <w:r>
              <w:rPr>
                <w:rFonts w:hint="eastAsia" w:ascii="宋体" w:hAnsi="宋体" w:cs="宋体"/>
                <w:color w:val="auto"/>
                <w:kern w:val="0"/>
                <w:szCs w:val="21"/>
                <w:highlight w:val="none"/>
                <w:lang w:val="en-US" w:eastAsia="zh-CN"/>
              </w:rPr>
              <w:t>8</w:t>
            </w:r>
            <w:r>
              <w:rPr>
                <w:rFonts w:hint="eastAsia" w:ascii="宋体" w:hAnsi="宋体" w:eastAsia="宋体" w:cs="宋体"/>
                <w:color w:val="auto"/>
                <w:kern w:val="0"/>
                <w:szCs w:val="21"/>
                <w:highlight w:val="none"/>
              </w:rPr>
              <w:t>分；</w:t>
            </w:r>
          </w:p>
          <w:p w14:paraId="120D6308">
            <w:pPr>
              <w:widowControl/>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（2）计划较合理，措施力度较得当得5分；</w:t>
            </w:r>
          </w:p>
          <w:p w14:paraId="65364791">
            <w:pPr>
              <w:widowControl/>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（3）计划基本合理，措施力度基本得当得3分；</w:t>
            </w:r>
          </w:p>
          <w:p w14:paraId="53475B70">
            <w:pPr>
              <w:widowControl/>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（4）欠合理或未提供相关方案得0分。</w:t>
            </w:r>
          </w:p>
        </w:tc>
      </w:tr>
      <w:tr w14:paraId="1A76D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9" w:hRule="atLeast"/>
          <w:jc w:val="center"/>
        </w:trPr>
        <w:tc>
          <w:tcPr>
            <w:tcW w:w="322" w:type="pct"/>
            <w:vMerge w:val="continue"/>
            <w:tcBorders>
              <w:left w:val="single" w:color="auto" w:sz="4" w:space="0"/>
              <w:right w:val="single" w:color="auto" w:sz="4" w:space="0"/>
            </w:tcBorders>
            <w:noWrap w:val="0"/>
            <w:vAlign w:val="center"/>
          </w:tcPr>
          <w:p w14:paraId="488DD194">
            <w:pPr>
              <w:spacing w:line="360" w:lineRule="auto"/>
              <w:jc w:val="center"/>
              <w:rPr>
                <w:rFonts w:hint="eastAsia" w:ascii="宋体" w:hAnsi="宋体" w:eastAsia="宋体" w:cs="宋体"/>
                <w:color w:val="auto"/>
                <w:szCs w:val="21"/>
                <w:highlight w:val="none"/>
              </w:rPr>
            </w:pPr>
          </w:p>
        </w:tc>
        <w:tc>
          <w:tcPr>
            <w:tcW w:w="607" w:type="pct"/>
            <w:vMerge w:val="continue"/>
            <w:tcBorders>
              <w:left w:val="single" w:color="auto" w:sz="4" w:space="0"/>
              <w:right w:val="single" w:color="auto" w:sz="4" w:space="0"/>
            </w:tcBorders>
            <w:noWrap w:val="0"/>
            <w:vAlign w:val="center"/>
          </w:tcPr>
          <w:p w14:paraId="580F9E1B">
            <w:pPr>
              <w:spacing w:line="360" w:lineRule="auto"/>
              <w:jc w:val="center"/>
              <w:rPr>
                <w:rFonts w:hint="eastAsia" w:ascii="宋体" w:hAnsi="宋体" w:eastAsia="宋体" w:cs="宋体"/>
                <w:color w:val="auto"/>
                <w:szCs w:val="21"/>
                <w:highlight w:val="none"/>
              </w:rPr>
            </w:pPr>
          </w:p>
        </w:tc>
        <w:tc>
          <w:tcPr>
            <w:tcW w:w="593" w:type="pct"/>
            <w:tcBorders>
              <w:top w:val="single" w:color="auto" w:sz="4" w:space="0"/>
              <w:left w:val="single" w:color="auto" w:sz="4" w:space="0"/>
              <w:bottom w:val="single" w:color="auto" w:sz="4" w:space="0"/>
              <w:right w:val="single" w:color="auto" w:sz="4" w:space="0"/>
            </w:tcBorders>
            <w:noWrap w:val="0"/>
            <w:vAlign w:val="center"/>
          </w:tcPr>
          <w:p w14:paraId="5FF7F816">
            <w:pPr>
              <w:widowControl/>
              <w:jc w:val="center"/>
              <w:rPr>
                <w:rFonts w:hint="eastAsia" w:ascii="宋体" w:hAnsi="宋体" w:eastAsia="宋体" w:cs="宋体"/>
                <w:color w:val="auto"/>
                <w:highlight w:val="none"/>
              </w:rPr>
            </w:pPr>
            <w:r>
              <w:rPr>
                <w:rFonts w:hint="eastAsia" w:ascii="宋体" w:hAnsi="宋体" w:eastAsia="宋体" w:cs="宋体"/>
                <w:color w:val="auto"/>
                <w:kern w:val="0"/>
                <w:szCs w:val="21"/>
                <w:highlight w:val="none"/>
                <w:lang w:bidi="ar"/>
              </w:rPr>
              <w:t>施工现场总平面布</w:t>
            </w:r>
          </w:p>
          <w:p w14:paraId="20CEA9DA">
            <w:pPr>
              <w:widowControl/>
              <w:jc w:val="center"/>
              <w:rPr>
                <w:rFonts w:hint="eastAsia" w:ascii="宋体" w:hAnsi="宋体" w:eastAsia="宋体" w:cs="宋体"/>
                <w:color w:val="auto"/>
                <w:highlight w:val="none"/>
              </w:rPr>
            </w:pPr>
            <w:r>
              <w:rPr>
                <w:rFonts w:hint="eastAsia" w:ascii="宋体" w:hAnsi="宋体" w:eastAsia="宋体" w:cs="宋体"/>
                <w:color w:val="auto"/>
                <w:kern w:val="0"/>
                <w:szCs w:val="21"/>
                <w:highlight w:val="none"/>
                <w:lang w:bidi="ar"/>
              </w:rPr>
              <w:t>置</w:t>
            </w:r>
          </w:p>
          <w:p w14:paraId="2DF4CEDA">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（6分）</w:t>
            </w:r>
          </w:p>
        </w:tc>
        <w:tc>
          <w:tcPr>
            <w:tcW w:w="330" w:type="pct"/>
            <w:tcBorders>
              <w:top w:val="single" w:color="auto" w:sz="4" w:space="0"/>
              <w:left w:val="single" w:color="auto" w:sz="4" w:space="0"/>
              <w:bottom w:val="single" w:color="auto" w:sz="4" w:space="0"/>
              <w:right w:val="single" w:color="auto" w:sz="4" w:space="0"/>
            </w:tcBorders>
            <w:noWrap w:val="0"/>
            <w:vAlign w:val="center"/>
          </w:tcPr>
          <w:p w14:paraId="65495CF6">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3147" w:type="pct"/>
            <w:tcBorders>
              <w:top w:val="single" w:color="auto" w:sz="4" w:space="0"/>
              <w:left w:val="single" w:color="auto" w:sz="4" w:space="0"/>
              <w:bottom w:val="single" w:color="auto" w:sz="4" w:space="0"/>
              <w:right w:val="single" w:color="auto" w:sz="4" w:space="0"/>
            </w:tcBorders>
            <w:noWrap w:val="0"/>
            <w:vAlign w:val="center"/>
          </w:tcPr>
          <w:p w14:paraId="292323A1">
            <w:pPr>
              <w:widowControl/>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（1）现场平面布置合理,交通组织,材料存放满足施工要求得6分；</w:t>
            </w:r>
          </w:p>
          <w:p w14:paraId="1F1EE641">
            <w:pPr>
              <w:widowControl/>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（2）现场平面布置较合理、交通组织,材料存放一般满足施工要求得4分；</w:t>
            </w:r>
          </w:p>
          <w:p w14:paraId="46BEB928">
            <w:pPr>
              <w:widowControl/>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（3）现场平面布置一般、交通组织,材料存放较差得2分；</w:t>
            </w:r>
          </w:p>
          <w:p w14:paraId="77EF23C2">
            <w:pPr>
              <w:widowControl/>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（4）现场平面布置欠完善或不可行得1分；</w:t>
            </w:r>
          </w:p>
          <w:p w14:paraId="149C8159">
            <w:pPr>
              <w:widowControl/>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（5）未提供得0分。</w:t>
            </w:r>
          </w:p>
        </w:tc>
      </w:tr>
      <w:tr w14:paraId="2BF21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 w:hRule="atLeast"/>
          <w:jc w:val="center"/>
        </w:trPr>
        <w:tc>
          <w:tcPr>
            <w:tcW w:w="322" w:type="pct"/>
            <w:vMerge w:val="continue"/>
            <w:tcBorders>
              <w:left w:val="single" w:color="auto" w:sz="4" w:space="0"/>
              <w:bottom w:val="single" w:color="auto" w:sz="4" w:space="0"/>
              <w:right w:val="single" w:color="auto" w:sz="4" w:space="0"/>
            </w:tcBorders>
            <w:noWrap w:val="0"/>
            <w:vAlign w:val="center"/>
          </w:tcPr>
          <w:p w14:paraId="7465F5E2">
            <w:pPr>
              <w:spacing w:line="360" w:lineRule="auto"/>
              <w:jc w:val="center"/>
              <w:rPr>
                <w:rFonts w:hint="eastAsia" w:ascii="宋体" w:hAnsi="宋体" w:eastAsia="宋体" w:cs="宋体"/>
                <w:color w:val="auto"/>
                <w:szCs w:val="21"/>
                <w:highlight w:val="none"/>
              </w:rPr>
            </w:pPr>
          </w:p>
        </w:tc>
        <w:tc>
          <w:tcPr>
            <w:tcW w:w="607" w:type="pct"/>
            <w:vMerge w:val="continue"/>
            <w:tcBorders>
              <w:left w:val="single" w:color="auto" w:sz="4" w:space="0"/>
              <w:bottom w:val="single" w:color="auto" w:sz="4" w:space="0"/>
              <w:right w:val="single" w:color="auto" w:sz="4" w:space="0"/>
            </w:tcBorders>
            <w:noWrap w:val="0"/>
            <w:vAlign w:val="center"/>
          </w:tcPr>
          <w:p w14:paraId="08500176">
            <w:pPr>
              <w:spacing w:line="360" w:lineRule="auto"/>
              <w:jc w:val="center"/>
              <w:rPr>
                <w:rFonts w:hint="eastAsia" w:ascii="宋体" w:hAnsi="宋体" w:eastAsia="宋体" w:cs="宋体"/>
                <w:color w:val="auto"/>
                <w:szCs w:val="21"/>
                <w:highlight w:val="none"/>
              </w:rPr>
            </w:pPr>
          </w:p>
        </w:tc>
        <w:tc>
          <w:tcPr>
            <w:tcW w:w="593" w:type="pct"/>
            <w:tcBorders>
              <w:top w:val="single" w:color="auto" w:sz="4" w:space="0"/>
              <w:left w:val="single" w:color="auto" w:sz="4" w:space="0"/>
              <w:bottom w:val="single" w:color="auto" w:sz="4" w:space="0"/>
              <w:right w:val="single" w:color="auto" w:sz="4" w:space="0"/>
            </w:tcBorders>
            <w:noWrap w:val="0"/>
            <w:vAlign w:val="center"/>
          </w:tcPr>
          <w:p w14:paraId="129A3C0C">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材料设备选用</w:t>
            </w:r>
          </w:p>
          <w:p w14:paraId="22584433">
            <w:pPr>
              <w:pStyle w:val="7"/>
              <w:jc w:val="center"/>
              <w:rPr>
                <w:rFonts w:hint="eastAsia" w:ascii="宋体" w:hAnsi="宋体" w:eastAsia="宋体" w:cs="宋体"/>
                <w:color w:val="auto"/>
                <w:highlight w:val="none"/>
              </w:rPr>
            </w:pPr>
            <w:r>
              <w:rPr>
                <w:rFonts w:hint="eastAsia" w:ascii="宋体" w:hAnsi="宋体" w:eastAsia="宋体" w:cs="宋体"/>
                <w:color w:val="auto"/>
                <w:kern w:val="2"/>
                <w:sz w:val="21"/>
                <w:szCs w:val="21"/>
                <w:highlight w:val="none"/>
                <w:lang w:val="en-US" w:eastAsia="zh-CN" w:bidi="ar-SA"/>
              </w:rPr>
              <w:t>（8分）</w:t>
            </w:r>
          </w:p>
        </w:tc>
        <w:tc>
          <w:tcPr>
            <w:tcW w:w="330" w:type="pct"/>
            <w:tcBorders>
              <w:top w:val="single" w:color="auto" w:sz="4" w:space="0"/>
              <w:left w:val="single" w:color="auto" w:sz="4" w:space="0"/>
              <w:bottom w:val="single" w:color="auto" w:sz="4" w:space="0"/>
              <w:right w:val="single" w:color="auto" w:sz="4" w:space="0"/>
            </w:tcBorders>
            <w:noWrap w:val="0"/>
            <w:vAlign w:val="center"/>
          </w:tcPr>
          <w:p w14:paraId="755BFAB3">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8</w:t>
            </w:r>
          </w:p>
        </w:tc>
        <w:tc>
          <w:tcPr>
            <w:tcW w:w="3147" w:type="pct"/>
            <w:tcBorders>
              <w:top w:val="single" w:color="auto" w:sz="4" w:space="0"/>
              <w:left w:val="single" w:color="auto" w:sz="4" w:space="0"/>
              <w:bottom w:val="single" w:color="auto" w:sz="4" w:space="0"/>
              <w:right w:val="single" w:color="auto" w:sz="4" w:space="0"/>
            </w:tcBorders>
            <w:noWrap w:val="0"/>
            <w:vAlign w:val="center"/>
          </w:tcPr>
          <w:p w14:paraId="3A4455F7">
            <w:pPr>
              <w:widowControl/>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材料设备品牌质量好</w:t>
            </w:r>
            <w:r>
              <w:rPr>
                <w:rFonts w:hint="eastAsia" w:ascii="宋体" w:hAnsi="宋体" w:eastAsia="宋体" w:cs="宋体"/>
                <w:color w:val="auto"/>
                <w:highlight w:val="none"/>
              </w:rPr>
              <w:t>、符合标准、安全可靠、性价比高得8分；</w:t>
            </w:r>
          </w:p>
          <w:p w14:paraId="06B571B6">
            <w:pPr>
              <w:widowControl/>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材料设备品牌质量好</w:t>
            </w:r>
            <w:r>
              <w:rPr>
                <w:rFonts w:hint="eastAsia" w:ascii="宋体" w:hAnsi="宋体" w:eastAsia="宋体" w:cs="宋体"/>
                <w:color w:val="auto"/>
                <w:highlight w:val="none"/>
              </w:rPr>
              <w:t>、安全性方面较好、性价比较高得5分 ；</w:t>
            </w:r>
          </w:p>
          <w:p w14:paraId="7F0A1475">
            <w:pPr>
              <w:widowControl/>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（3）</w:t>
            </w:r>
            <w:r>
              <w:rPr>
                <w:rFonts w:hint="eastAsia" w:ascii="宋体" w:hAnsi="宋体" w:eastAsia="宋体" w:cs="宋体"/>
                <w:color w:val="auto"/>
                <w:highlight w:val="none"/>
                <w:lang w:val="en-US" w:eastAsia="zh-CN"/>
              </w:rPr>
              <w:t>材料设备品牌质量一般</w:t>
            </w:r>
            <w:r>
              <w:rPr>
                <w:rFonts w:hint="eastAsia" w:ascii="宋体" w:hAnsi="宋体" w:eastAsia="宋体" w:cs="宋体"/>
                <w:color w:val="auto"/>
                <w:highlight w:val="none"/>
              </w:rPr>
              <w:t>、安全性方面一般、性价比一般，基本满足要求得3分；</w:t>
            </w:r>
          </w:p>
          <w:p w14:paraId="52EAE404">
            <w:pPr>
              <w:widowControl/>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（4）</w:t>
            </w:r>
            <w:r>
              <w:rPr>
                <w:rFonts w:hint="eastAsia" w:ascii="宋体" w:hAnsi="宋体" w:eastAsia="宋体" w:cs="宋体"/>
                <w:color w:val="auto"/>
                <w:highlight w:val="none"/>
                <w:lang w:val="en-US" w:eastAsia="zh-CN"/>
              </w:rPr>
              <w:t>材料设备品牌质量</w:t>
            </w:r>
            <w:r>
              <w:rPr>
                <w:rFonts w:hint="eastAsia" w:ascii="宋体" w:hAnsi="宋体" w:eastAsia="宋体" w:cs="宋体"/>
                <w:color w:val="auto"/>
                <w:highlight w:val="none"/>
              </w:rPr>
              <w:t>差、安全性方面差、性价比差，不满足要求得1分；</w:t>
            </w:r>
          </w:p>
          <w:p w14:paraId="6B2088DC">
            <w:pPr>
              <w:widowControl/>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（5）未提供得0分。</w:t>
            </w:r>
          </w:p>
        </w:tc>
      </w:tr>
      <w:tr w14:paraId="4F837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4" w:hRule="atLeast"/>
          <w:jc w:val="center"/>
        </w:trPr>
        <w:tc>
          <w:tcPr>
            <w:tcW w:w="322" w:type="pct"/>
            <w:tcBorders>
              <w:top w:val="single" w:color="auto" w:sz="4" w:space="0"/>
              <w:left w:val="single" w:color="auto" w:sz="4" w:space="0"/>
              <w:bottom w:val="single" w:color="auto" w:sz="4" w:space="0"/>
              <w:right w:val="single" w:color="auto" w:sz="4" w:space="0"/>
            </w:tcBorders>
            <w:noWrap w:val="0"/>
            <w:vAlign w:val="center"/>
          </w:tcPr>
          <w:p w14:paraId="0426B315">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607" w:type="pct"/>
            <w:tcBorders>
              <w:top w:val="single" w:color="auto" w:sz="4" w:space="0"/>
              <w:left w:val="single" w:color="auto" w:sz="4" w:space="0"/>
              <w:bottom w:val="single" w:color="auto" w:sz="4" w:space="0"/>
              <w:right w:val="single" w:color="auto" w:sz="4" w:space="0"/>
            </w:tcBorders>
            <w:noWrap w:val="0"/>
            <w:vAlign w:val="center"/>
          </w:tcPr>
          <w:p w14:paraId="32B8942A">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报价</w:t>
            </w:r>
          </w:p>
          <w:p w14:paraId="51B3A133">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（30分）</w:t>
            </w:r>
          </w:p>
        </w:tc>
        <w:tc>
          <w:tcPr>
            <w:tcW w:w="593" w:type="pct"/>
            <w:tcBorders>
              <w:top w:val="single" w:color="auto" w:sz="4" w:space="0"/>
              <w:left w:val="single" w:color="auto" w:sz="4" w:space="0"/>
              <w:bottom w:val="single" w:color="auto" w:sz="4" w:space="0"/>
              <w:right w:val="single" w:color="auto" w:sz="4" w:space="0"/>
            </w:tcBorders>
            <w:noWrap w:val="0"/>
            <w:vAlign w:val="top"/>
          </w:tcPr>
          <w:p w14:paraId="6ED95FFE">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此处最后报价指经过报价修正，及因落实政府采购政策进行价格调整后的报价，详见第三章《评审方法和评审标准》3.2、3.3</w:t>
            </w:r>
          </w:p>
        </w:tc>
        <w:tc>
          <w:tcPr>
            <w:tcW w:w="330" w:type="pct"/>
            <w:tcBorders>
              <w:top w:val="single" w:color="auto" w:sz="4" w:space="0"/>
              <w:left w:val="single" w:color="auto" w:sz="4" w:space="0"/>
              <w:bottom w:val="single" w:color="auto" w:sz="4" w:space="0"/>
              <w:right w:val="single" w:color="auto" w:sz="4" w:space="0"/>
            </w:tcBorders>
            <w:noWrap w:val="0"/>
            <w:vAlign w:val="center"/>
          </w:tcPr>
          <w:p w14:paraId="77977054">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30</w:t>
            </w:r>
          </w:p>
        </w:tc>
        <w:tc>
          <w:tcPr>
            <w:tcW w:w="3147" w:type="pct"/>
            <w:tcBorders>
              <w:top w:val="single" w:color="auto" w:sz="4" w:space="0"/>
              <w:left w:val="single" w:color="auto" w:sz="4" w:space="0"/>
              <w:bottom w:val="single" w:color="auto" w:sz="4" w:space="0"/>
              <w:right w:val="single" w:color="auto" w:sz="4" w:space="0"/>
            </w:tcBorders>
            <w:noWrap w:val="0"/>
            <w:vAlign w:val="center"/>
          </w:tcPr>
          <w:p w14:paraId="6D954FAB">
            <w:pPr>
              <w:widowControl/>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（1）综合评分法中的价格分统一采用低价优先法计算，即满足磋商文件要求且最后报价最低的供应商的价格为磋商基准价，其报价分为满分30分。其他供应商的得分统一按照下列公式计算：</w:t>
            </w:r>
          </w:p>
          <w:p w14:paraId="3CE7DCDF">
            <w:pPr>
              <w:widowControl/>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磋商报价得分=(磋商基准价／响应人最终磋商报价)×30</w:t>
            </w:r>
          </w:p>
          <w:p w14:paraId="77A30F8B">
            <w:pPr>
              <w:widowControl/>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根据《政府采购促进中小企业发展管理办法》规定，本项目专门面向中小企业采购。</w:t>
            </w:r>
          </w:p>
          <w:p w14:paraId="544292E2">
            <w:pPr>
              <w:widowControl/>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（2）监狱、戒毒企业、残疾人福利性单位视同为小微企业，需提供相关证明材料。</w:t>
            </w:r>
          </w:p>
          <w:p w14:paraId="34E0E8FA">
            <w:pPr>
              <w:widowControl/>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参与政府采购活动的中小微企业应当提供本办法规定的《中小微企业声明函》。</w:t>
            </w:r>
          </w:p>
          <w:p w14:paraId="0C2E89FE">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注：价格分数保留两位小数。</w:t>
            </w:r>
          </w:p>
        </w:tc>
      </w:tr>
      <w:tr w14:paraId="4646B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9" w:type="pct"/>
            <w:gridSpan w:val="2"/>
            <w:tcBorders>
              <w:top w:val="single" w:color="auto" w:sz="4" w:space="0"/>
              <w:left w:val="single" w:color="auto" w:sz="4" w:space="0"/>
              <w:bottom w:val="single" w:color="auto" w:sz="4" w:space="0"/>
              <w:right w:val="single" w:color="auto" w:sz="4" w:space="0"/>
            </w:tcBorders>
            <w:noWrap w:val="0"/>
            <w:vAlign w:val="center"/>
          </w:tcPr>
          <w:p w14:paraId="0BDEDCC0">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合计</w:t>
            </w:r>
          </w:p>
        </w:tc>
        <w:tc>
          <w:tcPr>
            <w:tcW w:w="593" w:type="pct"/>
            <w:tcBorders>
              <w:top w:val="single" w:color="auto" w:sz="4" w:space="0"/>
              <w:left w:val="single" w:color="auto" w:sz="4" w:space="0"/>
              <w:bottom w:val="single" w:color="auto" w:sz="4" w:space="0"/>
              <w:right w:val="single" w:color="auto" w:sz="4" w:space="0"/>
            </w:tcBorders>
            <w:noWrap w:val="0"/>
            <w:vAlign w:val="top"/>
          </w:tcPr>
          <w:p w14:paraId="296E0DD3">
            <w:pPr>
              <w:spacing w:line="360" w:lineRule="auto"/>
              <w:jc w:val="center"/>
              <w:rPr>
                <w:rFonts w:hint="eastAsia" w:ascii="宋体" w:hAnsi="宋体" w:eastAsia="宋体" w:cs="宋体"/>
                <w:color w:val="auto"/>
                <w:szCs w:val="21"/>
                <w:highlight w:val="none"/>
              </w:rPr>
            </w:pPr>
          </w:p>
        </w:tc>
        <w:tc>
          <w:tcPr>
            <w:tcW w:w="330" w:type="pct"/>
            <w:tcBorders>
              <w:top w:val="single" w:color="auto" w:sz="4" w:space="0"/>
              <w:left w:val="single" w:color="auto" w:sz="4" w:space="0"/>
              <w:bottom w:val="single" w:color="auto" w:sz="4" w:space="0"/>
              <w:right w:val="single" w:color="auto" w:sz="4" w:space="0"/>
            </w:tcBorders>
            <w:noWrap w:val="0"/>
            <w:vAlign w:val="center"/>
          </w:tcPr>
          <w:p w14:paraId="05FDE4CB">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100</w:t>
            </w:r>
          </w:p>
        </w:tc>
        <w:tc>
          <w:tcPr>
            <w:tcW w:w="3147" w:type="pct"/>
            <w:tcBorders>
              <w:top w:val="single" w:color="auto" w:sz="4" w:space="0"/>
              <w:left w:val="single" w:color="auto" w:sz="4" w:space="0"/>
              <w:bottom w:val="single" w:color="auto" w:sz="4" w:space="0"/>
              <w:right w:val="single" w:color="auto" w:sz="4" w:space="0"/>
            </w:tcBorders>
            <w:noWrap w:val="0"/>
            <w:vAlign w:val="center"/>
          </w:tcPr>
          <w:p w14:paraId="27405B3B">
            <w:pPr>
              <w:spacing w:line="360" w:lineRule="auto"/>
              <w:jc w:val="left"/>
              <w:rPr>
                <w:rFonts w:hint="eastAsia" w:ascii="宋体" w:hAnsi="宋体" w:eastAsia="宋体" w:cs="宋体"/>
                <w:color w:val="auto"/>
                <w:szCs w:val="21"/>
                <w:highlight w:val="none"/>
              </w:rPr>
            </w:pPr>
          </w:p>
        </w:tc>
      </w:tr>
    </w:tbl>
    <w:p w14:paraId="7D5CC8B4">
      <w:pPr>
        <w:tabs>
          <w:tab w:val="left" w:pos="360"/>
          <w:tab w:val="left" w:pos="1080"/>
        </w:tabs>
        <w:snapToGrid w:val="0"/>
        <w:spacing w:line="360" w:lineRule="auto"/>
        <w:ind w:left="1080"/>
        <w:rPr>
          <w:rFonts w:hint="eastAsia" w:ascii="宋体" w:hAnsi="宋体" w:eastAsia="宋体" w:cs="宋体"/>
          <w:color w:val="auto"/>
          <w:sz w:val="24"/>
          <w:highlight w:val="none"/>
        </w:rPr>
      </w:pPr>
    </w:p>
    <w:p w14:paraId="050DF73D">
      <w:pPr>
        <w:widowControl/>
        <w:jc w:val="left"/>
        <w:rPr>
          <w:rFonts w:hint="eastAsia" w:ascii="宋体" w:hAnsi="宋体" w:eastAsia="宋体" w:cs="宋体"/>
          <w:b/>
          <w:color w:val="auto"/>
          <w:sz w:val="36"/>
          <w:szCs w:val="36"/>
          <w:highlight w:val="none"/>
        </w:rPr>
      </w:pPr>
    </w:p>
    <w:p w14:paraId="19229329">
      <w:pPr>
        <w:spacing w:line="360" w:lineRule="auto"/>
        <w:jc w:val="center"/>
        <w:outlineLvl w:val="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r>
      <w:bookmarkStart w:id="657" w:name="_Toc97371945"/>
      <w:bookmarkStart w:id="658" w:name="_Toc31219"/>
      <w:r>
        <w:rPr>
          <w:rFonts w:hint="eastAsia" w:ascii="宋体" w:hAnsi="宋体" w:eastAsia="宋体" w:cs="宋体"/>
          <w:b/>
          <w:color w:val="auto"/>
          <w:sz w:val="36"/>
          <w:szCs w:val="36"/>
          <w:highlight w:val="none"/>
        </w:rPr>
        <w:t>第四章   工程技术要求及工程量清单</w:t>
      </w:r>
      <w:bookmarkEnd w:id="657"/>
      <w:bookmarkEnd w:id="658"/>
    </w:p>
    <w:p w14:paraId="5587D92A">
      <w:pPr>
        <w:pStyle w:val="32"/>
        <w:numPr>
          <w:ilvl w:val="0"/>
          <w:numId w:val="8"/>
        </w:numPr>
        <w:spacing w:line="360" w:lineRule="auto"/>
        <w:ind w:firstLineChars="0"/>
        <w:contextualSpacing/>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采购标的</w:t>
      </w:r>
    </w:p>
    <w:p w14:paraId="393EB241">
      <w:pPr>
        <w:widowControl/>
        <w:spacing w:line="480" w:lineRule="auto"/>
        <w:contextualSpacing w:val="0"/>
        <w:jc w:val="left"/>
        <w:rPr>
          <w:rFonts w:hint="eastAsia" w:ascii="宋体" w:hAnsi="宋体" w:eastAsia="宋体" w:cs="宋体"/>
          <w:bCs w:val="0"/>
          <w:color w:val="auto"/>
          <w:kern w:val="0"/>
          <w:sz w:val="24"/>
          <w:highlight w:val="none"/>
          <w:lang w:eastAsia="zh-CN" w:bidi="ar"/>
        </w:rPr>
      </w:pPr>
      <w:r>
        <w:rPr>
          <w:rFonts w:hint="eastAsia" w:ascii="宋体" w:hAnsi="宋体" w:eastAsia="宋体" w:cs="宋体"/>
          <w:bCs w:val="0"/>
          <w:color w:val="auto"/>
          <w:kern w:val="0"/>
          <w:sz w:val="24"/>
          <w:highlight w:val="none"/>
          <w:lang w:bidi="ar"/>
        </w:rPr>
        <w:t>1.采购标的：</w:t>
      </w:r>
      <w:r>
        <w:rPr>
          <w:rFonts w:hint="eastAsia" w:ascii="宋体" w:hAnsi="宋体" w:cs="宋体"/>
          <w:bCs w:val="0"/>
          <w:color w:val="auto"/>
          <w:kern w:val="0"/>
          <w:sz w:val="24"/>
          <w:highlight w:val="none"/>
          <w:lang w:eastAsia="zh-CN" w:bidi="ar"/>
        </w:rPr>
        <w:t>昌平区2024年背街小巷环境精细化治理—城北街道自提升项目工程</w:t>
      </w:r>
    </w:p>
    <w:p w14:paraId="134B0242">
      <w:pPr>
        <w:widowControl/>
        <w:spacing w:line="480" w:lineRule="auto"/>
        <w:jc w:val="left"/>
        <w:rPr>
          <w:rFonts w:hint="eastAsia" w:ascii="宋体" w:hAnsi="宋体" w:eastAsia="宋体" w:cs="宋体"/>
          <w:color w:val="auto"/>
          <w:kern w:val="0"/>
          <w:sz w:val="24"/>
          <w:highlight w:val="none"/>
          <w:lang w:val="en-US" w:eastAsia="zh-CN" w:bidi="ar"/>
        </w:rPr>
      </w:pPr>
      <w:r>
        <w:rPr>
          <w:rFonts w:hint="eastAsia" w:ascii="宋体" w:hAnsi="宋体" w:eastAsia="宋体" w:cs="宋体"/>
          <w:color w:val="auto"/>
          <w:kern w:val="0"/>
          <w:sz w:val="24"/>
          <w:highlight w:val="none"/>
          <w:lang w:val="en-US" w:eastAsia="zh-CN" w:bidi="ar"/>
        </w:rPr>
        <w:t>2、预算金额：</w:t>
      </w:r>
      <w:r>
        <w:rPr>
          <w:rFonts w:hint="eastAsia" w:ascii="宋体" w:hAnsi="宋体" w:cs="宋体"/>
          <w:color w:val="auto"/>
          <w:kern w:val="0"/>
          <w:sz w:val="24"/>
          <w:highlight w:val="none"/>
          <w:lang w:val="en-US" w:eastAsia="zh-CN" w:bidi="ar"/>
        </w:rPr>
        <w:t>218.913944</w:t>
      </w:r>
      <w:r>
        <w:rPr>
          <w:rFonts w:hint="eastAsia" w:ascii="宋体" w:hAnsi="宋体" w:eastAsia="宋体" w:cs="宋体"/>
          <w:color w:val="auto"/>
          <w:kern w:val="0"/>
          <w:sz w:val="24"/>
          <w:highlight w:val="none"/>
          <w:lang w:val="en-US" w:eastAsia="zh-CN" w:bidi="ar"/>
        </w:rPr>
        <w:t>万元、项目最高限价：</w:t>
      </w:r>
      <w:r>
        <w:rPr>
          <w:rFonts w:hint="eastAsia" w:ascii="宋体" w:hAnsi="宋体" w:cs="宋体"/>
          <w:sz w:val="24"/>
        </w:rPr>
        <w:t>193</w:t>
      </w:r>
      <w:r>
        <w:rPr>
          <w:rFonts w:hint="eastAsia" w:ascii="宋体" w:hAnsi="宋体" w:cs="宋体"/>
          <w:sz w:val="24"/>
          <w:lang w:val="en-US" w:eastAsia="zh-CN"/>
        </w:rPr>
        <w:t>.</w:t>
      </w:r>
      <w:r>
        <w:rPr>
          <w:rFonts w:hint="eastAsia" w:ascii="宋体" w:hAnsi="宋体" w:cs="宋体"/>
          <w:sz w:val="24"/>
        </w:rPr>
        <w:t>7634</w:t>
      </w:r>
      <w:r>
        <w:rPr>
          <w:rFonts w:hint="eastAsia" w:ascii="宋体" w:hAnsi="宋体" w:cs="宋体"/>
          <w:sz w:val="24"/>
          <w:lang w:val="en-US" w:eastAsia="zh-CN"/>
        </w:rPr>
        <w:t>26</w:t>
      </w:r>
      <w:r>
        <w:rPr>
          <w:rFonts w:hint="eastAsia" w:ascii="宋体" w:hAnsi="宋体" w:eastAsia="宋体" w:cs="宋体"/>
          <w:color w:val="auto"/>
          <w:kern w:val="0"/>
          <w:sz w:val="24"/>
          <w:highlight w:val="none"/>
          <w:lang w:val="en-US" w:eastAsia="zh-CN" w:bidi="ar"/>
        </w:rPr>
        <w:t>万元。</w:t>
      </w:r>
    </w:p>
    <w:p w14:paraId="6E93461E">
      <w:pPr>
        <w:widowControl/>
        <w:spacing w:line="480" w:lineRule="auto"/>
        <w:jc w:val="left"/>
        <w:rPr>
          <w:rFonts w:hint="eastAsia" w:ascii="宋体" w:hAnsi="宋体" w:eastAsia="宋体" w:cs="宋体"/>
          <w:color w:val="auto"/>
          <w:kern w:val="0"/>
          <w:sz w:val="24"/>
          <w:highlight w:val="none"/>
          <w:lang w:val="en-US" w:eastAsia="zh-CN" w:bidi="ar"/>
        </w:rPr>
      </w:pPr>
      <w:r>
        <w:rPr>
          <w:rFonts w:hint="eastAsia" w:ascii="宋体" w:hAnsi="宋体" w:eastAsia="宋体" w:cs="宋体"/>
          <w:color w:val="auto"/>
          <w:kern w:val="0"/>
          <w:sz w:val="24"/>
          <w:highlight w:val="none"/>
          <w:lang w:val="en-US" w:eastAsia="zh-CN" w:bidi="ar"/>
        </w:rPr>
        <w:t>3、项目需求：</w:t>
      </w:r>
    </w:p>
    <w:p w14:paraId="0AF32E22">
      <w:pPr>
        <w:widowControl/>
        <w:spacing w:line="480" w:lineRule="auto"/>
        <w:jc w:val="left"/>
        <w:rPr>
          <w:rFonts w:hint="eastAsia" w:ascii="宋体" w:hAnsi="宋体" w:eastAsia="宋体" w:cs="宋体"/>
          <w:color w:val="auto"/>
          <w:kern w:val="0"/>
          <w:sz w:val="24"/>
          <w:highlight w:val="none"/>
          <w:lang w:val="en-US" w:eastAsia="zh-CN" w:bidi="ar"/>
        </w:rPr>
      </w:pPr>
      <w:r>
        <w:rPr>
          <w:rFonts w:hint="eastAsia" w:ascii="宋体" w:hAnsi="宋体" w:eastAsia="宋体" w:cs="宋体"/>
          <w:color w:val="auto"/>
          <w:kern w:val="0"/>
          <w:sz w:val="24"/>
          <w:highlight w:val="none"/>
          <w:lang w:val="en-US" w:eastAsia="zh-CN" w:bidi="ar"/>
        </w:rPr>
        <w:t>（1）</w:t>
      </w:r>
      <w:r>
        <w:rPr>
          <w:rFonts w:hint="eastAsia" w:ascii="宋体" w:hAnsi="宋体" w:eastAsia="宋体" w:cs="宋体"/>
          <w:i w:val="0"/>
          <w:iCs w:val="0"/>
          <w:caps w:val="0"/>
          <w:color w:val="auto"/>
          <w:spacing w:val="0"/>
          <w:kern w:val="0"/>
          <w:sz w:val="24"/>
          <w:szCs w:val="24"/>
          <w:highlight w:val="none"/>
          <w:shd w:val="clear" w:fill="auto"/>
          <w:lang w:bidi="ar"/>
        </w:rPr>
        <w:t>拆除及恢复路面、拆除及更换破损路面砖、更换破损道牙等内容</w:t>
      </w:r>
      <w:r>
        <w:rPr>
          <w:rFonts w:hint="eastAsia" w:ascii="宋体" w:hAnsi="宋体" w:eastAsia="宋体" w:cs="宋体"/>
          <w:color w:val="auto"/>
          <w:kern w:val="0"/>
          <w:sz w:val="24"/>
          <w:highlight w:val="none"/>
          <w:lang w:val="en-US" w:eastAsia="zh-CN" w:bidi="ar"/>
        </w:rPr>
        <w:t>。</w:t>
      </w:r>
    </w:p>
    <w:p w14:paraId="6D36A9EA">
      <w:pPr>
        <w:widowControl/>
        <w:spacing w:line="480" w:lineRule="auto"/>
        <w:jc w:val="left"/>
        <w:rPr>
          <w:rFonts w:hint="eastAsia" w:ascii="宋体" w:hAnsi="宋体" w:eastAsia="宋体" w:cs="宋体"/>
          <w:color w:val="auto"/>
          <w:kern w:val="0"/>
          <w:sz w:val="24"/>
          <w:highlight w:val="none"/>
          <w:lang w:val="en-US" w:eastAsia="zh-CN" w:bidi="ar"/>
        </w:rPr>
      </w:pPr>
      <w:r>
        <w:rPr>
          <w:rFonts w:hint="eastAsia" w:ascii="宋体" w:hAnsi="宋体" w:eastAsia="宋体" w:cs="宋体"/>
          <w:color w:val="auto"/>
          <w:kern w:val="0"/>
          <w:sz w:val="24"/>
          <w:highlight w:val="none"/>
          <w:lang w:val="en-US" w:eastAsia="zh-CN" w:bidi="ar"/>
        </w:rPr>
        <w:t>（2）详细工程范围见施工图。</w:t>
      </w:r>
    </w:p>
    <w:p w14:paraId="581ECD5C">
      <w:pPr>
        <w:widowControl/>
        <w:spacing w:line="480" w:lineRule="auto"/>
        <w:jc w:val="left"/>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val="en-US" w:eastAsia="zh-CN" w:bidi="ar"/>
        </w:rPr>
        <w:t>4</w:t>
      </w:r>
      <w:r>
        <w:rPr>
          <w:rFonts w:hint="eastAsia" w:ascii="宋体" w:hAnsi="宋体" w:eastAsia="宋体" w:cs="宋体"/>
          <w:color w:val="auto"/>
          <w:kern w:val="0"/>
          <w:sz w:val="24"/>
          <w:highlight w:val="none"/>
          <w:lang w:bidi="ar"/>
        </w:rPr>
        <w:t xml:space="preserve">.本工程施工场地（现场）具体地理位置：甲方指定地点。 </w:t>
      </w:r>
    </w:p>
    <w:p w14:paraId="4EAF6A06">
      <w:pPr>
        <w:widowControl/>
        <w:spacing w:line="480" w:lineRule="auto"/>
        <w:jc w:val="left"/>
        <w:rPr>
          <w:rFonts w:hint="eastAsia" w:ascii="宋体" w:hAnsi="宋体" w:eastAsia="宋体" w:cs="宋体"/>
          <w:b/>
          <w:color w:val="auto"/>
          <w:sz w:val="24"/>
          <w:highlight w:val="none"/>
          <w:lang w:eastAsia="zh-CN"/>
        </w:rPr>
      </w:pPr>
      <w:r>
        <w:rPr>
          <w:rFonts w:hint="eastAsia" w:ascii="宋体" w:hAnsi="宋体" w:eastAsia="宋体" w:cs="宋体"/>
          <w:color w:val="auto"/>
          <w:kern w:val="0"/>
          <w:sz w:val="24"/>
          <w:highlight w:val="none"/>
          <w:lang w:val="en-US" w:eastAsia="zh-CN" w:bidi="ar"/>
        </w:rPr>
        <w:t>5</w:t>
      </w:r>
      <w:r>
        <w:rPr>
          <w:rFonts w:hint="eastAsia" w:ascii="宋体" w:hAnsi="宋体" w:eastAsia="宋体" w:cs="宋体"/>
          <w:color w:val="auto"/>
          <w:kern w:val="0"/>
          <w:sz w:val="24"/>
          <w:highlight w:val="none"/>
          <w:lang w:bidi="ar"/>
        </w:rPr>
        <w:t>. 本工程承包人自行施工的工程范围：</w:t>
      </w:r>
      <w:r>
        <w:rPr>
          <w:rFonts w:hint="eastAsia" w:ascii="宋体" w:hAnsi="宋体" w:eastAsia="宋体" w:cs="宋体"/>
          <w:bCs/>
          <w:color w:val="auto"/>
          <w:sz w:val="24"/>
          <w:highlight w:val="none"/>
        </w:rPr>
        <w:t>具体内容详见工程量清单。</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后附</w:t>
      </w:r>
      <w:r>
        <w:rPr>
          <w:rFonts w:hint="eastAsia" w:ascii="宋体" w:hAnsi="宋体" w:eastAsia="宋体" w:cs="宋体"/>
          <w:bCs/>
          <w:color w:val="auto"/>
          <w:sz w:val="24"/>
          <w:highlight w:val="none"/>
          <w:lang w:eastAsia="zh-CN"/>
        </w:rPr>
        <w:t>）</w:t>
      </w:r>
    </w:p>
    <w:p w14:paraId="23156305">
      <w:pPr>
        <w:pStyle w:val="32"/>
        <w:numPr>
          <w:ilvl w:val="0"/>
          <w:numId w:val="8"/>
        </w:numPr>
        <w:spacing w:line="480" w:lineRule="auto"/>
        <w:ind w:firstLineChars="0"/>
        <w:contextualSpacing/>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商务要求</w:t>
      </w:r>
    </w:p>
    <w:p w14:paraId="35FB3A37">
      <w:pPr>
        <w:numPr>
          <w:ilvl w:val="0"/>
          <w:numId w:val="9"/>
        </w:numPr>
        <w:spacing w:line="480" w:lineRule="auto"/>
        <w:contextualSpacing/>
        <w:rPr>
          <w:rFonts w:hint="eastAsia" w:ascii="宋体" w:hAnsi="宋体" w:eastAsia="宋体" w:cs="宋体"/>
          <w:color w:val="auto"/>
          <w:highlight w:val="none"/>
        </w:rPr>
      </w:pPr>
      <w:r>
        <w:rPr>
          <w:rFonts w:hint="eastAsia" w:ascii="宋体" w:hAnsi="宋体" w:eastAsia="宋体" w:cs="宋体"/>
          <w:color w:val="auto"/>
          <w:sz w:val="24"/>
          <w:highlight w:val="none"/>
        </w:rPr>
        <w:t>工期要求：总工期为</w:t>
      </w:r>
      <w:r>
        <w:rPr>
          <w:rFonts w:hint="eastAsia" w:ascii="宋体" w:hAnsi="宋体" w:cs="宋体"/>
          <w:color w:val="auto"/>
          <w:sz w:val="24"/>
          <w:highlight w:val="none"/>
          <w:u w:val="single"/>
          <w:lang w:val="en-US" w:eastAsia="zh-CN"/>
        </w:rPr>
        <w:t>60</w:t>
      </w:r>
      <w:r>
        <w:rPr>
          <w:rFonts w:hint="eastAsia" w:ascii="宋体" w:hAnsi="宋体" w:eastAsia="宋体" w:cs="宋体"/>
          <w:color w:val="auto"/>
          <w:sz w:val="24"/>
          <w:highlight w:val="none"/>
        </w:rPr>
        <w:t>日历天</w:t>
      </w:r>
    </w:p>
    <w:p w14:paraId="046A10FB">
      <w:pPr>
        <w:pStyle w:val="30"/>
        <w:spacing w:line="360" w:lineRule="auto"/>
        <w:ind w:firstLine="240" w:firstLineChars="100"/>
      </w:pPr>
      <w:r>
        <w:rPr>
          <w:rFonts w:hint="eastAsia"/>
        </w:rPr>
        <w:t>实际开工日期自监理人发出的开工通知中载明的开工日期起算。</w:t>
      </w:r>
    </w:p>
    <w:p w14:paraId="274AEB1B">
      <w:pPr>
        <w:widowControl/>
        <w:spacing w:line="480" w:lineRule="auto"/>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 付款条件（进度和方式）：</w:t>
      </w:r>
      <w:r>
        <w:rPr>
          <w:rFonts w:hint="eastAsia" w:ascii="宋体" w:hAnsi="宋体" w:eastAsia="宋体" w:cs="宋体"/>
          <w:color w:val="auto"/>
          <w:kern w:val="0"/>
          <w:sz w:val="24"/>
          <w:highlight w:val="none"/>
          <w:lang w:bidi="ar"/>
        </w:rPr>
        <w:t xml:space="preserve">按合同条款专用部分约定执行。 </w:t>
      </w:r>
    </w:p>
    <w:p w14:paraId="4F839510">
      <w:pPr>
        <w:widowControl/>
        <w:spacing w:line="480" w:lineRule="auto"/>
        <w:jc w:val="left"/>
        <w:rPr>
          <w:rFonts w:hint="eastAsia" w:ascii="宋体" w:hAnsi="宋体" w:eastAsia="宋体" w:cs="宋体"/>
          <w:color w:val="auto"/>
          <w:highlight w:val="none"/>
        </w:rPr>
      </w:pPr>
      <w:r>
        <w:rPr>
          <w:rFonts w:hint="eastAsia" w:ascii="宋体" w:hAnsi="宋体" w:eastAsia="宋体" w:cs="宋体"/>
          <w:color w:val="auto"/>
          <w:sz w:val="24"/>
          <w:highlight w:val="none"/>
        </w:rPr>
        <w:t>3.</w:t>
      </w:r>
      <w:r>
        <w:rPr>
          <w:rFonts w:hint="eastAsia" w:ascii="宋体" w:hAnsi="宋体" w:eastAsia="宋体" w:cs="宋体"/>
          <w:color w:val="auto"/>
          <w:kern w:val="0"/>
          <w:sz w:val="24"/>
          <w:highlight w:val="none"/>
          <w:lang w:bidi="ar"/>
        </w:rPr>
        <w:t xml:space="preserve">质量要求：符合现行国家有关工程施工验收规范和标准的要求（合格）。 </w:t>
      </w:r>
    </w:p>
    <w:p w14:paraId="6CBFCF88">
      <w:pPr>
        <w:widowControl/>
        <w:spacing w:line="480" w:lineRule="auto"/>
        <w:jc w:val="left"/>
        <w:rPr>
          <w:rFonts w:hint="eastAsia" w:ascii="宋体" w:hAnsi="宋体" w:eastAsia="宋体" w:cs="宋体"/>
          <w:color w:val="auto"/>
          <w:highlight w:val="none"/>
        </w:rPr>
      </w:pPr>
      <w:r>
        <w:rPr>
          <w:rFonts w:hint="eastAsia" w:ascii="宋体" w:hAnsi="宋体" w:eastAsia="宋体" w:cs="宋体"/>
          <w:color w:val="auto"/>
          <w:kern w:val="0"/>
          <w:sz w:val="24"/>
          <w:highlight w:val="none"/>
          <w:lang w:bidi="ar"/>
        </w:rPr>
        <w:t xml:space="preserve">4. 安全文明施工措施及要求： </w:t>
      </w:r>
    </w:p>
    <w:p w14:paraId="50E3F46C">
      <w:pPr>
        <w:widowControl/>
        <w:spacing w:line="480" w:lineRule="auto"/>
        <w:ind w:firstLine="480" w:firstLineChars="200"/>
        <w:jc w:val="left"/>
        <w:rPr>
          <w:rFonts w:hint="eastAsia" w:ascii="宋体" w:hAnsi="宋体" w:eastAsia="宋体" w:cs="宋体"/>
          <w:b/>
          <w:i/>
          <w:color w:val="auto"/>
          <w:sz w:val="24"/>
          <w:highlight w:val="none"/>
        </w:rPr>
      </w:pPr>
      <w:r>
        <w:rPr>
          <w:rFonts w:hint="eastAsia" w:ascii="宋体" w:hAnsi="宋体" w:eastAsia="宋体" w:cs="宋体"/>
          <w:color w:val="auto"/>
          <w:kern w:val="0"/>
          <w:sz w:val="24"/>
          <w:highlight w:val="none"/>
          <w:lang w:bidi="ar"/>
        </w:rPr>
        <w:t>依据《北京市建设工程安全文明施工费管理办法（试行）》（京建法【2019】9 号）， 施工现场安全生产标准化管理目标等级：达标（合格）标准。</w:t>
      </w:r>
    </w:p>
    <w:p w14:paraId="6EFA1A18">
      <w:pPr>
        <w:pStyle w:val="32"/>
        <w:numPr>
          <w:ilvl w:val="0"/>
          <w:numId w:val="8"/>
        </w:numPr>
        <w:spacing w:line="480" w:lineRule="auto"/>
        <w:ind w:firstLineChars="0"/>
        <w:contextualSpacing/>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技术要求</w:t>
      </w:r>
    </w:p>
    <w:p w14:paraId="1E38D872">
      <w:pPr>
        <w:spacing w:line="480" w:lineRule="auto"/>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 基本要求</w:t>
      </w:r>
    </w:p>
    <w:p w14:paraId="0A8726D8">
      <w:pPr>
        <w:spacing w:line="480" w:lineRule="auto"/>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1.1 采购标的需实现的功能或者目标</w:t>
      </w:r>
    </w:p>
    <w:p w14:paraId="4AFAE8F8">
      <w:pPr>
        <w:spacing w:line="480" w:lineRule="auto"/>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1.2 需执行的国家相关标准、行业标准、地方标准或者其他标准、规范</w:t>
      </w:r>
    </w:p>
    <w:p w14:paraId="6996CADD">
      <w:pPr>
        <w:spacing w:line="480" w:lineRule="auto"/>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2. 验收标准</w:t>
      </w:r>
    </w:p>
    <w:p w14:paraId="08363A16">
      <w:pPr>
        <w:widowControl/>
        <w:spacing w:line="480" w:lineRule="auto"/>
        <w:ind w:firstLine="480" w:firstLineChars="200"/>
        <w:jc w:val="left"/>
        <w:rPr>
          <w:rFonts w:hint="eastAsia" w:ascii="宋体" w:hAnsi="宋体" w:eastAsia="宋体" w:cs="宋体"/>
          <w:color w:val="auto"/>
          <w:highlight w:val="none"/>
        </w:rPr>
      </w:pPr>
      <w:r>
        <w:rPr>
          <w:rFonts w:hint="eastAsia" w:ascii="宋体" w:hAnsi="宋体" w:eastAsia="宋体" w:cs="宋体"/>
          <w:color w:val="auto"/>
          <w:kern w:val="0"/>
          <w:sz w:val="24"/>
          <w:highlight w:val="none"/>
          <w:lang w:bidi="ar"/>
        </w:rPr>
        <w:t xml:space="preserve">2.1 严格按照国家相关法律法规和国家现行标准和规范进行验收； </w:t>
      </w:r>
    </w:p>
    <w:p w14:paraId="1C4C81CE">
      <w:pPr>
        <w:widowControl/>
        <w:spacing w:line="480" w:lineRule="auto"/>
        <w:ind w:firstLine="480" w:firstLineChars="200"/>
        <w:jc w:val="left"/>
        <w:rPr>
          <w:rFonts w:hint="eastAsia" w:ascii="宋体" w:hAnsi="宋体" w:eastAsia="宋体" w:cs="宋体"/>
          <w:color w:val="auto"/>
          <w:highlight w:val="none"/>
        </w:rPr>
      </w:pPr>
      <w:r>
        <w:rPr>
          <w:rFonts w:hint="eastAsia" w:ascii="宋体" w:hAnsi="宋体" w:eastAsia="宋体" w:cs="宋体"/>
          <w:color w:val="auto"/>
          <w:kern w:val="0"/>
          <w:sz w:val="24"/>
          <w:highlight w:val="none"/>
          <w:lang w:bidi="ar"/>
        </w:rPr>
        <w:t xml:space="preserve">2.2 供应商针对本项目的施工，必须达到国家及行业现行技术规范标准，符合国家 </w:t>
      </w:r>
    </w:p>
    <w:p w14:paraId="4347474D">
      <w:pPr>
        <w:widowControl/>
        <w:spacing w:line="480" w:lineRule="auto"/>
        <w:jc w:val="left"/>
        <w:rPr>
          <w:rFonts w:hint="eastAsia" w:ascii="宋体" w:hAnsi="宋体" w:eastAsia="宋体" w:cs="宋体"/>
          <w:color w:val="auto"/>
          <w:highlight w:val="none"/>
        </w:rPr>
      </w:pPr>
      <w:r>
        <w:rPr>
          <w:rFonts w:hint="eastAsia" w:ascii="宋体" w:hAnsi="宋体" w:eastAsia="宋体" w:cs="宋体"/>
          <w:color w:val="auto"/>
          <w:kern w:val="0"/>
          <w:sz w:val="24"/>
          <w:highlight w:val="none"/>
          <w:lang w:bidi="ar"/>
        </w:rPr>
        <w:t>及行业验收合格标准</w:t>
      </w:r>
    </w:p>
    <w:p w14:paraId="600CD5AC">
      <w:pPr>
        <w:spacing w:line="480" w:lineRule="auto"/>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3. 其他要求（如有）</w:t>
      </w:r>
    </w:p>
    <w:p w14:paraId="0307DE0C">
      <w:pPr>
        <w:pStyle w:val="32"/>
        <w:adjustRightInd w:val="0"/>
        <w:spacing w:line="480" w:lineRule="auto"/>
        <w:ind w:firstLine="480"/>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如果属于政务信息系统项目，其采购需求还应当符合《政务信息系统政府采购管理暂行办法》（财库〔2017〕210号）的相关要求。</w:t>
      </w:r>
    </w:p>
    <w:p w14:paraId="65F1936C">
      <w:pPr>
        <w:pStyle w:val="7"/>
        <w:spacing w:line="241" w:lineRule="auto"/>
        <w:rPr>
          <w:rFonts w:hint="default" w:eastAsia="宋体"/>
          <w:highlight w:val="none"/>
          <w:lang w:val="en-US" w:eastAsia="zh-CN"/>
        </w:rPr>
      </w:pPr>
      <w:r>
        <w:rPr>
          <w:rFonts w:hint="eastAsia"/>
          <w:highlight w:val="none"/>
          <w:lang w:val="en-US" w:eastAsia="zh-CN"/>
        </w:rPr>
        <w:t>工程量清单后附。</w:t>
      </w:r>
    </w:p>
    <w:p w14:paraId="04E3A494">
      <w:pPr>
        <w:spacing w:line="360" w:lineRule="auto"/>
        <w:contextualSpacing/>
        <w:rPr>
          <w:rFonts w:hint="eastAsia" w:ascii="宋体" w:hAnsi="宋体" w:eastAsia="宋体" w:cs="宋体"/>
          <w:color w:val="auto"/>
          <w:sz w:val="24"/>
          <w:highlight w:val="none"/>
        </w:rPr>
      </w:pPr>
    </w:p>
    <w:p w14:paraId="33885983">
      <w:pPr>
        <w:pStyle w:val="32"/>
        <w:adjustRightInd w:val="0"/>
        <w:spacing w:line="480" w:lineRule="auto"/>
        <w:ind w:firstLine="480"/>
        <w:contextualSpacing/>
        <w:jc w:val="left"/>
        <w:rPr>
          <w:rFonts w:hint="eastAsia" w:ascii="宋体" w:hAnsi="宋体" w:eastAsia="宋体" w:cs="宋体"/>
          <w:color w:val="auto"/>
          <w:sz w:val="24"/>
          <w:szCs w:val="24"/>
          <w:highlight w:val="none"/>
        </w:rPr>
      </w:pPr>
    </w:p>
    <w:p w14:paraId="64E1C420">
      <w:pPr>
        <w:spacing w:line="440" w:lineRule="exact"/>
        <w:rPr>
          <w:rFonts w:hint="eastAsia" w:ascii="宋体" w:hAnsi="宋体" w:eastAsia="宋体" w:cs="宋体"/>
          <w:b/>
          <w:color w:val="auto"/>
          <w:highlight w:val="none"/>
        </w:rPr>
      </w:pPr>
    </w:p>
    <w:p w14:paraId="4827B0CC">
      <w:pPr>
        <w:autoSpaceDE w:val="0"/>
        <w:autoSpaceDN w:val="0"/>
        <w:rPr>
          <w:rFonts w:hint="eastAsia" w:ascii="宋体" w:hAnsi="宋体" w:eastAsia="宋体" w:cs="宋体"/>
          <w:bCs/>
          <w:color w:val="auto"/>
          <w:highlight w:val="none"/>
        </w:rPr>
      </w:pPr>
    </w:p>
    <w:p w14:paraId="0317482F">
      <w:pPr>
        <w:rPr>
          <w:rFonts w:hint="eastAsia" w:ascii="宋体" w:hAnsi="宋体" w:eastAsia="宋体" w:cs="宋体"/>
          <w:color w:val="auto"/>
          <w:highlight w:val="none"/>
        </w:rPr>
      </w:pPr>
    </w:p>
    <w:p w14:paraId="3FA19948">
      <w:pPr>
        <w:widowControl/>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r>
    </w:p>
    <w:p w14:paraId="25239D96">
      <w:pPr>
        <w:spacing w:line="360" w:lineRule="auto"/>
        <w:jc w:val="center"/>
        <w:outlineLvl w:val="0"/>
        <w:rPr>
          <w:highlight w:val="none"/>
        </w:rPr>
      </w:pPr>
      <w:bookmarkStart w:id="659" w:name="_Toc22798"/>
      <w:r>
        <w:rPr>
          <w:rFonts w:hint="eastAsia" w:ascii="宋体" w:hAnsi="宋体" w:eastAsia="宋体" w:cs="宋体"/>
          <w:b/>
          <w:color w:val="auto"/>
          <w:sz w:val="36"/>
          <w:szCs w:val="36"/>
          <w:highlight w:val="none"/>
        </w:rPr>
        <w:t>第五章   合同草案条款</w:t>
      </w:r>
      <w:bookmarkEnd w:id="659"/>
    </w:p>
    <w:p w14:paraId="210A5FB6">
      <w:pPr>
        <w:rPr>
          <w:highlight w:val="none"/>
        </w:rPr>
      </w:pPr>
      <w:r>
        <w:rPr>
          <w:highlight w:val="none"/>
        </w:rPr>
        <w:br w:type="page"/>
      </w:r>
    </w:p>
    <w:p w14:paraId="17F258A3">
      <w:pPr>
        <w:spacing w:line="360" w:lineRule="auto"/>
        <w:ind w:firstLine="420" w:firstLineChars="200"/>
        <w:rPr>
          <w:rFonts w:hint="eastAsia" w:ascii="宋体" w:hAnsi="宋体" w:eastAsia="宋体" w:cs="宋体"/>
          <w:szCs w:val="21"/>
        </w:rPr>
      </w:pPr>
    </w:p>
    <w:p w14:paraId="206F2891">
      <w:pPr>
        <w:jc w:val="center"/>
        <w:rPr>
          <w:rFonts w:hint="eastAsia" w:ascii="宋体" w:hAnsi="宋体" w:eastAsia="宋体" w:cs="宋体"/>
          <w:b/>
          <w:sz w:val="36"/>
          <w:szCs w:val="36"/>
          <w:highlight w:val="none"/>
        </w:rPr>
      </w:pPr>
      <w:bookmarkStart w:id="660" w:name="_Toc617"/>
      <w:r>
        <w:rPr>
          <w:rFonts w:hint="eastAsia" w:ascii="宋体" w:hAnsi="宋体" w:cs="宋体"/>
          <w:b/>
          <w:sz w:val="36"/>
          <w:szCs w:val="36"/>
          <w:highlight w:val="none"/>
          <w:u w:val="single"/>
          <w:lang w:eastAsia="zh-CN"/>
        </w:rPr>
        <w:t>昌平区2024年背街小巷环境精细化治理—城北街道自提升项目工程</w:t>
      </w:r>
    </w:p>
    <w:p w14:paraId="5B25E307">
      <w:pPr>
        <w:jc w:val="center"/>
        <w:rPr>
          <w:rFonts w:hint="eastAsia" w:ascii="宋体" w:hAnsi="宋体" w:eastAsia="宋体" w:cs="宋体"/>
          <w:b/>
          <w:sz w:val="36"/>
          <w:szCs w:val="36"/>
          <w:highlight w:val="none"/>
        </w:rPr>
      </w:pPr>
    </w:p>
    <w:p w14:paraId="17679A6E">
      <w:pPr>
        <w:jc w:val="center"/>
        <w:rPr>
          <w:rFonts w:hint="eastAsia" w:ascii="宋体" w:hAnsi="宋体" w:eastAsia="宋体" w:cs="宋体"/>
          <w:b/>
          <w:sz w:val="36"/>
          <w:szCs w:val="36"/>
          <w:highlight w:val="none"/>
        </w:rPr>
      </w:pPr>
    </w:p>
    <w:p w14:paraId="101F7DC1">
      <w:pPr>
        <w:jc w:val="center"/>
        <w:rPr>
          <w:rFonts w:hint="eastAsia" w:ascii="宋体" w:hAnsi="宋体" w:eastAsia="宋体" w:cs="宋体"/>
          <w:b/>
          <w:sz w:val="44"/>
          <w:szCs w:val="44"/>
          <w:highlight w:val="none"/>
        </w:rPr>
      </w:pPr>
      <w:r>
        <w:rPr>
          <w:rFonts w:hint="eastAsia" w:ascii="宋体" w:hAnsi="宋体" w:eastAsia="宋体" w:cs="宋体"/>
          <w:b/>
          <w:sz w:val="44"/>
          <w:szCs w:val="44"/>
          <w:highlight w:val="none"/>
        </w:rPr>
        <w:t>施工合同文件</w:t>
      </w:r>
    </w:p>
    <w:p w14:paraId="0E7708CD">
      <w:pPr>
        <w:pStyle w:val="30"/>
        <w:rPr>
          <w:rFonts w:hint="eastAsia"/>
          <w:b/>
          <w:sz w:val="32"/>
          <w:highlight w:val="none"/>
          <w:u w:val="none"/>
          <w:lang w:eastAsia="zh-CN"/>
        </w:rPr>
      </w:pPr>
    </w:p>
    <w:p w14:paraId="28565197">
      <w:pPr>
        <w:pStyle w:val="30"/>
        <w:rPr>
          <w:rFonts w:hint="eastAsia"/>
          <w:b/>
          <w:sz w:val="32"/>
          <w:highlight w:val="none"/>
          <w:u w:val="none"/>
          <w:lang w:eastAsia="zh-CN"/>
        </w:rPr>
      </w:pPr>
    </w:p>
    <w:p w14:paraId="7B8EEF97">
      <w:pPr>
        <w:pStyle w:val="30"/>
        <w:rPr>
          <w:rFonts w:hint="eastAsia"/>
          <w:b/>
          <w:sz w:val="32"/>
          <w:highlight w:val="none"/>
          <w:u w:val="none"/>
          <w:lang w:eastAsia="zh-CN"/>
        </w:rPr>
      </w:pPr>
    </w:p>
    <w:p w14:paraId="653853B1">
      <w:pPr>
        <w:pStyle w:val="30"/>
        <w:rPr>
          <w:rFonts w:hint="eastAsia"/>
          <w:b/>
          <w:sz w:val="32"/>
          <w:highlight w:val="none"/>
          <w:u w:val="none"/>
          <w:lang w:eastAsia="zh-CN"/>
        </w:rPr>
      </w:pPr>
    </w:p>
    <w:p w14:paraId="7795F0A7">
      <w:pPr>
        <w:pStyle w:val="30"/>
        <w:rPr>
          <w:rFonts w:hint="eastAsia"/>
          <w:b/>
          <w:sz w:val="32"/>
          <w:highlight w:val="none"/>
          <w:u w:val="none"/>
          <w:lang w:eastAsia="zh-CN"/>
        </w:rPr>
      </w:pPr>
    </w:p>
    <w:p w14:paraId="79CAEBC0">
      <w:pPr>
        <w:pStyle w:val="30"/>
        <w:rPr>
          <w:rFonts w:hint="eastAsia"/>
          <w:b/>
          <w:sz w:val="32"/>
          <w:highlight w:val="none"/>
          <w:u w:val="none"/>
          <w:lang w:eastAsia="zh-CN"/>
        </w:rPr>
      </w:pPr>
    </w:p>
    <w:p w14:paraId="3768AC14">
      <w:pPr>
        <w:pStyle w:val="30"/>
        <w:rPr>
          <w:rFonts w:hint="eastAsia"/>
          <w:b/>
          <w:sz w:val="32"/>
          <w:highlight w:val="none"/>
          <w:u w:val="none"/>
          <w:lang w:eastAsia="zh-CN"/>
        </w:rPr>
      </w:pPr>
    </w:p>
    <w:p w14:paraId="268F8757">
      <w:pPr>
        <w:pStyle w:val="30"/>
        <w:rPr>
          <w:rFonts w:hint="eastAsia"/>
          <w:b/>
          <w:sz w:val="32"/>
          <w:highlight w:val="none"/>
          <w:u w:val="none"/>
          <w:lang w:eastAsia="zh-CN"/>
        </w:rPr>
      </w:pPr>
    </w:p>
    <w:p w14:paraId="3086C4E8">
      <w:pPr>
        <w:pStyle w:val="30"/>
        <w:rPr>
          <w:rFonts w:hint="eastAsia"/>
          <w:b/>
          <w:sz w:val="32"/>
          <w:highlight w:val="none"/>
          <w:u w:val="none"/>
          <w:lang w:eastAsia="zh-CN"/>
        </w:rPr>
      </w:pPr>
    </w:p>
    <w:p w14:paraId="4820CF1D">
      <w:pPr>
        <w:pStyle w:val="30"/>
        <w:rPr>
          <w:rFonts w:hint="eastAsia"/>
          <w:b/>
          <w:sz w:val="32"/>
          <w:highlight w:val="none"/>
          <w:u w:val="none"/>
          <w:lang w:eastAsia="zh-CN"/>
        </w:rPr>
      </w:pPr>
    </w:p>
    <w:p w14:paraId="64D25F10">
      <w:pPr>
        <w:pStyle w:val="30"/>
        <w:jc w:val="center"/>
        <w:rPr>
          <w:rFonts w:hint="eastAsia"/>
          <w:b/>
          <w:sz w:val="52"/>
          <w:szCs w:val="52"/>
          <w:highlight w:val="none"/>
          <w:lang w:eastAsia="zh-CN"/>
        </w:rPr>
      </w:pPr>
    </w:p>
    <w:p w14:paraId="384D8269">
      <w:pPr>
        <w:pStyle w:val="30"/>
        <w:jc w:val="center"/>
        <w:rPr>
          <w:rFonts w:hint="eastAsia"/>
          <w:b/>
          <w:sz w:val="52"/>
          <w:szCs w:val="52"/>
          <w:highlight w:val="none"/>
          <w:lang w:eastAsia="zh-CN"/>
        </w:rPr>
      </w:pPr>
    </w:p>
    <w:p w14:paraId="06DA2544">
      <w:pPr>
        <w:pStyle w:val="30"/>
        <w:jc w:val="center"/>
        <w:rPr>
          <w:rFonts w:hint="eastAsia"/>
          <w:b/>
          <w:sz w:val="52"/>
          <w:szCs w:val="52"/>
          <w:highlight w:val="none"/>
          <w:lang w:eastAsia="zh-CN"/>
        </w:rPr>
      </w:pPr>
    </w:p>
    <w:p w14:paraId="3FDDCFE4">
      <w:pPr>
        <w:pStyle w:val="30"/>
        <w:jc w:val="center"/>
        <w:rPr>
          <w:rFonts w:hint="eastAsia"/>
          <w:b/>
          <w:sz w:val="52"/>
          <w:szCs w:val="52"/>
          <w:highlight w:val="none"/>
          <w:lang w:eastAsia="zh-CN"/>
        </w:rPr>
      </w:pPr>
    </w:p>
    <w:p w14:paraId="4967B48F">
      <w:pPr>
        <w:pStyle w:val="30"/>
        <w:jc w:val="center"/>
        <w:rPr>
          <w:rFonts w:hint="eastAsia"/>
          <w:b/>
          <w:sz w:val="52"/>
          <w:szCs w:val="52"/>
          <w:highlight w:val="none"/>
          <w:lang w:eastAsia="zh-CN"/>
        </w:rPr>
      </w:pPr>
    </w:p>
    <w:p w14:paraId="4A2C3850">
      <w:pPr>
        <w:pStyle w:val="30"/>
        <w:jc w:val="center"/>
        <w:rPr>
          <w:rFonts w:hint="eastAsia"/>
          <w:b/>
          <w:sz w:val="52"/>
          <w:szCs w:val="52"/>
          <w:highlight w:val="none"/>
          <w:lang w:eastAsia="zh-CN"/>
        </w:rPr>
      </w:pPr>
    </w:p>
    <w:p w14:paraId="6915EA4D">
      <w:pPr>
        <w:pStyle w:val="30"/>
        <w:jc w:val="center"/>
        <w:rPr>
          <w:rFonts w:hint="eastAsia"/>
          <w:b/>
          <w:sz w:val="52"/>
          <w:szCs w:val="52"/>
          <w:highlight w:val="none"/>
          <w:lang w:eastAsia="zh-CN"/>
        </w:rPr>
      </w:pPr>
    </w:p>
    <w:p w14:paraId="3717A8E9">
      <w:pPr>
        <w:pStyle w:val="30"/>
        <w:jc w:val="center"/>
        <w:rPr>
          <w:rFonts w:hint="eastAsia"/>
          <w:b/>
          <w:sz w:val="52"/>
          <w:szCs w:val="52"/>
          <w:highlight w:val="none"/>
          <w:lang w:eastAsia="zh-CN"/>
        </w:rPr>
      </w:pPr>
    </w:p>
    <w:p w14:paraId="4DC27A32">
      <w:pPr>
        <w:pStyle w:val="30"/>
        <w:jc w:val="both"/>
        <w:rPr>
          <w:rFonts w:hint="eastAsia"/>
          <w:b/>
          <w:sz w:val="52"/>
          <w:szCs w:val="52"/>
          <w:highlight w:val="none"/>
          <w:lang w:eastAsia="zh-CN"/>
        </w:rPr>
      </w:pPr>
    </w:p>
    <w:p w14:paraId="3AC564C4">
      <w:pPr>
        <w:pStyle w:val="30"/>
        <w:jc w:val="center"/>
        <w:rPr>
          <w:rFonts w:hint="eastAsia" w:ascii="宋体" w:hAnsi="宋体"/>
          <w:sz w:val="28"/>
          <w:szCs w:val="28"/>
          <w:highlight w:val="none"/>
          <w:u w:val="single"/>
          <w:lang w:eastAsia="zh-CN"/>
        </w:rPr>
      </w:pPr>
      <w:r>
        <w:rPr>
          <w:rFonts w:hint="eastAsia"/>
          <w:b w:val="0"/>
          <w:bCs/>
          <w:sz w:val="28"/>
          <w:szCs w:val="28"/>
          <w:highlight w:val="none"/>
          <w:lang w:eastAsia="zh-CN"/>
        </w:rPr>
        <w:t>发包人：</w:t>
      </w:r>
      <w:r>
        <w:rPr>
          <w:rFonts w:hint="eastAsia" w:ascii="宋体" w:hAnsi="宋体"/>
          <w:color w:val="000000"/>
          <w:sz w:val="28"/>
          <w:szCs w:val="28"/>
          <w:highlight w:val="none"/>
          <w:u w:val="single"/>
          <w:lang w:val="en-US" w:eastAsia="zh-CN"/>
        </w:rPr>
        <w:t>北京市昌平区城北街道办事处</w:t>
      </w:r>
    </w:p>
    <w:p w14:paraId="77767FDD">
      <w:pPr>
        <w:pStyle w:val="30"/>
        <w:jc w:val="center"/>
        <w:rPr>
          <w:rFonts w:hint="eastAsia" w:ascii="宋体" w:hAnsi="宋体"/>
          <w:sz w:val="28"/>
          <w:szCs w:val="28"/>
          <w:highlight w:val="none"/>
          <w:u w:val="single"/>
          <w:lang w:eastAsia="zh-CN"/>
        </w:rPr>
      </w:pPr>
    </w:p>
    <w:p w14:paraId="0C21A679">
      <w:pPr>
        <w:pStyle w:val="30"/>
        <w:ind w:firstLine="1680" w:firstLineChars="600"/>
        <w:jc w:val="both"/>
        <w:rPr>
          <w:rFonts w:hint="default" w:ascii="宋体" w:hAnsi="宋体"/>
          <w:color w:val="000000"/>
          <w:sz w:val="28"/>
          <w:szCs w:val="28"/>
          <w:highlight w:val="none"/>
          <w:u w:val="single"/>
          <w:lang w:val="en-US" w:eastAsia="zh-CN"/>
        </w:rPr>
      </w:pPr>
      <w:r>
        <w:rPr>
          <w:rFonts w:hint="eastAsia" w:ascii="宋体" w:hAnsi="宋体"/>
          <w:sz w:val="28"/>
          <w:szCs w:val="28"/>
          <w:highlight w:val="none"/>
          <w:u w:val="none"/>
          <w:lang w:eastAsia="zh-CN"/>
        </w:rPr>
        <w:t>承包人：</w:t>
      </w:r>
      <w:r>
        <w:rPr>
          <w:rFonts w:hint="eastAsia" w:ascii="宋体" w:hAnsi="宋体"/>
          <w:sz w:val="28"/>
          <w:szCs w:val="28"/>
          <w:highlight w:val="none"/>
          <w:u w:val="none"/>
          <w:lang w:val="en-US" w:eastAsia="zh-CN"/>
        </w:rPr>
        <w:t xml:space="preserve">                           </w:t>
      </w:r>
    </w:p>
    <w:p w14:paraId="08C9C6AB">
      <w:pPr>
        <w:pStyle w:val="30"/>
        <w:jc w:val="center"/>
        <w:rPr>
          <w:rFonts w:hint="eastAsia" w:ascii="宋体" w:hAnsi="宋体"/>
          <w:color w:val="000000"/>
          <w:sz w:val="28"/>
          <w:szCs w:val="28"/>
          <w:highlight w:val="none"/>
          <w:u w:val="single"/>
          <w:lang w:val="en-US" w:eastAsia="zh-CN"/>
        </w:rPr>
      </w:pPr>
    </w:p>
    <w:p w14:paraId="4A6CD414">
      <w:pPr>
        <w:pStyle w:val="30"/>
        <w:jc w:val="center"/>
        <w:rPr>
          <w:rFonts w:hint="eastAsia" w:ascii="宋体" w:hAnsi="宋体"/>
          <w:color w:val="000000"/>
          <w:sz w:val="28"/>
          <w:szCs w:val="28"/>
          <w:highlight w:val="none"/>
          <w:u w:val="none"/>
          <w:lang w:val="en-US" w:eastAsia="zh-CN"/>
        </w:rPr>
        <w:sectPr>
          <w:footerReference r:id="rId12" w:type="first"/>
          <w:headerReference r:id="rId10" w:type="default"/>
          <w:headerReference r:id="rId11" w:type="even"/>
          <w:pgSz w:w="11906" w:h="16838"/>
          <w:pgMar w:top="1440" w:right="1797" w:bottom="1440" w:left="1797" w:header="851" w:footer="992" w:gutter="0"/>
          <w:cols w:space="425" w:num="1"/>
          <w:docGrid w:linePitch="312" w:charSpace="0"/>
        </w:sectPr>
      </w:pPr>
      <w:r>
        <w:rPr>
          <w:rFonts w:hint="eastAsia" w:ascii="宋体" w:hAnsi="宋体"/>
          <w:color w:val="000000"/>
          <w:sz w:val="28"/>
          <w:szCs w:val="28"/>
          <w:highlight w:val="none"/>
          <w:u w:val="none"/>
          <w:lang w:val="en-US" w:eastAsia="zh-CN"/>
        </w:rPr>
        <w:t>2024年   月</w:t>
      </w:r>
    </w:p>
    <w:p w14:paraId="52013D64">
      <w:pPr>
        <w:pStyle w:val="36"/>
        <w:spacing w:before="120" w:after="120"/>
        <w:outlineLvl w:val="1"/>
        <w:rPr>
          <w:color w:val="auto"/>
          <w:highlight w:val="none"/>
        </w:rPr>
      </w:pPr>
      <w:r>
        <w:rPr>
          <w:rFonts w:hint="eastAsia"/>
          <w:color w:val="auto"/>
          <w:highlight w:val="none"/>
        </w:rPr>
        <w:t>附件一：合同协议书</w:t>
      </w:r>
      <w:bookmarkEnd w:id="660"/>
    </w:p>
    <w:p w14:paraId="4E282F59">
      <w:pPr>
        <w:spacing w:line="360" w:lineRule="auto"/>
        <w:jc w:val="center"/>
        <w:rPr>
          <w:rFonts w:ascii="宋体"/>
          <w:b/>
          <w:color w:val="auto"/>
          <w:sz w:val="28"/>
          <w:szCs w:val="28"/>
          <w:highlight w:val="none"/>
        </w:rPr>
      </w:pPr>
      <w:r>
        <w:rPr>
          <w:rFonts w:hint="eastAsia" w:ascii="宋体" w:hAnsi="宋体"/>
          <w:b/>
          <w:color w:val="auto"/>
          <w:sz w:val="28"/>
          <w:szCs w:val="28"/>
          <w:highlight w:val="none"/>
        </w:rPr>
        <w:t>合同协议书</w:t>
      </w:r>
    </w:p>
    <w:p w14:paraId="54C20346">
      <w:pPr>
        <w:pStyle w:val="34"/>
        <w:spacing w:line="360" w:lineRule="auto"/>
        <w:rPr>
          <w:rFonts w:ascii="宋体"/>
          <w:color w:val="auto"/>
          <w:szCs w:val="21"/>
          <w:highlight w:val="none"/>
        </w:rPr>
      </w:pPr>
      <w:r>
        <w:rPr>
          <w:rFonts w:ascii="宋体" w:hAnsi="宋体"/>
          <w:color w:val="auto"/>
          <w:szCs w:val="21"/>
          <w:highlight w:val="none"/>
        </w:rPr>
        <w:t xml:space="preserve">                                                    </w:t>
      </w:r>
      <w:r>
        <w:rPr>
          <w:rFonts w:hint="eastAsia" w:ascii="宋体" w:hAnsi="宋体"/>
          <w:color w:val="auto"/>
          <w:szCs w:val="21"/>
          <w:highlight w:val="none"/>
        </w:rPr>
        <w:t>编号：</w:t>
      </w:r>
      <w:r>
        <w:rPr>
          <w:rFonts w:ascii="宋体" w:hAnsi="宋体"/>
          <w:color w:val="auto"/>
          <w:szCs w:val="21"/>
          <w:highlight w:val="none"/>
          <w:u w:val="single"/>
        </w:rPr>
        <w:t xml:space="preserve">                   </w:t>
      </w:r>
    </w:p>
    <w:p w14:paraId="61869F85">
      <w:pPr>
        <w:spacing w:line="360" w:lineRule="auto"/>
        <w:rPr>
          <w:rFonts w:hint="eastAsia" w:ascii="宋体" w:hAnsi="宋体" w:cs="宋体"/>
          <w:color w:val="auto"/>
          <w:sz w:val="21"/>
          <w:szCs w:val="21"/>
          <w:highlight w:val="none"/>
          <w:u w:val="single"/>
          <w:lang w:val="en-US" w:eastAsia="zh-CN"/>
        </w:rPr>
      </w:pPr>
      <w:r>
        <w:rPr>
          <w:rFonts w:hint="eastAsia" w:ascii="宋体" w:hAnsi="宋体" w:cs="Arial"/>
          <w:color w:val="auto"/>
          <w:szCs w:val="21"/>
          <w:highlight w:val="none"/>
        </w:rPr>
        <w:t>发包人（全称）：</w:t>
      </w:r>
      <w:r>
        <w:rPr>
          <w:rFonts w:ascii="宋体" w:hAnsi="宋体" w:cs="Arial"/>
          <w:color w:val="auto"/>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p>
    <w:p w14:paraId="06838E3B">
      <w:pPr>
        <w:spacing w:line="360" w:lineRule="auto"/>
        <w:rPr>
          <w:rFonts w:ascii="宋体" w:hAnsi="宋体" w:cs="Arial"/>
          <w:color w:val="auto"/>
          <w:szCs w:val="21"/>
          <w:highlight w:val="none"/>
          <w:u w:val="single"/>
        </w:rPr>
      </w:pPr>
      <w:r>
        <w:rPr>
          <w:rFonts w:hint="eastAsia" w:ascii="宋体" w:hAnsi="宋体"/>
          <w:color w:val="auto"/>
          <w:szCs w:val="21"/>
          <w:highlight w:val="none"/>
        </w:rPr>
        <w:t>法</w:t>
      </w:r>
      <w:r>
        <w:rPr>
          <w:rFonts w:ascii="宋体" w:hAnsi="宋体"/>
          <w:color w:val="auto"/>
          <w:sz w:val="18"/>
          <w:szCs w:val="21"/>
          <w:highlight w:val="none"/>
        </w:rPr>
        <w:t xml:space="preserve"> </w:t>
      </w:r>
      <w:r>
        <w:rPr>
          <w:rFonts w:hint="eastAsia" w:ascii="宋体" w:hAnsi="宋体"/>
          <w:color w:val="auto"/>
          <w:szCs w:val="21"/>
          <w:highlight w:val="none"/>
        </w:rPr>
        <w:t>定</w:t>
      </w:r>
      <w:r>
        <w:rPr>
          <w:rFonts w:ascii="宋体" w:hAnsi="宋体"/>
          <w:color w:val="auto"/>
          <w:sz w:val="13"/>
          <w:szCs w:val="21"/>
          <w:highlight w:val="none"/>
        </w:rPr>
        <w:t xml:space="preserve"> </w:t>
      </w:r>
      <w:r>
        <w:rPr>
          <w:rFonts w:hint="eastAsia" w:ascii="宋体" w:hAnsi="宋体"/>
          <w:color w:val="auto"/>
          <w:szCs w:val="21"/>
          <w:highlight w:val="none"/>
        </w:rPr>
        <w:t>代</w:t>
      </w:r>
      <w:r>
        <w:rPr>
          <w:rFonts w:ascii="宋体" w:hAnsi="宋体"/>
          <w:color w:val="auto"/>
          <w:sz w:val="13"/>
          <w:szCs w:val="21"/>
          <w:highlight w:val="none"/>
        </w:rPr>
        <w:t xml:space="preserve"> </w:t>
      </w:r>
      <w:r>
        <w:rPr>
          <w:rFonts w:hint="eastAsia" w:ascii="宋体" w:hAnsi="宋体"/>
          <w:color w:val="auto"/>
          <w:szCs w:val="21"/>
          <w:highlight w:val="none"/>
        </w:rPr>
        <w:t>表</w:t>
      </w:r>
      <w:r>
        <w:rPr>
          <w:rFonts w:ascii="宋体" w:hAnsi="宋体"/>
          <w:color w:val="auto"/>
          <w:sz w:val="13"/>
          <w:szCs w:val="21"/>
          <w:highlight w:val="none"/>
        </w:rPr>
        <w:t xml:space="preserve"> </w:t>
      </w:r>
      <w:r>
        <w:rPr>
          <w:rFonts w:hint="eastAsia" w:ascii="宋体" w:hAnsi="宋体"/>
          <w:color w:val="auto"/>
          <w:szCs w:val="21"/>
          <w:highlight w:val="none"/>
        </w:rPr>
        <w:t>人：</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lang w:val="en-US" w:eastAsia="zh-CN"/>
        </w:rPr>
        <w:t xml:space="preserve">        </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lang w:val="en-US" w:eastAsia="zh-CN"/>
        </w:rPr>
        <w:t xml:space="preserve">   </w:t>
      </w:r>
      <w:r>
        <w:rPr>
          <w:rFonts w:ascii="宋体" w:hAnsi="宋体" w:cs="Arial"/>
          <w:color w:val="auto"/>
          <w:szCs w:val="21"/>
          <w:highlight w:val="none"/>
          <w:u w:val="single"/>
        </w:rPr>
        <w:t xml:space="preserve">               </w:t>
      </w:r>
    </w:p>
    <w:p w14:paraId="4315375B">
      <w:pPr>
        <w:spacing w:line="360" w:lineRule="auto"/>
        <w:rPr>
          <w:rFonts w:ascii="宋体"/>
          <w:color w:val="auto"/>
          <w:szCs w:val="21"/>
          <w:highlight w:val="none"/>
          <w:u w:val="single"/>
        </w:rPr>
      </w:pPr>
      <w:r>
        <w:rPr>
          <w:rFonts w:hint="eastAsia" w:ascii="宋体" w:hAnsi="宋体"/>
          <w:color w:val="auto"/>
          <w:szCs w:val="21"/>
          <w:highlight w:val="none"/>
        </w:rPr>
        <w:t>法定注册地址：</w:t>
      </w:r>
      <w:r>
        <w:rPr>
          <w:rFonts w:ascii="宋体" w:hAnsi="宋体"/>
          <w:color w:val="auto"/>
          <w:szCs w:val="21"/>
          <w:highlight w:val="none"/>
          <w:u w:val="single"/>
        </w:rPr>
        <w:t xml:space="preserve"> </w:t>
      </w:r>
      <w:r>
        <w:rPr>
          <w:rFonts w:hint="eastAsia" w:ascii="宋体" w:hAnsi="宋体" w:cs="Arial"/>
          <w:color w:val="auto"/>
          <w:szCs w:val="21"/>
          <w:highlight w:val="none"/>
          <w:u w:val="single"/>
          <w:lang w:val="en-US" w:eastAsia="zh-CN"/>
        </w:rPr>
        <w:t xml:space="preserve">                              </w:t>
      </w:r>
    </w:p>
    <w:p w14:paraId="34251FB5">
      <w:pPr>
        <w:spacing w:line="360" w:lineRule="auto"/>
        <w:rPr>
          <w:rFonts w:ascii="宋体"/>
          <w:color w:val="auto"/>
          <w:szCs w:val="21"/>
          <w:highlight w:val="none"/>
        </w:rPr>
      </w:pPr>
      <w:r>
        <w:rPr>
          <w:rFonts w:hint="eastAsia" w:ascii="宋体" w:hAnsi="宋体"/>
          <w:color w:val="auto"/>
          <w:szCs w:val="21"/>
          <w:highlight w:val="none"/>
        </w:rPr>
        <w:t>承包人（全称）：</w:t>
      </w:r>
      <w:r>
        <w:rPr>
          <w:rFonts w:hint="eastAsia" w:ascii="宋体" w:hAnsi="宋体"/>
          <w:color w:val="auto"/>
          <w:szCs w:val="21"/>
          <w:highlight w:val="none"/>
          <w:u w:val="single"/>
          <w:lang w:val="en-US" w:eastAsia="zh-CN"/>
        </w:rPr>
        <w:t xml:space="preserve">                              </w:t>
      </w:r>
    </w:p>
    <w:p w14:paraId="76C7C620">
      <w:pPr>
        <w:spacing w:line="360" w:lineRule="auto"/>
        <w:rPr>
          <w:rFonts w:ascii="宋体"/>
          <w:color w:val="auto"/>
          <w:szCs w:val="21"/>
          <w:highlight w:val="none"/>
        </w:rPr>
      </w:pPr>
      <w:r>
        <w:rPr>
          <w:rFonts w:hint="eastAsia" w:ascii="宋体" w:hAnsi="宋体"/>
          <w:color w:val="auto"/>
          <w:szCs w:val="21"/>
          <w:highlight w:val="none"/>
        </w:rPr>
        <w:t>法</w:t>
      </w:r>
      <w:r>
        <w:rPr>
          <w:rFonts w:ascii="宋体" w:hAnsi="宋体"/>
          <w:color w:val="auto"/>
          <w:sz w:val="18"/>
          <w:szCs w:val="21"/>
          <w:highlight w:val="none"/>
        </w:rPr>
        <w:t xml:space="preserve"> </w:t>
      </w:r>
      <w:r>
        <w:rPr>
          <w:rFonts w:hint="eastAsia" w:ascii="宋体" w:hAnsi="宋体"/>
          <w:color w:val="auto"/>
          <w:szCs w:val="21"/>
          <w:highlight w:val="none"/>
        </w:rPr>
        <w:t>定</w:t>
      </w:r>
      <w:r>
        <w:rPr>
          <w:rFonts w:ascii="宋体" w:hAnsi="宋体"/>
          <w:color w:val="auto"/>
          <w:sz w:val="13"/>
          <w:szCs w:val="21"/>
          <w:highlight w:val="none"/>
        </w:rPr>
        <w:t xml:space="preserve"> </w:t>
      </w:r>
      <w:r>
        <w:rPr>
          <w:rFonts w:hint="eastAsia" w:ascii="宋体" w:hAnsi="宋体"/>
          <w:color w:val="auto"/>
          <w:szCs w:val="21"/>
          <w:highlight w:val="none"/>
        </w:rPr>
        <w:t>代</w:t>
      </w:r>
      <w:r>
        <w:rPr>
          <w:rFonts w:ascii="宋体" w:hAnsi="宋体"/>
          <w:color w:val="auto"/>
          <w:sz w:val="13"/>
          <w:szCs w:val="21"/>
          <w:highlight w:val="none"/>
        </w:rPr>
        <w:t xml:space="preserve"> </w:t>
      </w:r>
      <w:r>
        <w:rPr>
          <w:rFonts w:hint="eastAsia" w:ascii="宋体" w:hAnsi="宋体"/>
          <w:color w:val="auto"/>
          <w:szCs w:val="21"/>
          <w:highlight w:val="none"/>
        </w:rPr>
        <w:t>表</w:t>
      </w:r>
      <w:r>
        <w:rPr>
          <w:rFonts w:ascii="宋体" w:hAnsi="宋体"/>
          <w:color w:val="auto"/>
          <w:sz w:val="13"/>
          <w:szCs w:val="21"/>
          <w:highlight w:val="none"/>
        </w:rPr>
        <w:t xml:space="preserve"> </w:t>
      </w:r>
      <w:r>
        <w:rPr>
          <w:rFonts w:hint="eastAsia" w:ascii="宋体" w:hAnsi="宋体"/>
          <w:color w:val="auto"/>
          <w:szCs w:val="21"/>
          <w:highlight w:val="none"/>
        </w:rPr>
        <w:t>人：</w:t>
      </w:r>
      <w:r>
        <w:rPr>
          <w:rFonts w:ascii="宋体" w:hAnsi="宋体" w:cs="Arial"/>
          <w:color w:val="auto"/>
          <w:szCs w:val="21"/>
          <w:highlight w:val="none"/>
          <w:u w:val="single"/>
        </w:rPr>
        <w:t xml:space="preserve">  </w:t>
      </w:r>
      <w:r>
        <w:rPr>
          <w:rFonts w:hint="eastAsia" w:ascii="宋体" w:hAnsi="宋体" w:cs="Arial"/>
          <w:color w:val="000000"/>
          <w:szCs w:val="21"/>
          <w:highlight w:val="none"/>
          <w:u w:val="single"/>
          <w:lang w:val="en-US" w:eastAsia="zh-CN"/>
        </w:rPr>
        <w:t xml:space="preserve">              </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lang w:val="en-US" w:eastAsia="zh-CN"/>
        </w:rPr>
        <w:t xml:space="preserve">          </w:t>
      </w:r>
    </w:p>
    <w:p w14:paraId="5AA12A7F">
      <w:pPr>
        <w:spacing w:line="360" w:lineRule="auto"/>
        <w:rPr>
          <w:rFonts w:ascii="宋体"/>
          <w:b/>
          <w:color w:val="auto"/>
          <w:highlight w:val="none"/>
        </w:rPr>
      </w:pPr>
      <w:r>
        <w:rPr>
          <w:rFonts w:hint="eastAsia" w:ascii="宋体" w:hAnsi="宋体"/>
          <w:color w:val="auto"/>
          <w:szCs w:val="21"/>
          <w:highlight w:val="none"/>
        </w:rPr>
        <w:t>法定注册地址</w:t>
      </w:r>
      <w:r>
        <w:rPr>
          <w:rFonts w:hint="eastAsia" w:ascii="宋体" w:hAnsi="宋体"/>
          <w:b/>
          <w:color w:val="auto"/>
          <w:szCs w:val="21"/>
          <w:highlight w:val="none"/>
        </w:rPr>
        <w:t>：</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000000"/>
          <w:szCs w:val="21"/>
          <w:highlight w:val="none"/>
          <w:u w:val="single"/>
          <w:lang w:val="en-US" w:eastAsia="zh-CN"/>
        </w:rPr>
        <w:t xml:space="preserve">   </w:t>
      </w:r>
    </w:p>
    <w:p w14:paraId="2BBD78A4">
      <w:pPr>
        <w:spacing w:line="360" w:lineRule="auto"/>
        <w:ind w:firstLine="490"/>
        <w:rPr>
          <w:rFonts w:ascii="宋体"/>
          <w:color w:val="auto"/>
          <w:highlight w:val="none"/>
        </w:rPr>
      </w:pPr>
    </w:p>
    <w:p w14:paraId="1F62216C">
      <w:pPr>
        <w:spacing w:line="360" w:lineRule="auto"/>
        <w:ind w:firstLine="420" w:firstLineChars="200"/>
        <w:rPr>
          <w:rFonts w:ascii="宋体"/>
          <w:color w:val="auto"/>
          <w:highlight w:val="none"/>
        </w:rPr>
      </w:pPr>
      <w:r>
        <w:rPr>
          <w:rFonts w:hint="eastAsia" w:ascii="宋体" w:hAnsi="宋体"/>
          <w:color w:val="auto"/>
          <w:szCs w:val="21"/>
          <w:highlight w:val="none"/>
        </w:rPr>
        <w:t>发包人为建设</w:t>
      </w:r>
      <w:r>
        <w:rPr>
          <w:rFonts w:hint="eastAsia" w:ascii="宋体" w:hAnsi="宋体" w:cs="Arial"/>
          <w:color w:val="auto"/>
          <w:szCs w:val="21"/>
          <w:highlight w:val="none"/>
          <w:u w:val="single"/>
          <w:lang w:eastAsia="zh-CN"/>
        </w:rPr>
        <w:t>昌平区2024年背街小巷环境精细化治理—城北街道自提升项目工程</w:t>
      </w:r>
      <w:r>
        <w:rPr>
          <w:rFonts w:ascii="宋体" w:hAnsi="宋体"/>
          <w:color w:val="auto"/>
          <w:highlight w:val="none"/>
          <w:u w:val="single"/>
        </w:rPr>
        <w:t xml:space="preserve"> </w:t>
      </w:r>
      <w:r>
        <w:rPr>
          <w:rFonts w:hint="eastAsia" w:ascii="宋体" w:hAnsi="宋体" w:cs="Arial"/>
          <w:color w:val="auto"/>
          <w:szCs w:val="21"/>
          <w:highlight w:val="none"/>
          <w:u w:val="single"/>
          <w:lang w:val="en-US" w:eastAsia="zh-CN"/>
        </w:rPr>
        <w:t xml:space="preserve">                  </w:t>
      </w:r>
      <w:r>
        <w:rPr>
          <w:rFonts w:ascii="宋体" w:hAnsi="宋体"/>
          <w:color w:val="auto"/>
          <w:highlight w:val="none"/>
          <w:u w:val="single"/>
        </w:rPr>
        <w:t xml:space="preserve">  </w:t>
      </w:r>
      <w:r>
        <w:rPr>
          <w:rFonts w:hint="eastAsia" w:ascii="宋体" w:hAnsi="宋体"/>
          <w:color w:val="auto"/>
          <w:szCs w:val="21"/>
          <w:highlight w:val="none"/>
        </w:rPr>
        <w:t>（以下简称“本工程”），已接受承包人提出的承担本工程的施工、竣工、交付并维修其任何缺陷的投标。</w:t>
      </w:r>
      <w:r>
        <w:rPr>
          <w:rFonts w:hint="eastAsia" w:ascii="宋体" w:hAnsi="宋体"/>
          <w:color w:val="auto"/>
          <w:highlight w:val="none"/>
        </w:rPr>
        <w:t>依照《中华人民共和国招标投标法》《中华人民共和国民法典》《中华人民共和国建筑法》及其他有关法律、行政法规，遵循平等、自愿、公平和诚实信用的原则，双方共同达成并订立如下协议。</w:t>
      </w:r>
    </w:p>
    <w:p w14:paraId="183D3AAE">
      <w:pPr>
        <w:spacing w:line="360" w:lineRule="auto"/>
        <w:ind w:firstLine="420" w:firstLineChars="200"/>
        <w:rPr>
          <w:rFonts w:ascii="宋体"/>
          <w:color w:val="auto"/>
          <w:highlight w:val="none"/>
        </w:rPr>
      </w:pPr>
      <w:bookmarkStart w:id="661" w:name="_Toc480303461"/>
      <w:bookmarkStart w:id="662" w:name="_Toc479505734"/>
      <w:bookmarkStart w:id="663" w:name="_Toc477964590"/>
      <w:r>
        <w:rPr>
          <w:rFonts w:hint="eastAsia" w:ascii="宋体" w:hAnsi="宋体"/>
          <w:color w:val="auto"/>
          <w:highlight w:val="none"/>
        </w:rPr>
        <w:t>一、工程概况</w:t>
      </w:r>
      <w:bookmarkEnd w:id="661"/>
      <w:bookmarkEnd w:id="662"/>
      <w:bookmarkEnd w:id="663"/>
    </w:p>
    <w:p w14:paraId="45898813">
      <w:pPr>
        <w:spacing w:line="360" w:lineRule="auto"/>
        <w:ind w:firstLine="420" w:firstLineChars="200"/>
        <w:rPr>
          <w:rFonts w:ascii="宋体"/>
          <w:color w:val="auto"/>
          <w:highlight w:val="none"/>
          <w:u w:val="single"/>
        </w:rPr>
      </w:pPr>
      <w:r>
        <w:rPr>
          <w:rFonts w:hint="eastAsia" w:ascii="宋体" w:hAnsi="宋体"/>
          <w:color w:val="auto"/>
          <w:highlight w:val="none"/>
        </w:rPr>
        <w:t>工程名称：</w:t>
      </w:r>
      <w:r>
        <w:rPr>
          <w:rFonts w:ascii="宋体" w:hAnsi="宋体"/>
          <w:color w:val="auto"/>
          <w:highlight w:val="none"/>
          <w:u w:val="single"/>
        </w:rPr>
        <w:t xml:space="preserve"> </w:t>
      </w:r>
      <w:r>
        <w:rPr>
          <w:rFonts w:hint="eastAsia" w:ascii="宋体" w:hAnsi="宋体" w:cs="Arial"/>
          <w:color w:val="auto"/>
          <w:szCs w:val="21"/>
          <w:highlight w:val="none"/>
          <w:u w:val="single"/>
          <w:lang w:eastAsia="zh-CN"/>
        </w:rPr>
        <w:t>昌平区2024年背街小巷环境精细化治理—城北街道自提升项目工程</w:t>
      </w:r>
      <w:r>
        <w:rPr>
          <w:rFonts w:hint="eastAsia" w:ascii="宋体" w:hAnsi="宋体" w:cs="Arial"/>
          <w:color w:val="auto"/>
          <w:szCs w:val="21"/>
          <w:highlight w:val="none"/>
          <w:u w:val="single"/>
          <w:lang w:val="en-US" w:eastAsia="zh-CN"/>
        </w:rPr>
        <w:t xml:space="preserve">                      </w:t>
      </w:r>
      <w:r>
        <w:rPr>
          <w:rFonts w:ascii="宋体" w:hAnsi="宋体"/>
          <w:color w:val="auto"/>
          <w:highlight w:val="none"/>
          <w:u w:val="single"/>
        </w:rPr>
        <w:t xml:space="preserve">  </w:t>
      </w:r>
    </w:p>
    <w:p w14:paraId="5E85F447">
      <w:pPr>
        <w:spacing w:line="360" w:lineRule="auto"/>
        <w:ind w:firstLine="420" w:firstLineChars="200"/>
        <w:rPr>
          <w:rFonts w:ascii="宋体"/>
          <w:color w:val="auto"/>
          <w:highlight w:val="none"/>
          <w:u w:val="single"/>
        </w:rPr>
      </w:pPr>
      <w:r>
        <w:rPr>
          <w:rFonts w:hint="eastAsia" w:ascii="宋体" w:hAnsi="宋体"/>
          <w:color w:val="auto"/>
          <w:highlight w:val="none"/>
        </w:rPr>
        <w:t>工程地点：</w:t>
      </w:r>
      <w:r>
        <w:rPr>
          <w:rFonts w:ascii="宋体" w:hAnsi="宋体"/>
          <w:color w:val="auto"/>
          <w:highlight w:val="none"/>
          <w:u w:val="single"/>
        </w:rPr>
        <w:t xml:space="preserve"> </w:t>
      </w:r>
      <w:r>
        <w:rPr>
          <w:rFonts w:hint="eastAsia" w:ascii="宋体" w:hAnsi="宋体" w:cs="Arial"/>
          <w:color w:val="auto"/>
          <w:szCs w:val="21"/>
          <w:highlight w:val="none"/>
          <w:u w:val="single"/>
        </w:rPr>
        <w:t>北京市昌平区</w:t>
      </w:r>
      <w:r>
        <w:rPr>
          <w:rFonts w:ascii="宋体" w:hAnsi="宋体"/>
          <w:color w:val="auto"/>
          <w:highlight w:val="none"/>
          <w:u w:val="single"/>
        </w:rPr>
        <w:t xml:space="preserve">     </w:t>
      </w:r>
    </w:p>
    <w:p w14:paraId="3B72EF07">
      <w:pPr>
        <w:spacing w:line="360" w:lineRule="auto"/>
        <w:ind w:firstLine="420" w:firstLineChars="200"/>
        <w:rPr>
          <w:rFonts w:ascii="宋体"/>
          <w:color w:val="auto"/>
          <w:highlight w:val="none"/>
          <w:u w:val="single"/>
        </w:rPr>
      </w:pPr>
      <w:r>
        <w:rPr>
          <w:rFonts w:hint="eastAsia" w:ascii="宋体" w:hAnsi="宋体"/>
          <w:color w:val="auto"/>
          <w:highlight w:val="none"/>
        </w:rPr>
        <w:t>工程内容：</w:t>
      </w:r>
      <w:r>
        <w:rPr>
          <w:rFonts w:ascii="宋体" w:hAnsi="宋体"/>
          <w:color w:val="auto"/>
          <w:highlight w:val="none"/>
          <w:u w:val="none"/>
        </w:rPr>
        <w:t xml:space="preserve"> </w:t>
      </w:r>
      <w:r>
        <w:rPr>
          <w:rFonts w:hint="eastAsia" w:ascii="宋体" w:hAnsi="宋体" w:eastAsia="宋体" w:cs="Times New Roman"/>
          <w:color w:val="auto"/>
          <w:sz w:val="21"/>
          <w:highlight w:val="none"/>
          <w:u w:val="single"/>
        </w:rPr>
        <w:t>包括但不限于                     工程量清单显示的全部内容。</w:t>
      </w:r>
    </w:p>
    <w:p w14:paraId="11BE8443">
      <w:pPr>
        <w:spacing w:line="360" w:lineRule="auto"/>
        <w:ind w:firstLine="420" w:firstLineChars="200"/>
        <w:rPr>
          <w:rFonts w:ascii="宋体"/>
          <w:color w:val="auto"/>
          <w:highlight w:val="none"/>
        </w:rPr>
      </w:pPr>
      <w:r>
        <w:rPr>
          <w:rFonts w:hint="eastAsia" w:ascii="宋体" w:hAnsi="宋体"/>
          <w:color w:val="auto"/>
          <w:highlight w:val="none"/>
        </w:rPr>
        <w:t>群体工程应附“承包人承揽工程项目一览表”（附件二）</w:t>
      </w:r>
    </w:p>
    <w:p w14:paraId="7FCAA280">
      <w:pPr>
        <w:spacing w:line="360" w:lineRule="auto"/>
        <w:ind w:firstLine="420" w:firstLineChars="200"/>
        <w:rPr>
          <w:rFonts w:ascii="宋体"/>
          <w:color w:val="auto"/>
          <w:highlight w:val="none"/>
          <w:u w:val="single"/>
        </w:rPr>
      </w:pPr>
      <w:r>
        <w:rPr>
          <w:rFonts w:hint="eastAsia" w:ascii="宋体" w:hAnsi="宋体"/>
          <w:color w:val="auto"/>
          <w:highlight w:val="none"/>
        </w:rPr>
        <w:t>工程立项批准文号：</w:t>
      </w:r>
      <w:r>
        <w:rPr>
          <w:rFonts w:ascii="宋体" w:hAnsi="宋体"/>
          <w:color w:val="auto"/>
          <w:highlight w:val="none"/>
          <w:u w:val="single"/>
        </w:rPr>
        <w:t xml:space="preserve">                        </w:t>
      </w:r>
      <w:r>
        <w:rPr>
          <w:rFonts w:hint="eastAsia" w:ascii="宋体" w:hAnsi="宋体"/>
          <w:color w:val="auto"/>
          <w:highlight w:val="none"/>
          <w:u w:val="single"/>
          <w:lang w:val="en-US" w:eastAsia="zh-CN"/>
        </w:rPr>
        <w:t>/</w:t>
      </w:r>
      <w:r>
        <w:rPr>
          <w:rFonts w:ascii="宋体" w:hAnsi="宋体"/>
          <w:color w:val="auto"/>
          <w:highlight w:val="none"/>
          <w:u w:val="single"/>
        </w:rPr>
        <w:t xml:space="preserve">                                 </w:t>
      </w:r>
    </w:p>
    <w:p w14:paraId="13084C52">
      <w:pPr>
        <w:spacing w:line="360" w:lineRule="auto"/>
        <w:ind w:firstLine="420" w:firstLineChars="200"/>
        <w:rPr>
          <w:rFonts w:ascii="宋体"/>
          <w:color w:val="auto"/>
          <w:highlight w:val="none"/>
          <w:u w:val="single"/>
        </w:rPr>
      </w:pPr>
      <w:r>
        <w:rPr>
          <w:rFonts w:hint="eastAsia" w:ascii="宋体" w:hAnsi="宋体"/>
          <w:color w:val="auto"/>
          <w:highlight w:val="none"/>
        </w:rPr>
        <w:t>资金来源：</w:t>
      </w:r>
      <w:r>
        <w:rPr>
          <w:rFonts w:ascii="宋体" w:hAnsi="宋体"/>
          <w:color w:val="auto"/>
          <w:highlight w:val="none"/>
          <w:u w:val="single"/>
        </w:rPr>
        <w:t xml:space="preserve">     </w:t>
      </w:r>
      <w:r>
        <w:rPr>
          <w:rFonts w:hint="eastAsia" w:ascii="宋体" w:hAnsi="宋体" w:eastAsia="宋体" w:cs="宋体"/>
          <w:sz w:val="24"/>
          <w:highlight w:val="none"/>
          <w:u w:val="single"/>
        </w:rPr>
        <w:t>财政资金</w:t>
      </w:r>
      <w:r>
        <w:rPr>
          <w:rFonts w:ascii="宋体" w:hAnsi="宋体"/>
          <w:color w:val="auto"/>
          <w:highlight w:val="none"/>
          <w:u w:val="single"/>
        </w:rPr>
        <w:t xml:space="preserve">     </w:t>
      </w:r>
    </w:p>
    <w:p w14:paraId="184B16B6">
      <w:pPr>
        <w:spacing w:line="360" w:lineRule="auto"/>
        <w:ind w:firstLine="420" w:firstLineChars="200"/>
        <w:rPr>
          <w:rFonts w:ascii="宋体"/>
          <w:color w:val="auto"/>
          <w:highlight w:val="none"/>
        </w:rPr>
      </w:pPr>
      <w:bookmarkStart w:id="664" w:name="_Toc479505735"/>
      <w:bookmarkStart w:id="665" w:name="_Toc480303462"/>
      <w:bookmarkStart w:id="666" w:name="_Toc477964591"/>
      <w:r>
        <w:rPr>
          <w:rFonts w:hint="eastAsia" w:ascii="宋体" w:hAnsi="宋体"/>
          <w:color w:val="auto"/>
          <w:highlight w:val="none"/>
        </w:rPr>
        <w:t>二、工程承包范围</w:t>
      </w:r>
      <w:bookmarkEnd w:id="664"/>
      <w:bookmarkEnd w:id="665"/>
      <w:bookmarkEnd w:id="666"/>
    </w:p>
    <w:p w14:paraId="65B2AEE3">
      <w:pPr>
        <w:spacing w:line="360" w:lineRule="auto"/>
        <w:ind w:firstLine="420" w:firstLineChars="200"/>
        <w:rPr>
          <w:rFonts w:hint="default" w:ascii="宋体" w:eastAsia="宋体"/>
          <w:b/>
          <w:color w:val="auto"/>
          <w:highlight w:val="none"/>
          <w:u w:val="single"/>
          <w:lang w:val="en-US" w:eastAsia="zh-CN"/>
        </w:rPr>
      </w:pPr>
      <w:r>
        <w:rPr>
          <w:rFonts w:hint="eastAsia" w:ascii="宋体" w:hAnsi="宋体"/>
          <w:color w:val="auto"/>
          <w:highlight w:val="none"/>
        </w:rPr>
        <w:t>承包范围：</w:t>
      </w:r>
      <w:r>
        <w:rPr>
          <w:rFonts w:hint="eastAsia" w:ascii="宋体" w:hAnsi="宋体" w:cs="宋体"/>
          <w:szCs w:val="21"/>
          <w:highlight w:val="none"/>
          <w:lang w:val="en-US" w:eastAsia="zh-CN" w:bidi="ar"/>
        </w:rPr>
        <w:t xml:space="preserve">                                                                 </w:t>
      </w:r>
    </w:p>
    <w:p w14:paraId="2D62AED3">
      <w:pPr>
        <w:spacing w:line="360" w:lineRule="auto"/>
        <w:ind w:firstLine="0" w:firstLineChars="0"/>
        <w:rPr>
          <w:rFonts w:ascii="宋体"/>
          <w:color w:val="auto"/>
          <w:highlight w:val="none"/>
        </w:rPr>
      </w:pPr>
      <w:bookmarkStart w:id="667" w:name="_Toc479505736"/>
      <w:bookmarkStart w:id="668" w:name="_Toc480303463"/>
      <w:bookmarkStart w:id="669" w:name="_Toc477964592"/>
      <w:r>
        <w:rPr>
          <w:rFonts w:hint="eastAsia" w:ascii="宋体" w:hAnsi="宋体"/>
          <w:color w:val="auto"/>
          <w:highlight w:val="none"/>
        </w:rPr>
        <w:t>三、合同工期</w:t>
      </w:r>
      <w:bookmarkEnd w:id="667"/>
      <w:bookmarkEnd w:id="668"/>
      <w:bookmarkEnd w:id="669"/>
    </w:p>
    <w:p w14:paraId="2A6D15B4">
      <w:pPr>
        <w:spacing w:line="360" w:lineRule="auto"/>
        <w:ind w:firstLine="420" w:firstLineChars="200"/>
        <w:rPr>
          <w:rFonts w:ascii="宋体"/>
          <w:color w:val="auto"/>
          <w:highlight w:val="none"/>
          <w:u w:val="single"/>
        </w:rPr>
      </w:pPr>
      <w:r>
        <w:rPr>
          <w:rFonts w:hint="eastAsia" w:ascii="宋体" w:hAnsi="宋体"/>
          <w:color w:val="auto"/>
          <w:highlight w:val="none"/>
        </w:rPr>
        <w:t>计划开工日期：</w:t>
      </w:r>
      <w:r>
        <w:rPr>
          <w:rFonts w:hint="eastAsia" w:ascii="宋体" w:hAnsi="宋体"/>
          <w:color w:val="auto"/>
          <w:highlight w:val="none"/>
          <w:u w:val="single"/>
          <w:lang w:val="en-US" w:eastAsia="zh-CN"/>
        </w:rPr>
        <w:t xml:space="preserve">     年</w:t>
      </w:r>
      <w:r>
        <w:rPr>
          <w:rFonts w:ascii="宋体" w:hAnsi="宋体"/>
          <w:color w:val="auto"/>
          <w:highlight w:val="none"/>
          <w:u w:val="single"/>
        </w:rPr>
        <w:t xml:space="preserve"> </w:t>
      </w:r>
      <w:r>
        <w:rPr>
          <w:rFonts w:hint="eastAsia" w:ascii="宋体" w:hAnsi="宋体"/>
          <w:color w:val="auto"/>
          <w:highlight w:val="none"/>
        </w:rPr>
        <w:t>年</w:t>
      </w:r>
      <w:r>
        <w:rPr>
          <w:rFonts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hint="eastAsia" w:ascii="宋体" w:hAnsi="宋体"/>
          <w:color w:val="auto"/>
          <w:highlight w:val="none"/>
        </w:rPr>
        <w:t>月</w:t>
      </w:r>
      <w:r>
        <w:rPr>
          <w:rFonts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ascii="宋体" w:hAnsi="宋体"/>
          <w:color w:val="auto"/>
          <w:highlight w:val="none"/>
          <w:u w:val="single"/>
        </w:rPr>
        <w:t xml:space="preserve"> </w:t>
      </w:r>
      <w:r>
        <w:rPr>
          <w:rFonts w:hint="eastAsia" w:ascii="宋体" w:hAnsi="宋体"/>
          <w:color w:val="auto"/>
          <w:highlight w:val="none"/>
        </w:rPr>
        <w:t>日</w:t>
      </w:r>
    </w:p>
    <w:p w14:paraId="0CBF1DD5">
      <w:pPr>
        <w:spacing w:line="360" w:lineRule="auto"/>
        <w:ind w:firstLine="420" w:firstLineChars="200"/>
        <w:rPr>
          <w:rFonts w:ascii="宋体"/>
          <w:color w:val="auto"/>
          <w:highlight w:val="none"/>
          <w:u w:val="single"/>
        </w:rPr>
      </w:pPr>
      <w:r>
        <w:rPr>
          <w:rFonts w:hint="eastAsia" w:ascii="宋体" w:hAnsi="宋体"/>
          <w:color w:val="auto"/>
          <w:highlight w:val="none"/>
        </w:rPr>
        <w:t>计划竣工日期：</w:t>
      </w:r>
      <w:r>
        <w:rPr>
          <w:rFonts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ascii="宋体" w:hAnsi="宋体"/>
          <w:color w:val="auto"/>
          <w:highlight w:val="none"/>
          <w:u w:val="single"/>
        </w:rPr>
        <w:t xml:space="preserve"> </w:t>
      </w:r>
      <w:r>
        <w:rPr>
          <w:rFonts w:hint="eastAsia" w:ascii="宋体" w:hAnsi="宋体"/>
          <w:color w:val="auto"/>
          <w:highlight w:val="none"/>
        </w:rPr>
        <w:t>年</w:t>
      </w:r>
      <w:r>
        <w:rPr>
          <w:rFonts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ascii="宋体" w:hAnsi="宋体"/>
          <w:color w:val="auto"/>
          <w:highlight w:val="none"/>
          <w:u w:val="single"/>
        </w:rPr>
        <w:t xml:space="preserve"> </w:t>
      </w:r>
      <w:r>
        <w:rPr>
          <w:rFonts w:hint="eastAsia" w:ascii="宋体" w:hAnsi="宋体"/>
          <w:color w:val="auto"/>
          <w:highlight w:val="none"/>
        </w:rPr>
        <w:t>月</w:t>
      </w:r>
      <w:r>
        <w:rPr>
          <w:rFonts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hint="eastAsia" w:ascii="宋体" w:hAnsi="宋体"/>
          <w:color w:val="auto"/>
          <w:highlight w:val="none"/>
        </w:rPr>
        <w:t>日</w:t>
      </w:r>
    </w:p>
    <w:p w14:paraId="4C6B299F">
      <w:pPr>
        <w:spacing w:line="360" w:lineRule="auto"/>
        <w:ind w:firstLine="420" w:firstLineChars="200"/>
        <w:rPr>
          <w:rFonts w:ascii="宋体"/>
          <w:color w:val="auto"/>
          <w:highlight w:val="none"/>
        </w:rPr>
      </w:pPr>
      <w:r>
        <w:rPr>
          <w:rFonts w:hint="eastAsia" w:ascii="宋体" w:hAnsi="宋体"/>
          <w:color w:val="auto"/>
          <w:highlight w:val="none"/>
        </w:rPr>
        <w:t>工期总日历天数</w:t>
      </w:r>
      <w:r>
        <w:rPr>
          <w:rFonts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ascii="宋体" w:hAnsi="宋体"/>
          <w:color w:val="auto"/>
          <w:highlight w:val="none"/>
          <w:u w:val="single"/>
        </w:rPr>
        <w:t xml:space="preserve"> </w:t>
      </w:r>
      <w:r>
        <w:rPr>
          <w:rFonts w:hint="eastAsia" w:ascii="宋体" w:hAnsi="宋体"/>
          <w:color w:val="auto"/>
          <w:highlight w:val="none"/>
        </w:rPr>
        <w:t>天，自监理人发出的开工通知中载明的开工日期起算。</w:t>
      </w:r>
    </w:p>
    <w:p w14:paraId="312AD09B">
      <w:pPr>
        <w:spacing w:line="360" w:lineRule="auto"/>
        <w:ind w:firstLine="420" w:firstLineChars="200"/>
        <w:rPr>
          <w:rFonts w:ascii="宋体"/>
          <w:color w:val="auto"/>
          <w:highlight w:val="none"/>
        </w:rPr>
      </w:pPr>
      <w:bookmarkStart w:id="670" w:name="_Toc479505737"/>
      <w:bookmarkStart w:id="671" w:name="_Toc480303464"/>
      <w:bookmarkStart w:id="672" w:name="_Toc477964593"/>
      <w:r>
        <w:rPr>
          <w:rFonts w:hint="eastAsia" w:ascii="宋体" w:hAnsi="宋体"/>
          <w:color w:val="auto"/>
          <w:highlight w:val="none"/>
        </w:rPr>
        <w:t>四、质量标准</w:t>
      </w:r>
      <w:bookmarkEnd w:id="670"/>
      <w:bookmarkEnd w:id="671"/>
      <w:bookmarkEnd w:id="672"/>
    </w:p>
    <w:p w14:paraId="1122C1B7">
      <w:pPr>
        <w:spacing w:line="360" w:lineRule="auto"/>
        <w:ind w:firstLine="420" w:firstLineChars="200"/>
        <w:rPr>
          <w:rFonts w:ascii="宋体"/>
          <w:color w:val="auto"/>
          <w:highlight w:val="none"/>
          <w:u w:val="single"/>
        </w:rPr>
      </w:pPr>
      <w:r>
        <w:rPr>
          <w:rFonts w:hint="eastAsia" w:ascii="宋体" w:hAnsi="宋体"/>
          <w:color w:val="auto"/>
          <w:highlight w:val="none"/>
        </w:rPr>
        <w:t>工程质量标准：</w:t>
      </w:r>
      <w:r>
        <w:rPr>
          <w:rFonts w:ascii="宋体" w:hAnsi="宋体"/>
          <w:color w:val="auto"/>
          <w:highlight w:val="none"/>
          <w:u w:val="single"/>
        </w:rPr>
        <w:t xml:space="preserve">          </w:t>
      </w:r>
      <w:r>
        <w:rPr>
          <w:rFonts w:hint="eastAsia" w:ascii="宋体" w:hAnsi="宋体"/>
          <w:color w:val="auto"/>
          <w:highlight w:val="none"/>
          <w:u w:val="single"/>
          <w:lang w:eastAsia="zh-CN"/>
        </w:rPr>
        <w:t>合格</w:t>
      </w:r>
      <w:r>
        <w:rPr>
          <w:rFonts w:ascii="宋体" w:hAnsi="宋体"/>
          <w:color w:val="auto"/>
          <w:highlight w:val="none"/>
          <w:u w:val="single"/>
        </w:rPr>
        <w:t xml:space="preserve">          </w:t>
      </w:r>
    </w:p>
    <w:p w14:paraId="17C4DBFD">
      <w:pPr>
        <w:spacing w:line="360" w:lineRule="auto"/>
        <w:ind w:firstLine="420" w:firstLineChars="200"/>
        <w:rPr>
          <w:rFonts w:ascii="宋体"/>
          <w:color w:val="auto"/>
          <w:highlight w:val="none"/>
        </w:rPr>
      </w:pPr>
      <w:bookmarkStart w:id="673" w:name="_Hlk8723675"/>
      <w:r>
        <w:rPr>
          <w:rFonts w:hint="eastAsia" w:ascii="宋体" w:hAnsi="宋体"/>
          <w:color w:val="auto"/>
          <w:highlight w:val="none"/>
        </w:rPr>
        <w:t>五、施工现场安全生产标准化管理目标等级要求</w:t>
      </w:r>
    </w:p>
    <w:p w14:paraId="3DD40F4C">
      <w:pPr>
        <w:spacing w:line="360" w:lineRule="auto"/>
        <w:ind w:firstLine="420" w:firstLineChars="200"/>
        <w:rPr>
          <w:rFonts w:ascii="宋体"/>
          <w:color w:val="auto"/>
          <w:highlight w:val="none"/>
          <w:u w:val="single"/>
        </w:rPr>
      </w:pPr>
      <w:r>
        <w:rPr>
          <w:rFonts w:hint="eastAsia" w:ascii="宋体" w:hAnsi="宋体"/>
          <w:color w:val="auto"/>
          <w:highlight w:val="none"/>
        </w:rPr>
        <w:t>施工现场安全生产标准化管理目标等级：</w:t>
      </w:r>
      <w:r>
        <w:rPr>
          <w:rFonts w:ascii="宋体" w:hAnsi="宋体"/>
          <w:color w:val="auto"/>
          <w:highlight w:val="none"/>
          <w:u w:val="single"/>
        </w:rPr>
        <w:t xml:space="preserve">          </w:t>
      </w:r>
      <w:r>
        <w:rPr>
          <w:rFonts w:hint="eastAsia" w:ascii="宋体" w:hAnsi="宋体"/>
          <w:color w:val="auto"/>
          <w:highlight w:val="none"/>
          <w:u w:val="single"/>
          <w:lang w:eastAsia="zh-CN"/>
        </w:rPr>
        <w:t>达标</w:t>
      </w:r>
      <w:r>
        <w:rPr>
          <w:rFonts w:ascii="宋体" w:hAnsi="宋体"/>
          <w:color w:val="auto"/>
          <w:highlight w:val="none"/>
          <w:u w:val="single"/>
        </w:rPr>
        <w:t xml:space="preserve">         </w:t>
      </w:r>
    </w:p>
    <w:bookmarkEnd w:id="673"/>
    <w:p w14:paraId="7D54CF2D">
      <w:pPr>
        <w:spacing w:line="360" w:lineRule="auto"/>
        <w:ind w:firstLine="420" w:firstLineChars="200"/>
        <w:rPr>
          <w:rFonts w:ascii="宋体"/>
          <w:color w:val="auto"/>
          <w:highlight w:val="none"/>
        </w:rPr>
      </w:pPr>
      <w:bookmarkStart w:id="674" w:name="_Toc480303465"/>
      <w:bookmarkStart w:id="675" w:name="_Toc477964594"/>
      <w:bookmarkStart w:id="676" w:name="_Toc479505738"/>
      <w:r>
        <w:rPr>
          <w:rFonts w:hint="eastAsia" w:ascii="宋体" w:hAnsi="宋体"/>
          <w:color w:val="auto"/>
          <w:highlight w:val="none"/>
        </w:rPr>
        <w:t>六、合同形式</w:t>
      </w:r>
      <w:bookmarkEnd w:id="674"/>
      <w:bookmarkEnd w:id="675"/>
      <w:bookmarkEnd w:id="676"/>
    </w:p>
    <w:p w14:paraId="53295176">
      <w:pPr>
        <w:spacing w:line="360" w:lineRule="auto"/>
        <w:ind w:firstLine="420" w:firstLineChars="200"/>
        <w:rPr>
          <w:rFonts w:ascii="宋体"/>
          <w:b/>
          <w:color w:val="FF0000"/>
          <w:highlight w:val="none"/>
          <w:u w:val="single"/>
        </w:rPr>
      </w:pPr>
      <w:r>
        <w:rPr>
          <w:rFonts w:hint="eastAsia" w:ascii="宋体" w:hAnsi="宋体"/>
          <w:color w:val="auto"/>
          <w:highlight w:val="none"/>
        </w:rPr>
        <w:t>本合同采用</w:t>
      </w:r>
      <w:r>
        <w:rPr>
          <w:rFonts w:ascii="宋体" w:hAnsi="宋体"/>
          <w:color w:val="auto"/>
          <w:highlight w:val="none"/>
        </w:rPr>
        <w:t xml:space="preserve"> </w:t>
      </w:r>
      <w:r>
        <w:rPr>
          <w:rFonts w:ascii="宋体" w:hAnsi="宋体"/>
          <w:color w:val="auto"/>
          <w:highlight w:val="none"/>
          <w:u w:val="single"/>
        </w:rPr>
        <w:t xml:space="preserve">           </w:t>
      </w:r>
      <w:r>
        <w:rPr>
          <w:rFonts w:hint="eastAsia" w:ascii="宋体" w:hAnsi="宋体" w:eastAsia="宋体" w:cs="Times New Roman"/>
          <w:color w:val="auto"/>
          <w:sz w:val="21"/>
          <w:highlight w:val="none"/>
          <w:u w:val="none"/>
        </w:rPr>
        <w:t>单价合同</w:t>
      </w:r>
      <w:r>
        <w:rPr>
          <w:rFonts w:hint="eastAsia" w:ascii="宋体" w:hAnsi="宋体"/>
          <w:color w:val="auto"/>
          <w:highlight w:val="none"/>
          <w:u w:val="none"/>
        </w:rPr>
        <w:t xml:space="preserve">  </w:t>
      </w:r>
      <w:r>
        <w:rPr>
          <w:rFonts w:ascii="宋体" w:hAnsi="宋体"/>
          <w:color w:val="auto"/>
          <w:highlight w:val="none"/>
          <w:u w:val="single"/>
        </w:rPr>
        <w:t xml:space="preserve">         </w:t>
      </w:r>
      <w:r>
        <w:rPr>
          <w:rFonts w:hint="eastAsia" w:ascii="宋体" w:hAnsi="宋体"/>
          <w:color w:val="auto"/>
          <w:highlight w:val="none"/>
        </w:rPr>
        <w:t>合同</w:t>
      </w:r>
      <w:r>
        <w:rPr>
          <w:rFonts w:hint="eastAsia" w:ascii="宋体" w:hAnsi="宋体"/>
          <w:color w:val="000000" w:themeColor="text1"/>
          <w:highlight w:val="none"/>
          <w14:textFill>
            <w14:solidFill>
              <w14:schemeClr w14:val="tx1"/>
            </w14:solidFill>
          </w14:textFill>
        </w:rPr>
        <w:t>形式。</w:t>
      </w:r>
    </w:p>
    <w:p w14:paraId="438F6909">
      <w:pPr>
        <w:spacing w:line="360" w:lineRule="auto"/>
        <w:ind w:firstLine="420" w:firstLineChars="200"/>
        <w:rPr>
          <w:rFonts w:ascii="宋体"/>
          <w:bCs/>
          <w:color w:val="auto"/>
          <w:highlight w:val="none"/>
        </w:rPr>
      </w:pPr>
      <w:bookmarkStart w:id="677" w:name="_Toc480303466"/>
      <w:bookmarkStart w:id="678" w:name="_Toc479505739"/>
      <w:bookmarkStart w:id="679" w:name="_Toc477964595"/>
      <w:r>
        <w:rPr>
          <w:rFonts w:hint="eastAsia" w:ascii="宋体" w:hAnsi="宋体"/>
          <w:bCs/>
          <w:color w:val="auto"/>
          <w:highlight w:val="none"/>
        </w:rPr>
        <w:t>七、签约合同价</w:t>
      </w:r>
      <w:bookmarkEnd w:id="677"/>
      <w:bookmarkEnd w:id="678"/>
      <w:bookmarkEnd w:id="679"/>
    </w:p>
    <w:p w14:paraId="5FC0208B">
      <w:pPr>
        <w:spacing w:line="360" w:lineRule="auto"/>
        <w:ind w:firstLine="420" w:firstLineChars="200"/>
        <w:rPr>
          <w:rFonts w:ascii="宋体"/>
          <w:color w:val="auto"/>
          <w:highlight w:val="none"/>
        </w:rPr>
      </w:pPr>
      <w:r>
        <w:rPr>
          <w:rFonts w:hint="eastAsia" w:ascii="宋体" w:hAnsi="宋体"/>
          <w:color w:val="auto"/>
          <w:highlight w:val="none"/>
        </w:rPr>
        <w:t>金额（大写）：</w:t>
      </w:r>
      <w:r>
        <w:rPr>
          <w:rFonts w:ascii="宋体" w:hAnsi="宋体"/>
          <w:color w:val="auto"/>
          <w:highlight w:val="none"/>
          <w:u w:val="single"/>
        </w:rPr>
        <w:t xml:space="preserve">  </w:t>
      </w:r>
      <w:r>
        <w:rPr>
          <w:rFonts w:hint="eastAsia" w:ascii="宋体" w:hAnsi="宋体" w:cs="Arial"/>
          <w:szCs w:val="21"/>
          <w:highlight w:val="none"/>
          <w:u w:val="single"/>
          <w:lang w:val="en-US" w:eastAsia="zh-CN"/>
        </w:rPr>
        <w:t xml:space="preserve">     </w:t>
      </w:r>
      <w:r>
        <w:rPr>
          <w:rFonts w:hint="eastAsia" w:ascii="宋体" w:hAnsi="宋体" w:cs="Arial"/>
          <w:color w:val="000000"/>
          <w:szCs w:val="21"/>
          <w:highlight w:val="none"/>
          <w:u w:val="single"/>
          <w:lang w:val="en-US" w:eastAsia="zh-CN"/>
        </w:rPr>
        <w:t xml:space="preserve">    </w:t>
      </w:r>
      <w:r>
        <w:rPr>
          <w:rFonts w:hint="eastAsia" w:ascii="宋体" w:hAnsi="宋体" w:cs="Arial"/>
          <w:szCs w:val="21"/>
          <w:highlight w:val="none"/>
          <w:u w:val="single"/>
          <w:lang w:val="en-US" w:eastAsia="zh-CN"/>
        </w:rPr>
        <w:t xml:space="preserve">          </w:t>
      </w:r>
      <w:r>
        <w:rPr>
          <w:rFonts w:ascii="宋体" w:hAnsi="宋体"/>
          <w:color w:val="auto"/>
          <w:highlight w:val="none"/>
          <w:u w:val="single"/>
        </w:rPr>
        <w:t xml:space="preserve"> </w:t>
      </w:r>
      <w:r>
        <w:rPr>
          <w:rFonts w:hint="eastAsia" w:ascii="宋体" w:hAnsi="宋体"/>
          <w:color w:val="auto"/>
          <w:highlight w:val="none"/>
        </w:rPr>
        <w:t>（人民币）</w:t>
      </w:r>
    </w:p>
    <w:p w14:paraId="78AAC868">
      <w:pPr>
        <w:spacing w:line="360" w:lineRule="auto"/>
        <w:ind w:firstLine="420" w:firstLineChars="200"/>
        <w:rPr>
          <w:rFonts w:hint="default" w:ascii="宋体" w:eastAsia="宋体"/>
          <w:color w:val="auto"/>
          <w:highlight w:val="none"/>
          <w:lang w:val="en-US" w:eastAsia="zh-CN"/>
        </w:rPr>
      </w:pPr>
      <w:r>
        <w:rPr>
          <w:rFonts w:hint="eastAsia" w:ascii="宋体" w:hAnsi="宋体"/>
          <w:color w:val="auto"/>
          <w:highlight w:val="none"/>
        </w:rPr>
        <w:t>（小写）￥：</w:t>
      </w:r>
      <w:r>
        <w:rPr>
          <w:rFonts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ascii="宋体" w:hAnsi="宋体"/>
          <w:color w:val="auto"/>
          <w:highlight w:val="none"/>
          <w:u w:val="single"/>
        </w:rPr>
        <w:t xml:space="preserve"> </w:t>
      </w:r>
      <w:r>
        <w:rPr>
          <w:rFonts w:hint="eastAsia" w:ascii="宋体" w:hAnsi="宋体"/>
          <w:color w:val="auto"/>
          <w:highlight w:val="none"/>
        </w:rPr>
        <w:t>元</w:t>
      </w:r>
      <w:r>
        <w:rPr>
          <w:rFonts w:hint="eastAsia" w:ascii="宋体" w:hAnsi="宋体"/>
          <w:color w:val="auto"/>
          <w:highlight w:val="none"/>
          <w:lang w:eastAsia="zh-CN"/>
        </w:rPr>
        <w:t>，</w:t>
      </w:r>
      <w:r>
        <w:rPr>
          <w:rFonts w:hint="eastAsia" w:ascii="宋体" w:hAnsi="宋体"/>
          <w:color w:val="auto"/>
          <w:highlight w:val="none"/>
          <w:lang w:val="en-US" w:eastAsia="zh-CN"/>
        </w:rPr>
        <w:t>最终合同金额以财政审计部门的最终审计结果为准。</w:t>
      </w:r>
    </w:p>
    <w:p w14:paraId="7ECD563D">
      <w:pPr>
        <w:wordWrap w:val="0"/>
        <w:spacing w:line="360" w:lineRule="auto"/>
        <w:ind w:left="1260" w:leftChars="300" w:hanging="630" w:hangingChars="300"/>
        <w:rPr>
          <w:rFonts w:hint="eastAsia" w:ascii="宋体" w:hAnsi="宋体"/>
          <w:color w:val="auto"/>
          <w:highlight w:val="none"/>
        </w:rPr>
      </w:pPr>
      <w:bookmarkStart w:id="680" w:name="_Hlk8723700"/>
      <w:r>
        <w:rPr>
          <w:rFonts w:hint="eastAsia" w:ascii="宋体" w:hAnsi="宋体"/>
          <w:color w:val="auto"/>
          <w:highlight w:val="none"/>
        </w:rPr>
        <w:t>其中：安全文明施工费</w:t>
      </w:r>
      <w:bookmarkStart w:id="681" w:name="_Hlk8292053"/>
      <w:r>
        <w:rPr>
          <w:rFonts w:hint="eastAsia" w:ascii="宋体" w:hAnsi="宋体"/>
          <w:color w:val="auto"/>
          <w:highlight w:val="none"/>
        </w:rPr>
        <w:t>（含税）：</w:t>
      </w:r>
      <w:r>
        <w:rPr>
          <w:rFonts w:ascii="宋体" w:hAnsi="宋体"/>
          <w:color w:val="auto"/>
          <w:highlight w:val="none"/>
          <w:u w:val="single"/>
        </w:rPr>
        <w:t xml:space="preserve">   </w:t>
      </w:r>
      <w:r>
        <w:rPr>
          <w:rFonts w:hint="eastAsia" w:ascii="宋体" w:hAnsi="宋体" w:cs="Arial"/>
          <w:szCs w:val="21"/>
          <w:highlight w:val="none"/>
          <w:u w:val="single"/>
          <w:lang w:val="en-US" w:eastAsia="zh-CN"/>
        </w:rPr>
        <w:t xml:space="preserve">             </w:t>
      </w:r>
      <w:r>
        <w:rPr>
          <w:rFonts w:ascii="宋体" w:hAnsi="宋体"/>
          <w:color w:val="auto"/>
          <w:highlight w:val="none"/>
          <w:u w:val="single"/>
        </w:rPr>
        <w:t xml:space="preserve">   </w:t>
      </w:r>
      <w:r>
        <w:rPr>
          <w:rFonts w:hint="eastAsia" w:ascii="宋体" w:hAnsi="宋体"/>
          <w:color w:val="auto"/>
          <w:highlight w:val="none"/>
        </w:rPr>
        <w:t>元</w:t>
      </w:r>
      <w:bookmarkEnd w:id="680"/>
      <w:bookmarkEnd w:id="681"/>
    </w:p>
    <w:p w14:paraId="63F9E46F">
      <w:pPr>
        <w:wordWrap w:val="0"/>
        <w:spacing w:line="360" w:lineRule="auto"/>
        <w:ind w:left="1260" w:leftChars="300" w:hanging="630" w:hangingChars="300"/>
        <w:rPr>
          <w:rFonts w:hint="eastAsia" w:ascii="宋体" w:hAnsi="宋体"/>
          <w:color w:val="auto"/>
          <w:highlight w:val="none"/>
        </w:rPr>
      </w:pPr>
      <w:r>
        <w:rPr>
          <w:rFonts w:hint="eastAsia" w:ascii="宋体" w:hAnsi="宋体"/>
          <w:color w:val="auto"/>
          <w:highlight w:val="none"/>
        </w:rPr>
        <w:t>建筑垃圾运输处置费（含税）：</w:t>
      </w:r>
      <w:r>
        <w:rPr>
          <w:rFonts w:ascii="宋体" w:hAnsi="宋体"/>
          <w:color w:val="auto"/>
          <w:highlight w:val="none"/>
          <w:u w:val="single"/>
        </w:rPr>
        <w:t xml:space="preserve">     </w:t>
      </w:r>
      <w:r>
        <w:rPr>
          <w:rFonts w:hint="eastAsia" w:ascii="宋体" w:hAnsi="宋体" w:cs="Arial"/>
          <w:szCs w:val="21"/>
          <w:highlight w:val="none"/>
          <w:u w:val="single"/>
          <w:lang w:val="en-US" w:eastAsia="zh-CN"/>
        </w:rPr>
        <w:t xml:space="preserve">                </w:t>
      </w:r>
      <w:r>
        <w:rPr>
          <w:rFonts w:ascii="宋体" w:hAnsi="宋体"/>
          <w:color w:val="auto"/>
          <w:highlight w:val="none"/>
          <w:u w:val="single"/>
        </w:rPr>
        <w:t xml:space="preserve">    </w:t>
      </w:r>
      <w:r>
        <w:rPr>
          <w:rFonts w:hint="eastAsia" w:ascii="宋体" w:hAnsi="宋体"/>
          <w:color w:val="auto"/>
          <w:highlight w:val="none"/>
        </w:rPr>
        <w:t>元</w:t>
      </w:r>
    </w:p>
    <w:p w14:paraId="59FDEFE7">
      <w:pPr>
        <w:pStyle w:val="30"/>
        <w:ind w:firstLine="630" w:firstLineChars="300"/>
        <w:rPr>
          <w:highlight w:val="none"/>
        </w:rPr>
      </w:pPr>
      <w:r>
        <w:rPr>
          <w:rFonts w:hint="eastAsia" w:ascii="宋体" w:hAnsi="宋体" w:eastAsia="宋体" w:cs="Times New Roman"/>
          <w:color w:val="auto"/>
          <w:kern w:val="2"/>
          <w:sz w:val="21"/>
          <w:szCs w:val="24"/>
          <w:highlight w:val="none"/>
        </w:rPr>
        <w:t>农民工工伤保险费</w:t>
      </w:r>
      <w:r>
        <w:rPr>
          <w:rFonts w:hint="eastAsia" w:ascii="宋体" w:hAnsi="宋体" w:cs="Times New Roman"/>
          <w:color w:val="auto"/>
          <w:kern w:val="2"/>
          <w:sz w:val="21"/>
          <w:szCs w:val="24"/>
          <w:highlight w:val="none"/>
        </w:rPr>
        <w:t>（含税）</w:t>
      </w:r>
      <w:r>
        <w:rPr>
          <w:rFonts w:hint="eastAsia" w:asciiTheme="minorEastAsia" w:hAnsiTheme="minorEastAsia" w:eastAsiaTheme="minorEastAsia" w:cstheme="minorEastAsia"/>
          <w:szCs w:val="21"/>
          <w:highlight w:val="none"/>
        </w:rPr>
        <w:t>：</w:t>
      </w:r>
      <w:r>
        <w:rPr>
          <w:rFonts w:hint="eastAsia" w:asciiTheme="minorEastAsia" w:hAnsiTheme="minorEastAsia" w:eastAsiaTheme="minorEastAsia" w:cstheme="minorEastAsia"/>
          <w:szCs w:val="21"/>
          <w:highlight w:val="none"/>
          <w:u w:val="single"/>
        </w:rPr>
        <w:t xml:space="preserve">         </w:t>
      </w:r>
      <w:r>
        <w:rPr>
          <w:rFonts w:hint="eastAsia" w:asciiTheme="minorEastAsia" w:hAnsiTheme="minorEastAsia" w:eastAsiaTheme="minorEastAsia" w:cstheme="minorEastAsia"/>
          <w:szCs w:val="21"/>
          <w:highlight w:val="none"/>
          <w:u w:val="single"/>
          <w:lang w:val="en-US" w:eastAsia="zh-CN"/>
        </w:rPr>
        <w:t xml:space="preserve"> </w:t>
      </w:r>
      <w:r>
        <w:rPr>
          <w:rFonts w:hint="eastAsia" w:ascii="宋体" w:hAnsi="宋体" w:cs="Arial"/>
          <w:kern w:val="2"/>
          <w:sz w:val="21"/>
          <w:szCs w:val="21"/>
          <w:highlight w:val="none"/>
          <w:u w:val="single"/>
          <w:lang w:val="en-US" w:eastAsia="zh-CN"/>
        </w:rPr>
        <w:t xml:space="preserve">  </w:t>
      </w:r>
      <w:r>
        <w:rPr>
          <w:rFonts w:hint="eastAsia" w:asciiTheme="minorEastAsia" w:hAnsiTheme="minorEastAsia" w:eastAsiaTheme="minorEastAsia" w:cstheme="minorEastAsia"/>
          <w:szCs w:val="21"/>
          <w:highlight w:val="none"/>
          <w:u w:val="single"/>
        </w:rPr>
        <w:t xml:space="preserve">         </w:t>
      </w:r>
      <w:r>
        <w:rPr>
          <w:rFonts w:hint="eastAsia" w:ascii="宋体" w:hAnsi="宋体" w:eastAsia="宋体" w:cs="Times New Roman"/>
          <w:color w:val="auto"/>
          <w:kern w:val="2"/>
          <w:sz w:val="21"/>
          <w:szCs w:val="24"/>
          <w:highlight w:val="none"/>
        </w:rPr>
        <w:t>元</w:t>
      </w:r>
    </w:p>
    <w:p w14:paraId="359422A4">
      <w:pPr>
        <w:spacing w:line="360" w:lineRule="auto"/>
        <w:ind w:firstLine="1260" w:firstLineChars="600"/>
        <w:rPr>
          <w:rFonts w:ascii="宋体"/>
          <w:color w:val="auto"/>
          <w:highlight w:val="none"/>
        </w:rPr>
      </w:pPr>
      <w:r>
        <w:rPr>
          <w:rFonts w:hint="eastAsia" w:ascii="宋体" w:hAnsi="宋体"/>
          <w:color w:val="auto"/>
          <w:highlight w:val="none"/>
        </w:rPr>
        <w:t>暂列金额（</w:t>
      </w:r>
      <w:r>
        <w:rPr>
          <w:rFonts w:hint="eastAsia" w:ascii="宋体" w:hAnsi="宋体" w:cs="Arial"/>
          <w:bCs/>
          <w:color w:val="auto"/>
          <w:szCs w:val="21"/>
          <w:highlight w:val="none"/>
        </w:rPr>
        <w:t>含税</w:t>
      </w:r>
      <w:r>
        <w:rPr>
          <w:rFonts w:hint="eastAsia" w:ascii="宋体" w:hAnsi="宋体"/>
          <w:color w:val="auto"/>
          <w:highlight w:val="none"/>
        </w:rPr>
        <w:t>）：</w:t>
      </w:r>
      <w:r>
        <w:rPr>
          <w:rFonts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ascii="宋体" w:hAnsi="宋体"/>
          <w:color w:val="auto"/>
          <w:highlight w:val="none"/>
          <w:u w:val="single"/>
        </w:rPr>
        <w:t xml:space="preserve">                </w:t>
      </w:r>
      <w:r>
        <w:rPr>
          <w:rFonts w:hint="eastAsia" w:ascii="宋体" w:hAnsi="宋体"/>
          <w:color w:val="auto"/>
          <w:highlight w:val="none"/>
        </w:rPr>
        <w:t>元</w:t>
      </w:r>
    </w:p>
    <w:p w14:paraId="3C9EDDF6">
      <w:pPr>
        <w:spacing w:line="360" w:lineRule="auto"/>
        <w:ind w:firstLine="1260" w:firstLineChars="600"/>
        <w:jc w:val="left"/>
        <w:rPr>
          <w:rFonts w:ascii="宋体"/>
          <w:color w:val="auto"/>
          <w:highlight w:val="none"/>
        </w:rPr>
      </w:pPr>
      <w:r>
        <w:rPr>
          <w:rFonts w:hint="eastAsia" w:ascii="宋体" w:hAnsi="宋体"/>
          <w:bCs/>
          <w:color w:val="auto"/>
          <w:highlight w:val="none"/>
        </w:rPr>
        <w:t>专业工程暂估价</w:t>
      </w:r>
      <w:r>
        <w:rPr>
          <w:rFonts w:hint="eastAsia" w:ascii="宋体" w:hAnsi="宋体"/>
          <w:color w:val="auto"/>
          <w:highlight w:val="none"/>
        </w:rPr>
        <w:t>（</w:t>
      </w:r>
      <w:r>
        <w:rPr>
          <w:rFonts w:hint="eastAsia" w:ascii="宋体" w:hAnsi="宋体" w:cs="Arial"/>
          <w:bCs/>
          <w:color w:val="auto"/>
          <w:szCs w:val="21"/>
          <w:highlight w:val="none"/>
        </w:rPr>
        <w:t>含税</w:t>
      </w:r>
      <w:r>
        <w:rPr>
          <w:rFonts w:hint="eastAsia" w:ascii="宋体" w:hAnsi="宋体"/>
          <w:color w:val="auto"/>
          <w:highlight w:val="none"/>
        </w:rPr>
        <w:t>）</w:t>
      </w:r>
      <w:r>
        <w:rPr>
          <w:rFonts w:hint="eastAsia" w:ascii="宋体" w:hAnsi="宋体"/>
          <w:bCs/>
          <w:color w:val="auto"/>
          <w:highlight w:val="none"/>
        </w:rPr>
        <w:t>：</w:t>
      </w:r>
      <w:r>
        <w:rPr>
          <w:rFonts w:ascii="宋体" w:hAnsi="宋体"/>
          <w:color w:val="auto"/>
          <w:highlight w:val="none"/>
          <w:u w:val="single"/>
        </w:rPr>
        <w:t xml:space="preserve">      </w:t>
      </w:r>
      <w:r>
        <w:rPr>
          <w:rFonts w:ascii="宋体" w:hAnsi="宋体"/>
          <w:color w:val="auto"/>
          <w:sz w:val="24"/>
          <w:highlight w:val="none"/>
          <w:u w:val="single"/>
        </w:rPr>
        <w:t xml:space="preserve"> </w:t>
      </w:r>
      <w:r>
        <w:rPr>
          <w:rFonts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ascii="宋体" w:hAnsi="宋体"/>
          <w:color w:val="auto"/>
          <w:highlight w:val="none"/>
          <w:u w:val="single"/>
        </w:rPr>
        <w:t xml:space="preserve">             </w:t>
      </w:r>
      <w:r>
        <w:rPr>
          <w:rFonts w:hint="eastAsia" w:ascii="宋体" w:hAnsi="宋体"/>
          <w:color w:val="auto"/>
          <w:highlight w:val="none"/>
        </w:rPr>
        <w:t>元</w:t>
      </w:r>
    </w:p>
    <w:p w14:paraId="139CCE39">
      <w:pPr>
        <w:spacing w:line="360" w:lineRule="auto"/>
        <w:ind w:firstLine="420" w:firstLineChars="200"/>
        <w:rPr>
          <w:rFonts w:ascii="宋体"/>
          <w:bCs/>
          <w:color w:val="auto"/>
          <w:highlight w:val="none"/>
        </w:rPr>
      </w:pPr>
      <w:bookmarkStart w:id="682" w:name="_Toc480303467"/>
      <w:bookmarkStart w:id="683" w:name="_Toc477964596"/>
      <w:bookmarkStart w:id="684" w:name="_Toc479505740"/>
      <w:r>
        <w:rPr>
          <w:rFonts w:hint="eastAsia" w:ascii="宋体" w:hAnsi="宋体"/>
          <w:bCs/>
          <w:color w:val="auto"/>
          <w:highlight w:val="none"/>
        </w:rPr>
        <w:t>八、承包人项目经理：</w:t>
      </w:r>
      <w:bookmarkEnd w:id="682"/>
      <w:bookmarkEnd w:id="683"/>
      <w:bookmarkEnd w:id="684"/>
    </w:p>
    <w:p w14:paraId="622A85D5">
      <w:pPr>
        <w:spacing w:line="360" w:lineRule="auto"/>
        <w:ind w:firstLine="420" w:firstLineChars="200"/>
        <w:rPr>
          <w:rFonts w:ascii="宋体"/>
          <w:color w:val="auto"/>
          <w:szCs w:val="21"/>
          <w:highlight w:val="none"/>
        </w:rPr>
      </w:pPr>
      <w:r>
        <w:rPr>
          <w:rFonts w:hint="eastAsia" w:ascii="宋体" w:hAnsi="宋体"/>
          <w:color w:val="auto"/>
          <w:szCs w:val="21"/>
          <w:highlight w:val="none"/>
        </w:rPr>
        <w:t>姓名：</w:t>
      </w:r>
      <w:r>
        <w:rPr>
          <w:rFonts w:ascii="宋体" w:hAnsi="宋体"/>
          <w:color w:val="auto"/>
          <w:szCs w:val="21"/>
          <w:highlight w:val="none"/>
          <w:u w:val="single"/>
        </w:rPr>
        <w:t xml:space="preserve">        </w:t>
      </w:r>
      <w:r>
        <w:rPr>
          <w:rFonts w:hint="eastAsia" w:asciiTheme="minorEastAsia" w:hAnsiTheme="minorEastAsia" w:eastAsiaTheme="minorEastAsia" w:cstheme="minorEastAsia"/>
          <w:szCs w:val="21"/>
          <w:highlight w:val="none"/>
          <w:u w:val="single"/>
          <w:lang w:val="en-US" w:eastAsia="zh-CN"/>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hint="eastAsia" w:ascii="宋体" w:hAnsi="宋体"/>
          <w:color w:val="auto"/>
          <w:szCs w:val="21"/>
          <w:highlight w:val="none"/>
        </w:rPr>
        <w:t>；</w:t>
      </w:r>
      <w:r>
        <w:rPr>
          <w:rFonts w:ascii="宋体" w:hAnsi="宋体"/>
          <w:color w:val="auto"/>
          <w:szCs w:val="21"/>
          <w:highlight w:val="none"/>
        </w:rPr>
        <w:t xml:space="preserve">      </w:t>
      </w:r>
      <w:r>
        <w:rPr>
          <w:rFonts w:hint="eastAsia" w:ascii="宋体" w:hAnsi="宋体"/>
          <w:color w:val="auto"/>
          <w:szCs w:val="21"/>
          <w:highlight w:val="none"/>
        </w:rPr>
        <w:t>职称：</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w:t>
      </w:r>
    </w:p>
    <w:p w14:paraId="7EFC4038">
      <w:pPr>
        <w:spacing w:line="360" w:lineRule="auto"/>
        <w:ind w:firstLine="420" w:firstLineChars="200"/>
        <w:rPr>
          <w:rFonts w:ascii="宋体"/>
          <w:color w:val="auto"/>
          <w:szCs w:val="21"/>
          <w:highlight w:val="none"/>
        </w:rPr>
      </w:pPr>
      <w:r>
        <w:rPr>
          <w:rFonts w:hint="eastAsia" w:ascii="宋体" w:hAnsi="宋体"/>
          <w:color w:val="auto"/>
          <w:szCs w:val="21"/>
          <w:highlight w:val="none"/>
        </w:rPr>
        <w:t>身份证号：</w:t>
      </w:r>
      <w:r>
        <w:rPr>
          <w:rFonts w:ascii="宋体" w:hAnsi="宋体"/>
          <w:color w:val="auto"/>
          <w:szCs w:val="21"/>
          <w:highlight w:val="none"/>
          <w:u w:val="single"/>
        </w:rPr>
        <w:t xml:space="preserve"> </w:t>
      </w:r>
      <w:r>
        <w:rPr>
          <w:rFonts w:hint="eastAsia" w:asciiTheme="minorEastAsia" w:hAnsiTheme="minorEastAsia" w:eastAsiaTheme="minorEastAsia" w:cstheme="minorEastAsia"/>
          <w:szCs w:val="21"/>
          <w:highlight w:val="none"/>
          <w:u w:val="single"/>
          <w:lang w:val="en-US" w:eastAsia="zh-CN"/>
        </w:rPr>
        <w:t xml:space="preserve">                  </w:t>
      </w:r>
      <w:r>
        <w:rPr>
          <w:rFonts w:hint="eastAsia" w:ascii="宋体" w:hAnsi="宋体"/>
          <w:color w:val="000000"/>
          <w:szCs w:val="21"/>
          <w:highlight w:val="none"/>
          <w:u w:val="single"/>
          <w:lang w:val="en-US" w:eastAsia="zh-CN"/>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建造师执业资格证书号：</w:t>
      </w:r>
      <w:r>
        <w:rPr>
          <w:rFonts w:ascii="宋体" w:hAnsi="宋体"/>
          <w:color w:val="auto"/>
          <w:szCs w:val="21"/>
          <w:highlight w:val="none"/>
          <w:u w:val="single"/>
        </w:rPr>
        <w:t xml:space="preserve"> </w:t>
      </w:r>
      <w:r>
        <w:rPr>
          <w:rFonts w:hint="eastAsia" w:ascii="宋体"/>
          <w:color w:val="000000"/>
          <w:szCs w:val="21"/>
          <w:highlight w:val="none"/>
          <w:u w:val="single"/>
          <w:lang w:val="en-US" w:eastAsia="zh-CN"/>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hint="eastAsia" w:ascii="宋体" w:hAnsi="宋体"/>
          <w:color w:val="auto"/>
          <w:szCs w:val="21"/>
          <w:highlight w:val="none"/>
        </w:rPr>
        <w:t>；</w:t>
      </w:r>
    </w:p>
    <w:p w14:paraId="52CC3617">
      <w:pPr>
        <w:spacing w:line="360" w:lineRule="auto"/>
        <w:ind w:firstLine="420" w:firstLineChars="200"/>
        <w:rPr>
          <w:rFonts w:ascii="宋体"/>
          <w:color w:val="auto"/>
          <w:szCs w:val="21"/>
          <w:highlight w:val="none"/>
        </w:rPr>
      </w:pPr>
      <w:r>
        <w:rPr>
          <w:rFonts w:hint="eastAsia" w:ascii="宋体" w:hAnsi="宋体"/>
          <w:color w:val="auto"/>
          <w:szCs w:val="21"/>
          <w:highlight w:val="none"/>
        </w:rPr>
        <w:t>建造师注册证书号：</w:t>
      </w:r>
      <w:r>
        <w:rPr>
          <w:rFonts w:ascii="宋体" w:hAnsi="宋体"/>
          <w:color w:val="auto"/>
          <w:szCs w:val="21"/>
          <w:highlight w:val="none"/>
          <w:u w:val="single"/>
        </w:rPr>
        <w:t xml:space="preserve">  </w:t>
      </w:r>
      <w:r>
        <w:rPr>
          <w:rFonts w:hint="eastAsia" w:asciiTheme="minorEastAsia" w:hAnsiTheme="minorEastAsia" w:eastAsiaTheme="minorEastAsia" w:cstheme="minorEastAsia"/>
          <w:szCs w:val="21"/>
          <w:highlight w:val="none"/>
          <w:u w:val="single"/>
        </w:rPr>
        <w:t xml:space="preserve"> </w:t>
      </w:r>
      <w:r>
        <w:rPr>
          <w:rFonts w:hint="eastAsia" w:ascii="宋体"/>
          <w:color w:val="000000"/>
          <w:szCs w:val="21"/>
          <w:highlight w:val="none"/>
          <w:u w:val="single"/>
          <w:lang w:val="en-US" w:eastAsia="zh-CN"/>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w:t>
      </w:r>
    </w:p>
    <w:p w14:paraId="639DFF6F">
      <w:pPr>
        <w:spacing w:line="360" w:lineRule="auto"/>
        <w:ind w:firstLine="420" w:firstLineChars="200"/>
        <w:rPr>
          <w:rFonts w:ascii="宋体"/>
          <w:color w:val="auto"/>
          <w:szCs w:val="21"/>
          <w:highlight w:val="none"/>
        </w:rPr>
      </w:pPr>
      <w:r>
        <w:rPr>
          <w:rFonts w:hint="eastAsia" w:ascii="宋体" w:hAnsi="宋体"/>
          <w:color w:val="auto"/>
          <w:szCs w:val="21"/>
          <w:highlight w:val="none"/>
        </w:rPr>
        <w:t>建造师执业印章号：</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w:t>
      </w:r>
    </w:p>
    <w:p w14:paraId="4B774A34">
      <w:pPr>
        <w:spacing w:line="360" w:lineRule="auto"/>
        <w:ind w:firstLine="420" w:firstLineChars="200"/>
        <w:rPr>
          <w:rFonts w:ascii="宋体"/>
          <w:color w:val="auto"/>
          <w:szCs w:val="21"/>
          <w:highlight w:val="none"/>
        </w:rPr>
      </w:pPr>
      <w:r>
        <w:rPr>
          <w:rFonts w:hint="eastAsia" w:ascii="宋体" w:hAnsi="宋体"/>
          <w:color w:val="auto"/>
          <w:szCs w:val="21"/>
          <w:highlight w:val="none"/>
        </w:rPr>
        <w:t>安全生产考核合格证书号：</w:t>
      </w:r>
      <w:r>
        <w:rPr>
          <w:rFonts w:ascii="宋体" w:hAnsi="宋体"/>
          <w:color w:val="auto"/>
          <w:szCs w:val="21"/>
          <w:highlight w:val="none"/>
          <w:u w:val="single"/>
        </w:rPr>
        <w:t xml:space="preserve"> </w:t>
      </w:r>
      <w:r>
        <w:rPr>
          <w:rFonts w:hint="eastAsia" w:ascii="宋体" w:hAnsi="宋体" w:cs="宋体"/>
          <w:color w:val="000000"/>
          <w:szCs w:val="21"/>
          <w:highlight w:val="none"/>
          <w:u w:val="single"/>
          <w:lang w:val="en-US" w:eastAsia="zh-CN"/>
        </w:rPr>
        <w:t xml:space="preserve">                </w:t>
      </w:r>
      <w:r>
        <w:rPr>
          <w:rFonts w:hint="eastAsia" w:ascii="宋体" w:hAnsi="宋体"/>
          <w:color w:val="auto"/>
          <w:szCs w:val="21"/>
          <w:highlight w:val="none"/>
        </w:rPr>
        <w:t>。</w:t>
      </w:r>
    </w:p>
    <w:p w14:paraId="269BE0D8">
      <w:pPr>
        <w:spacing w:line="360" w:lineRule="auto"/>
        <w:ind w:firstLine="420" w:firstLineChars="200"/>
        <w:rPr>
          <w:rFonts w:ascii="宋体"/>
          <w:color w:val="auto"/>
          <w:highlight w:val="none"/>
        </w:rPr>
      </w:pPr>
      <w:bookmarkStart w:id="685" w:name="_Toc480303468"/>
      <w:bookmarkStart w:id="686" w:name="_Toc479505741"/>
      <w:bookmarkStart w:id="687" w:name="_Toc477964597"/>
      <w:r>
        <w:rPr>
          <w:rFonts w:hint="eastAsia" w:ascii="宋体" w:hAnsi="宋体"/>
          <w:color w:val="auto"/>
          <w:highlight w:val="none"/>
        </w:rPr>
        <w:t>九、合同文件的组成</w:t>
      </w:r>
      <w:bookmarkEnd w:id="685"/>
      <w:bookmarkEnd w:id="686"/>
      <w:bookmarkEnd w:id="687"/>
    </w:p>
    <w:p w14:paraId="3B6AC485">
      <w:pPr>
        <w:spacing w:line="360" w:lineRule="auto"/>
        <w:ind w:firstLine="420" w:firstLineChars="200"/>
        <w:rPr>
          <w:rFonts w:ascii="宋体"/>
          <w:color w:val="auto"/>
          <w:szCs w:val="21"/>
          <w:highlight w:val="none"/>
        </w:rPr>
      </w:pPr>
      <w:r>
        <w:rPr>
          <w:rFonts w:hint="eastAsia" w:ascii="宋体" w:hAnsi="宋体"/>
          <w:color w:val="auto"/>
          <w:szCs w:val="21"/>
          <w:highlight w:val="none"/>
        </w:rPr>
        <w:t>下列文件共同构成合同文件：</w:t>
      </w:r>
    </w:p>
    <w:p w14:paraId="78DAF524">
      <w:pPr>
        <w:spacing w:line="360" w:lineRule="auto"/>
        <w:ind w:firstLine="420" w:firstLineChars="200"/>
        <w:rPr>
          <w:rFonts w:ascii="宋体"/>
          <w:color w:val="auto"/>
          <w:highlight w:val="none"/>
        </w:rPr>
      </w:pPr>
      <w:r>
        <w:rPr>
          <w:rFonts w:ascii="宋体" w:hAnsi="宋体"/>
          <w:color w:val="auto"/>
          <w:highlight w:val="none"/>
        </w:rPr>
        <w:t>1</w:t>
      </w:r>
      <w:r>
        <w:rPr>
          <w:rFonts w:hint="eastAsia" w:ascii="宋体" w:hAnsi="宋体"/>
          <w:color w:val="auto"/>
          <w:highlight w:val="none"/>
        </w:rPr>
        <w:t>、本协议书；</w:t>
      </w:r>
    </w:p>
    <w:p w14:paraId="25A87199">
      <w:pPr>
        <w:spacing w:line="360" w:lineRule="auto"/>
        <w:ind w:firstLine="420" w:firstLineChars="200"/>
        <w:rPr>
          <w:rFonts w:ascii="宋体"/>
          <w:color w:val="auto"/>
          <w:highlight w:val="none"/>
        </w:rPr>
      </w:pPr>
      <w:r>
        <w:rPr>
          <w:rFonts w:ascii="宋体" w:hAnsi="宋体"/>
          <w:color w:val="auto"/>
          <w:highlight w:val="none"/>
        </w:rPr>
        <w:t>2</w:t>
      </w:r>
      <w:r>
        <w:rPr>
          <w:rFonts w:hint="eastAsia" w:ascii="宋体" w:hAnsi="宋体"/>
          <w:color w:val="auto"/>
          <w:highlight w:val="none"/>
        </w:rPr>
        <w:t>、中标通知书；</w:t>
      </w:r>
    </w:p>
    <w:p w14:paraId="043F927A">
      <w:pPr>
        <w:spacing w:line="360" w:lineRule="auto"/>
        <w:ind w:firstLine="420" w:firstLineChars="200"/>
        <w:rPr>
          <w:rFonts w:ascii="宋体"/>
          <w:color w:val="auto"/>
          <w:highlight w:val="none"/>
        </w:rPr>
      </w:pPr>
      <w:r>
        <w:rPr>
          <w:rFonts w:ascii="宋体" w:hAnsi="宋体"/>
          <w:color w:val="auto"/>
          <w:highlight w:val="none"/>
        </w:rPr>
        <w:t>3</w:t>
      </w:r>
      <w:r>
        <w:rPr>
          <w:rFonts w:hint="eastAsia" w:ascii="宋体" w:hAnsi="宋体"/>
          <w:color w:val="auto"/>
          <w:highlight w:val="none"/>
        </w:rPr>
        <w:t>、</w:t>
      </w:r>
      <w:r>
        <w:rPr>
          <w:rFonts w:hint="eastAsia" w:ascii="宋体" w:hAnsi="宋体"/>
          <w:color w:val="auto"/>
          <w:szCs w:val="21"/>
          <w:highlight w:val="none"/>
        </w:rPr>
        <w:t>投标函及投标函附录</w:t>
      </w:r>
      <w:r>
        <w:rPr>
          <w:rFonts w:hint="eastAsia" w:ascii="宋体" w:hAnsi="宋体"/>
          <w:color w:val="auto"/>
          <w:highlight w:val="none"/>
        </w:rPr>
        <w:t>；</w:t>
      </w:r>
    </w:p>
    <w:p w14:paraId="77297C60">
      <w:pPr>
        <w:spacing w:line="360" w:lineRule="auto"/>
        <w:ind w:firstLine="420" w:firstLineChars="200"/>
        <w:rPr>
          <w:rFonts w:ascii="宋体"/>
          <w:color w:val="auto"/>
          <w:highlight w:val="none"/>
        </w:rPr>
      </w:pPr>
      <w:r>
        <w:rPr>
          <w:rFonts w:ascii="宋体" w:hAnsi="宋体"/>
          <w:color w:val="auto"/>
          <w:highlight w:val="none"/>
        </w:rPr>
        <w:t>4</w:t>
      </w:r>
      <w:r>
        <w:rPr>
          <w:rFonts w:hint="eastAsia" w:ascii="宋体" w:hAnsi="宋体"/>
          <w:color w:val="auto"/>
          <w:highlight w:val="none"/>
        </w:rPr>
        <w:t>、合同条款专用部分；</w:t>
      </w:r>
    </w:p>
    <w:p w14:paraId="506A748A">
      <w:pPr>
        <w:spacing w:line="360" w:lineRule="auto"/>
        <w:ind w:firstLine="420" w:firstLineChars="200"/>
        <w:rPr>
          <w:rFonts w:ascii="宋体"/>
          <w:color w:val="auto"/>
          <w:highlight w:val="none"/>
        </w:rPr>
      </w:pPr>
      <w:r>
        <w:rPr>
          <w:rFonts w:ascii="宋体" w:hAnsi="宋体"/>
          <w:color w:val="auto"/>
          <w:highlight w:val="none"/>
        </w:rPr>
        <w:t>5</w:t>
      </w:r>
      <w:r>
        <w:rPr>
          <w:rFonts w:hint="eastAsia" w:ascii="宋体" w:hAnsi="宋体"/>
          <w:color w:val="auto"/>
          <w:highlight w:val="none"/>
        </w:rPr>
        <w:t>、合同条款通用部分；</w:t>
      </w:r>
    </w:p>
    <w:p w14:paraId="72B680C2">
      <w:pPr>
        <w:spacing w:line="360" w:lineRule="auto"/>
        <w:ind w:firstLine="420" w:firstLineChars="200"/>
        <w:rPr>
          <w:rFonts w:ascii="宋体"/>
          <w:color w:val="auto"/>
          <w:highlight w:val="none"/>
        </w:rPr>
      </w:pPr>
      <w:r>
        <w:rPr>
          <w:rFonts w:ascii="宋体" w:hAnsi="宋体"/>
          <w:color w:val="auto"/>
          <w:highlight w:val="none"/>
        </w:rPr>
        <w:t>6</w:t>
      </w:r>
      <w:r>
        <w:rPr>
          <w:rFonts w:hint="eastAsia" w:ascii="宋体" w:hAnsi="宋体"/>
          <w:color w:val="auto"/>
          <w:highlight w:val="none"/>
        </w:rPr>
        <w:t>、</w:t>
      </w:r>
      <w:r>
        <w:rPr>
          <w:rFonts w:hint="eastAsia" w:ascii="宋体" w:hAnsi="宋体"/>
          <w:color w:val="auto"/>
          <w:szCs w:val="21"/>
          <w:highlight w:val="none"/>
        </w:rPr>
        <w:t>技术标准和要求；</w:t>
      </w:r>
    </w:p>
    <w:p w14:paraId="72BD5E3A">
      <w:pPr>
        <w:spacing w:line="360" w:lineRule="auto"/>
        <w:ind w:firstLine="420" w:firstLineChars="200"/>
        <w:rPr>
          <w:rFonts w:ascii="宋体"/>
          <w:color w:val="auto"/>
          <w:highlight w:val="none"/>
        </w:rPr>
      </w:pPr>
      <w:r>
        <w:rPr>
          <w:rFonts w:ascii="宋体" w:hAnsi="宋体"/>
          <w:color w:val="auto"/>
          <w:highlight w:val="none"/>
        </w:rPr>
        <w:t>7</w:t>
      </w:r>
      <w:r>
        <w:rPr>
          <w:rFonts w:hint="eastAsia" w:ascii="宋体" w:hAnsi="宋体"/>
          <w:color w:val="auto"/>
          <w:highlight w:val="none"/>
        </w:rPr>
        <w:t>、图纸；</w:t>
      </w:r>
    </w:p>
    <w:p w14:paraId="375BCE0F">
      <w:pPr>
        <w:spacing w:line="360" w:lineRule="auto"/>
        <w:ind w:firstLine="420" w:firstLineChars="200"/>
        <w:rPr>
          <w:rFonts w:ascii="宋体"/>
          <w:color w:val="auto"/>
          <w:highlight w:val="none"/>
        </w:rPr>
      </w:pPr>
      <w:r>
        <w:rPr>
          <w:rFonts w:ascii="宋体" w:hAnsi="宋体"/>
          <w:color w:val="auto"/>
          <w:highlight w:val="none"/>
        </w:rPr>
        <w:t>8</w:t>
      </w:r>
      <w:r>
        <w:rPr>
          <w:rFonts w:hint="eastAsia" w:ascii="宋体" w:hAnsi="宋体"/>
          <w:color w:val="auto"/>
          <w:highlight w:val="none"/>
        </w:rPr>
        <w:t>、已标价工程量清单；</w:t>
      </w:r>
    </w:p>
    <w:p w14:paraId="736F62E8">
      <w:pPr>
        <w:spacing w:line="360" w:lineRule="auto"/>
        <w:ind w:firstLine="420" w:firstLineChars="200"/>
        <w:rPr>
          <w:rFonts w:ascii="宋体"/>
          <w:color w:val="auto"/>
          <w:highlight w:val="none"/>
        </w:rPr>
      </w:pPr>
      <w:r>
        <w:rPr>
          <w:rFonts w:ascii="宋体" w:hAnsi="宋体"/>
          <w:color w:val="auto"/>
          <w:highlight w:val="none"/>
        </w:rPr>
        <w:t>9</w:t>
      </w:r>
      <w:r>
        <w:rPr>
          <w:rFonts w:hint="eastAsia" w:ascii="宋体" w:hAnsi="宋体"/>
          <w:color w:val="auto"/>
          <w:highlight w:val="none"/>
        </w:rPr>
        <w:t>、其他合同文件。</w:t>
      </w:r>
    </w:p>
    <w:p w14:paraId="1C61AD3E">
      <w:pPr>
        <w:spacing w:line="360" w:lineRule="auto"/>
        <w:ind w:firstLine="420" w:firstLineChars="200"/>
        <w:rPr>
          <w:rFonts w:ascii="宋体"/>
          <w:color w:val="auto"/>
          <w:szCs w:val="21"/>
          <w:highlight w:val="none"/>
        </w:rPr>
      </w:pPr>
      <w:r>
        <w:rPr>
          <w:rFonts w:hint="eastAsia" w:ascii="宋体" w:hAnsi="宋体"/>
          <w:color w:val="auto"/>
          <w:szCs w:val="21"/>
          <w:highlight w:val="none"/>
        </w:rPr>
        <w:t>上述文件互相补充和解释，如有不明确或不一致之处，以合同约定次序在先者为准。</w:t>
      </w:r>
    </w:p>
    <w:p w14:paraId="20905E0F">
      <w:pPr>
        <w:spacing w:line="360" w:lineRule="auto"/>
        <w:ind w:firstLine="420" w:firstLineChars="200"/>
        <w:rPr>
          <w:rFonts w:ascii="宋体"/>
          <w:color w:val="auto"/>
          <w:highlight w:val="none"/>
        </w:rPr>
      </w:pPr>
      <w:bookmarkStart w:id="688" w:name="_Toc477964598"/>
      <w:bookmarkStart w:id="689" w:name="_Toc479505742"/>
      <w:bookmarkStart w:id="690" w:name="_Toc480303469"/>
      <w:r>
        <w:rPr>
          <w:rFonts w:hint="eastAsia" w:ascii="宋体" w:hAnsi="宋体"/>
          <w:color w:val="auto"/>
          <w:highlight w:val="none"/>
        </w:rPr>
        <w:t>十、本协议书中有关词语定义与合同条款中的定义相同。</w:t>
      </w:r>
      <w:bookmarkEnd w:id="688"/>
      <w:bookmarkEnd w:id="689"/>
      <w:bookmarkEnd w:id="690"/>
    </w:p>
    <w:p w14:paraId="36B4BCC3">
      <w:pPr>
        <w:spacing w:line="360" w:lineRule="auto"/>
        <w:ind w:firstLine="420" w:firstLineChars="200"/>
        <w:rPr>
          <w:rFonts w:ascii="宋体"/>
          <w:color w:val="auto"/>
          <w:highlight w:val="none"/>
        </w:rPr>
      </w:pPr>
      <w:bookmarkStart w:id="691" w:name="_Toc477964599"/>
      <w:bookmarkStart w:id="692" w:name="_Toc479505743"/>
      <w:bookmarkStart w:id="693" w:name="_Toc480303470"/>
      <w:r>
        <w:rPr>
          <w:rFonts w:hint="eastAsia" w:ascii="宋体" w:hAnsi="宋体"/>
          <w:color w:val="auto"/>
          <w:highlight w:val="none"/>
        </w:rPr>
        <w:t>十一、承包人承诺按照合同约定进行施工、竣工、交付并承担质量缺陷保修责任。</w:t>
      </w:r>
      <w:bookmarkEnd w:id="691"/>
      <w:bookmarkEnd w:id="692"/>
      <w:bookmarkEnd w:id="693"/>
    </w:p>
    <w:p w14:paraId="3F448D77">
      <w:pPr>
        <w:spacing w:line="360" w:lineRule="auto"/>
        <w:ind w:firstLine="420" w:firstLineChars="200"/>
        <w:rPr>
          <w:rFonts w:ascii="宋体"/>
          <w:color w:val="auto"/>
          <w:highlight w:val="none"/>
        </w:rPr>
      </w:pPr>
      <w:bookmarkStart w:id="694" w:name="_Toc479505744"/>
      <w:bookmarkStart w:id="695" w:name="_Toc480303471"/>
      <w:bookmarkStart w:id="696" w:name="_Toc477964600"/>
      <w:r>
        <w:rPr>
          <w:rFonts w:hint="eastAsia" w:ascii="宋体" w:hAnsi="宋体"/>
          <w:color w:val="auto"/>
          <w:highlight w:val="none"/>
        </w:rPr>
        <w:t>十二、发包人承诺按照合同约定的条件、期限和方式向承包人支付合同价款。</w:t>
      </w:r>
      <w:bookmarkEnd w:id="694"/>
      <w:bookmarkEnd w:id="695"/>
      <w:bookmarkEnd w:id="696"/>
    </w:p>
    <w:p w14:paraId="1C707FC0">
      <w:pPr>
        <w:spacing w:line="360" w:lineRule="auto"/>
        <w:ind w:firstLine="420" w:firstLineChars="200"/>
        <w:rPr>
          <w:rFonts w:ascii="宋体"/>
          <w:color w:val="auto"/>
          <w:highlight w:val="none"/>
          <w:u w:val="single"/>
        </w:rPr>
      </w:pPr>
      <w:bookmarkStart w:id="697" w:name="_Toc480303472"/>
      <w:bookmarkStart w:id="698" w:name="_Toc477964601"/>
      <w:bookmarkStart w:id="699" w:name="_Toc479505745"/>
      <w:r>
        <w:rPr>
          <w:rFonts w:hint="eastAsia" w:ascii="宋体" w:hAnsi="宋体"/>
          <w:color w:val="auto"/>
          <w:highlight w:val="none"/>
        </w:rPr>
        <w:t>十三、本协议书连同其他合同文件正本一式两份，合同双方各执一份；副本一式</w:t>
      </w:r>
      <w:r>
        <w:rPr>
          <w:rFonts w:ascii="宋体" w:hAnsi="宋体"/>
          <w:color w:val="auto"/>
          <w:highlight w:val="none"/>
          <w:u w:val="single"/>
        </w:rPr>
        <w:t xml:space="preserve"> </w:t>
      </w:r>
      <w:r>
        <w:rPr>
          <w:rFonts w:hint="eastAsia" w:ascii="宋体" w:hAnsi="宋体"/>
          <w:color w:val="auto"/>
          <w:highlight w:val="none"/>
          <w:u w:val="single"/>
          <w:lang w:eastAsia="zh-CN"/>
        </w:rPr>
        <w:t>陆</w:t>
      </w:r>
      <w:r>
        <w:rPr>
          <w:rFonts w:ascii="宋体" w:hAnsi="宋体"/>
          <w:color w:val="auto"/>
          <w:highlight w:val="none"/>
          <w:u w:val="single"/>
        </w:rPr>
        <w:t xml:space="preserve"> </w:t>
      </w:r>
    </w:p>
    <w:p w14:paraId="0CB580C2">
      <w:pPr>
        <w:spacing w:line="360" w:lineRule="auto"/>
        <w:rPr>
          <w:rFonts w:ascii="宋体"/>
          <w:color w:val="auto"/>
          <w:highlight w:val="none"/>
        </w:rPr>
      </w:pPr>
      <w:r>
        <w:rPr>
          <w:rFonts w:hint="eastAsia" w:ascii="宋体" w:hAnsi="宋体"/>
          <w:color w:val="auto"/>
          <w:highlight w:val="none"/>
        </w:rPr>
        <w:t>份</w:t>
      </w:r>
      <w:r>
        <w:rPr>
          <w:rFonts w:hint="eastAsia" w:ascii="宋体" w:hAnsi="宋体"/>
          <w:color w:val="auto"/>
          <w:highlight w:val="none"/>
          <w:lang w:eastAsia="zh-CN"/>
        </w:rPr>
        <w:t>，甲乙双方各执</w:t>
      </w:r>
      <w:r>
        <w:rPr>
          <w:rFonts w:hint="eastAsia" w:ascii="宋体" w:hAnsi="宋体"/>
          <w:color w:val="auto"/>
          <w:highlight w:val="none"/>
          <w:u w:val="single"/>
          <w:lang w:eastAsia="zh-CN"/>
        </w:rPr>
        <w:t>叁</w:t>
      </w:r>
      <w:r>
        <w:rPr>
          <w:rFonts w:hint="eastAsia" w:ascii="宋体" w:hAnsi="宋体"/>
          <w:color w:val="auto"/>
          <w:highlight w:val="none"/>
          <w:lang w:eastAsia="zh-CN"/>
        </w:rPr>
        <w:t>份</w:t>
      </w:r>
      <w:r>
        <w:rPr>
          <w:rFonts w:hint="eastAsia" w:ascii="宋体" w:hAnsi="宋体"/>
          <w:color w:val="auto"/>
          <w:highlight w:val="none"/>
        </w:rPr>
        <w:t>。</w:t>
      </w:r>
      <w:bookmarkEnd w:id="697"/>
      <w:bookmarkEnd w:id="698"/>
      <w:bookmarkEnd w:id="699"/>
    </w:p>
    <w:p w14:paraId="73808F58">
      <w:pPr>
        <w:spacing w:line="360" w:lineRule="auto"/>
        <w:ind w:firstLine="420" w:firstLineChars="200"/>
        <w:rPr>
          <w:rFonts w:ascii="宋体"/>
          <w:color w:val="auto"/>
          <w:highlight w:val="none"/>
        </w:rPr>
      </w:pPr>
      <w:bookmarkStart w:id="700" w:name="_Toc477964602"/>
      <w:bookmarkStart w:id="701" w:name="_Toc480303473"/>
      <w:bookmarkStart w:id="702" w:name="_Toc479505746"/>
      <w:r>
        <w:rPr>
          <w:rFonts w:hint="eastAsia" w:ascii="宋体" w:hAnsi="宋体"/>
          <w:color w:val="auto"/>
          <w:highlight w:val="none"/>
        </w:rPr>
        <w:t>十四、合同未尽事宜，双方另行签订补充协议，但不得背离本协议第九条所约定的合同文件的实质性内容。补充协议是合同文件的组成部分。</w:t>
      </w:r>
      <w:bookmarkEnd w:id="700"/>
      <w:bookmarkEnd w:id="701"/>
      <w:bookmarkEnd w:id="702"/>
    </w:p>
    <w:p w14:paraId="69EC0512">
      <w:pPr>
        <w:spacing w:line="360" w:lineRule="auto"/>
        <w:rPr>
          <w:rFonts w:ascii="宋体"/>
          <w:color w:val="auto"/>
          <w:szCs w:val="21"/>
          <w:highlight w:val="none"/>
          <w:u w:val="single"/>
        </w:rPr>
      </w:pPr>
    </w:p>
    <w:p w14:paraId="6D615BDC">
      <w:pPr>
        <w:spacing w:line="360" w:lineRule="auto"/>
        <w:rPr>
          <w:rFonts w:ascii="宋体"/>
          <w:b/>
          <w:bCs/>
          <w:color w:val="auto"/>
          <w:szCs w:val="21"/>
          <w:highlight w:val="none"/>
        </w:rPr>
      </w:pPr>
    </w:p>
    <w:p w14:paraId="0302914D">
      <w:pPr>
        <w:spacing w:line="360" w:lineRule="auto"/>
        <w:rPr>
          <w:rFonts w:hint="eastAsia" w:ascii="宋体" w:hAnsi="宋体" w:cs="宋体"/>
          <w:color w:val="auto"/>
          <w:szCs w:val="21"/>
          <w:highlight w:val="none"/>
          <w:u w:val="single"/>
        </w:rPr>
      </w:pPr>
      <w:r>
        <w:rPr>
          <w:rFonts w:hint="eastAsia" w:ascii="宋体" w:hAnsi="宋体"/>
          <w:bCs/>
          <w:color w:val="auto"/>
          <w:szCs w:val="21"/>
          <w:highlight w:val="none"/>
        </w:rPr>
        <w:t>发包人：</w:t>
      </w:r>
      <w:r>
        <w:rPr>
          <w:rFonts w:ascii="宋体" w:hAnsi="宋体"/>
          <w:color w:val="auto"/>
          <w:szCs w:val="21"/>
          <w:highlight w:val="none"/>
          <w:u w:val="single"/>
        </w:rPr>
        <w:t xml:space="preserve"> </w:t>
      </w:r>
      <w:r>
        <w:rPr>
          <w:rFonts w:hint="eastAsia" w:ascii="宋体" w:hAnsi="宋体" w:eastAsia="宋体" w:cs="宋体"/>
          <w:color w:val="auto"/>
          <w:sz w:val="21"/>
          <w:szCs w:val="21"/>
          <w:highlight w:val="none"/>
          <w:u w:val="single"/>
        </w:rPr>
        <w:t>北京市昌平区城北街道办事处</w:t>
      </w:r>
      <w:r>
        <w:rPr>
          <w:rFonts w:hint="eastAsia" w:ascii="宋体" w:hAnsi="宋体" w:cs="宋体"/>
          <w:color w:val="auto"/>
          <w:sz w:val="21"/>
          <w:szCs w:val="21"/>
          <w:highlight w:val="none"/>
          <w:u w:val="single"/>
          <w:lang w:val="en-US" w:eastAsia="zh-CN"/>
        </w:rPr>
        <w:t xml:space="preserve">      </w:t>
      </w:r>
      <w:r>
        <w:rPr>
          <w:rFonts w:hint="eastAsia" w:ascii="宋体" w:hAnsi="宋体"/>
          <w:bCs/>
          <w:color w:val="auto"/>
          <w:szCs w:val="21"/>
          <w:highlight w:val="none"/>
        </w:rPr>
        <w:t>承包人：</w:t>
      </w:r>
      <w:r>
        <w:rPr>
          <w:rFonts w:ascii="宋体" w:hAnsi="宋体"/>
          <w:color w:val="auto"/>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Cs w:val="21"/>
          <w:highlight w:val="none"/>
          <w:u w:val="single"/>
        </w:rPr>
        <w:t xml:space="preserve"> </w:t>
      </w:r>
    </w:p>
    <w:p w14:paraId="62B42327">
      <w:pPr>
        <w:spacing w:line="360" w:lineRule="auto"/>
        <w:ind w:firstLine="630" w:firstLineChars="300"/>
        <w:rPr>
          <w:rFonts w:ascii="宋体"/>
          <w:color w:val="auto"/>
          <w:szCs w:val="21"/>
          <w:highlight w:val="none"/>
        </w:rPr>
      </w:pPr>
      <w:r>
        <w:rPr>
          <w:rFonts w:hint="eastAsia" w:ascii="宋体" w:hAnsi="宋体"/>
          <w:color w:val="auto"/>
          <w:szCs w:val="21"/>
          <w:highlight w:val="none"/>
        </w:rPr>
        <w:t>（盖单位章）</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（盖单位章）</w:t>
      </w:r>
    </w:p>
    <w:p w14:paraId="4A7BD07E">
      <w:pPr>
        <w:spacing w:line="360" w:lineRule="auto"/>
        <w:rPr>
          <w:rFonts w:ascii="宋体"/>
          <w:color w:val="auto"/>
          <w:szCs w:val="21"/>
          <w:highlight w:val="none"/>
        </w:rPr>
      </w:pPr>
    </w:p>
    <w:p w14:paraId="23B7975D">
      <w:pPr>
        <w:spacing w:line="360" w:lineRule="auto"/>
        <w:rPr>
          <w:rFonts w:ascii="宋体"/>
          <w:color w:val="auto"/>
          <w:szCs w:val="21"/>
          <w:highlight w:val="none"/>
        </w:rPr>
      </w:pPr>
      <w:r>
        <w:rPr>
          <w:rFonts w:hint="eastAsia" w:ascii="宋体" w:hAnsi="宋体"/>
          <w:bCs/>
          <w:color w:val="auto"/>
          <w:szCs w:val="21"/>
          <w:highlight w:val="none"/>
        </w:rPr>
        <w:t>法定代表人或其</w:t>
      </w:r>
      <w:r>
        <w:rPr>
          <w:rFonts w:ascii="宋体" w:hAnsi="宋体"/>
          <w:color w:val="FF0000"/>
          <w:szCs w:val="21"/>
          <w:highlight w:val="none"/>
        </w:rPr>
        <w:t xml:space="preserve">    </w:t>
      </w:r>
      <w:r>
        <w:rPr>
          <w:rFonts w:ascii="宋体" w:hAnsi="宋体"/>
          <w:color w:val="auto"/>
          <w:szCs w:val="21"/>
          <w:highlight w:val="none"/>
        </w:rPr>
        <w:t xml:space="preserve">                       </w:t>
      </w:r>
      <w:r>
        <w:rPr>
          <w:rFonts w:hint="eastAsia" w:ascii="宋体" w:hAnsi="宋体"/>
          <w:bCs/>
          <w:color w:val="auto"/>
          <w:szCs w:val="21"/>
          <w:highlight w:val="none"/>
        </w:rPr>
        <w:t>法定代表人或其</w:t>
      </w:r>
    </w:p>
    <w:p w14:paraId="3B7730E9">
      <w:pPr>
        <w:spacing w:line="360" w:lineRule="auto"/>
        <w:rPr>
          <w:rFonts w:ascii="宋体"/>
          <w:color w:val="auto"/>
          <w:szCs w:val="21"/>
          <w:highlight w:val="none"/>
        </w:rPr>
      </w:pPr>
      <w:r>
        <w:rPr>
          <w:rFonts w:hint="eastAsia" w:ascii="宋体" w:hAnsi="宋体"/>
          <w:bCs/>
          <w:color w:val="auto"/>
          <w:szCs w:val="21"/>
          <w:highlight w:val="none"/>
        </w:rPr>
        <w:t>委托代理人：</w:t>
      </w:r>
      <w:r>
        <w:rPr>
          <w:rFonts w:ascii="宋体" w:hAnsi="宋体"/>
          <w:color w:val="auto"/>
          <w:szCs w:val="21"/>
          <w:highlight w:val="none"/>
          <w:u w:val="single"/>
        </w:rPr>
        <w:t xml:space="preserve">                   </w:t>
      </w:r>
      <w:r>
        <w:rPr>
          <w:rFonts w:hint="eastAsia" w:ascii="宋体" w:hAnsi="宋体"/>
          <w:color w:val="auto"/>
          <w:szCs w:val="21"/>
          <w:highlight w:val="none"/>
        </w:rPr>
        <w:t>（签字）</w:t>
      </w:r>
      <w:r>
        <w:rPr>
          <w:rFonts w:ascii="宋体" w:hAnsi="宋体"/>
          <w:color w:val="auto"/>
          <w:szCs w:val="21"/>
          <w:highlight w:val="none"/>
        </w:rPr>
        <w:t xml:space="preserve"> </w:t>
      </w:r>
      <w:r>
        <w:rPr>
          <w:rFonts w:ascii="宋体" w:hAnsi="宋体"/>
          <w:bCs/>
          <w:color w:val="auto"/>
          <w:szCs w:val="21"/>
          <w:highlight w:val="none"/>
        </w:rPr>
        <w:t xml:space="preserve"> </w:t>
      </w:r>
      <w:r>
        <w:rPr>
          <w:rFonts w:hint="eastAsia" w:ascii="宋体" w:hAnsi="宋体"/>
          <w:bCs/>
          <w:color w:val="auto"/>
          <w:szCs w:val="21"/>
          <w:highlight w:val="none"/>
        </w:rPr>
        <w:t>委托代理人：</w:t>
      </w:r>
      <w:r>
        <w:rPr>
          <w:rFonts w:ascii="宋体" w:hAnsi="宋体"/>
          <w:color w:val="auto"/>
          <w:szCs w:val="21"/>
          <w:highlight w:val="none"/>
          <w:u w:val="single"/>
        </w:rPr>
        <w:t xml:space="preserve">                   </w:t>
      </w:r>
      <w:r>
        <w:rPr>
          <w:rFonts w:hint="eastAsia" w:ascii="宋体" w:hAnsi="宋体"/>
          <w:color w:val="auto"/>
          <w:szCs w:val="21"/>
          <w:highlight w:val="none"/>
        </w:rPr>
        <w:t>（签字）</w:t>
      </w:r>
    </w:p>
    <w:p w14:paraId="1D210FCD">
      <w:pPr>
        <w:spacing w:line="360" w:lineRule="auto"/>
        <w:rPr>
          <w:rFonts w:ascii="宋体"/>
          <w:color w:val="auto"/>
          <w:szCs w:val="21"/>
          <w:highlight w:val="none"/>
          <w:u w:val="single"/>
        </w:rPr>
      </w:pPr>
    </w:p>
    <w:p w14:paraId="08686C6A">
      <w:pPr>
        <w:spacing w:line="360" w:lineRule="auto"/>
        <w:rPr>
          <w:rFonts w:ascii="宋体"/>
          <w:color w:val="auto"/>
          <w:szCs w:val="21"/>
          <w:highlight w:val="none"/>
        </w:rPr>
      </w:pP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年</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月</w:t>
      </w:r>
      <w:r>
        <w:rPr>
          <w:rFonts w:ascii="宋体" w:hAnsi="宋体"/>
          <w:color w:val="auto"/>
          <w:szCs w:val="21"/>
          <w:highlight w:val="non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hint="eastAsia" w:ascii="宋体" w:hAnsi="宋体"/>
          <w:color w:val="auto"/>
          <w:szCs w:val="21"/>
          <w:highlight w:val="none"/>
        </w:rPr>
        <w:t>日</w:t>
      </w:r>
      <w:r>
        <w:rPr>
          <w:rFonts w:ascii="宋体" w:hAnsi="宋体"/>
          <w:color w:val="auto"/>
          <w:szCs w:val="21"/>
          <w:highlight w:val="non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年</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月</w:t>
      </w:r>
      <w:r>
        <w:rPr>
          <w:rFonts w:ascii="宋体" w:hAnsi="宋体"/>
          <w:color w:val="auto"/>
          <w:szCs w:val="21"/>
          <w:highlight w:val="non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日</w:t>
      </w:r>
    </w:p>
    <w:p w14:paraId="5B949CA0">
      <w:pPr>
        <w:spacing w:line="360" w:lineRule="auto"/>
        <w:rPr>
          <w:rFonts w:ascii="宋体"/>
          <w:color w:val="auto"/>
          <w:szCs w:val="21"/>
          <w:highlight w:val="none"/>
        </w:rPr>
      </w:pPr>
    </w:p>
    <w:p w14:paraId="271AA267">
      <w:pPr>
        <w:spacing w:line="360" w:lineRule="auto"/>
        <w:rPr>
          <w:rFonts w:ascii="宋体"/>
          <w:b/>
          <w:color w:val="auto"/>
          <w:szCs w:val="21"/>
          <w:highlight w:val="none"/>
        </w:rPr>
      </w:pPr>
      <w:r>
        <w:rPr>
          <w:rFonts w:hint="eastAsia" w:ascii="宋体" w:hAnsi="宋体"/>
          <w:color w:val="auto"/>
          <w:szCs w:val="21"/>
          <w:highlight w:val="none"/>
        </w:rPr>
        <w:t>签约地点：</w:t>
      </w:r>
      <w:r>
        <w:rPr>
          <w:rFonts w:ascii="宋体" w:hAnsi="宋体"/>
          <w:color w:val="auto"/>
          <w:szCs w:val="21"/>
          <w:highlight w:val="none"/>
          <w:u w:val="single"/>
        </w:rPr>
        <w:t xml:space="preserve">            </w:t>
      </w:r>
      <w:r>
        <w:rPr>
          <w:rFonts w:hint="eastAsia" w:ascii="宋体" w:hAnsi="宋体" w:eastAsia="宋体" w:cs="宋体"/>
          <w:color w:val="auto"/>
          <w:sz w:val="21"/>
          <w:szCs w:val="21"/>
          <w:highlight w:val="none"/>
          <w:u w:val="single"/>
        </w:rPr>
        <w:t>北京市昌平区城北街道办事处</w:t>
      </w:r>
      <w:r>
        <w:rPr>
          <w:rFonts w:ascii="宋体" w:hAnsi="宋体"/>
          <w:color w:val="auto"/>
          <w:szCs w:val="21"/>
          <w:highlight w:val="none"/>
          <w:u w:val="single"/>
        </w:rPr>
        <w:t xml:space="preserve">                      </w:t>
      </w:r>
      <w:r>
        <w:rPr>
          <w:rFonts w:ascii="宋体" w:hAnsi="宋体"/>
          <w:b/>
          <w:color w:val="auto"/>
          <w:szCs w:val="21"/>
          <w:highlight w:val="none"/>
          <w:u w:val="single"/>
        </w:rPr>
        <w:t xml:space="preserve"> </w:t>
      </w:r>
    </w:p>
    <w:p w14:paraId="210A56D3">
      <w:pPr>
        <w:rPr>
          <w:highlight w:val="none"/>
        </w:rPr>
      </w:pPr>
    </w:p>
    <w:p w14:paraId="5A60A695">
      <w:pPr>
        <w:pStyle w:val="9"/>
        <w:rPr>
          <w:highlight w:val="none"/>
        </w:rPr>
      </w:pPr>
    </w:p>
    <w:p w14:paraId="0B984607">
      <w:pPr>
        <w:pStyle w:val="9"/>
        <w:rPr>
          <w:highlight w:val="none"/>
        </w:rPr>
      </w:pPr>
    </w:p>
    <w:p w14:paraId="270A0FF4">
      <w:pPr>
        <w:pStyle w:val="9"/>
        <w:rPr>
          <w:highlight w:val="none"/>
        </w:rPr>
      </w:pPr>
    </w:p>
    <w:p w14:paraId="6B153B04">
      <w:pPr>
        <w:pStyle w:val="9"/>
        <w:rPr>
          <w:highlight w:val="none"/>
        </w:rPr>
      </w:pPr>
    </w:p>
    <w:p w14:paraId="4FF3DE40">
      <w:pPr>
        <w:pStyle w:val="9"/>
        <w:rPr>
          <w:highlight w:val="none"/>
        </w:rPr>
      </w:pPr>
    </w:p>
    <w:p w14:paraId="6FAC4DC3">
      <w:pPr>
        <w:pStyle w:val="9"/>
        <w:rPr>
          <w:highlight w:val="none"/>
        </w:rPr>
      </w:pPr>
    </w:p>
    <w:p w14:paraId="07042558">
      <w:pPr>
        <w:pStyle w:val="9"/>
        <w:rPr>
          <w:highlight w:val="none"/>
        </w:rPr>
      </w:pPr>
    </w:p>
    <w:p w14:paraId="2BF8393D">
      <w:pPr>
        <w:pStyle w:val="9"/>
        <w:rPr>
          <w:highlight w:val="none"/>
        </w:rPr>
      </w:pPr>
    </w:p>
    <w:p w14:paraId="2CF470E6">
      <w:pPr>
        <w:pStyle w:val="9"/>
        <w:rPr>
          <w:highlight w:val="none"/>
        </w:rPr>
      </w:pPr>
    </w:p>
    <w:p w14:paraId="49418109">
      <w:pPr>
        <w:pStyle w:val="9"/>
        <w:rPr>
          <w:highlight w:val="none"/>
        </w:rPr>
      </w:pPr>
    </w:p>
    <w:p w14:paraId="31352497">
      <w:pPr>
        <w:pStyle w:val="9"/>
        <w:rPr>
          <w:highlight w:val="none"/>
        </w:rPr>
      </w:pPr>
    </w:p>
    <w:p w14:paraId="7B1E5647">
      <w:pPr>
        <w:pStyle w:val="9"/>
        <w:rPr>
          <w:highlight w:val="none"/>
        </w:rPr>
      </w:pPr>
    </w:p>
    <w:p w14:paraId="6CCD2683">
      <w:pPr>
        <w:pStyle w:val="9"/>
        <w:rPr>
          <w:highlight w:val="none"/>
        </w:rPr>
      </w:pPr>
    </w:p>
    <w:p w14:paraId="3A06B458">
      <w:pPr>
        <w:pStyle w:val="9"/>
        <w:rPr>
          <w:highlight w:val="none"/>
        </w:rPr>
      </w:pPr>
    </w:p>
    <w:p w14:paraId="5D83C31F">
      <w:pPr>
        <w:rPr>
          <w:rFonts w:hint="eastAsia"/>
          <w:b/>
          <w:color w:val="auto"/>
          <w:sz w:val="32"/>
          <w:szCs w:val="32"/>
          <w:highlight w:val="none"/>
        </w:rPr>
      </w:pPr>
      <w:bookmarkStart w:id="703" w:name="_Toc26459"/>
      <w:bookmarkStart w:id="704" w:name="_Toc490331664"/>
      <w:bookmarkStart w:id="705" w:name="_Toc486580373"/>
      <w:bookmarkStart w:id="706" w:name="_Toc497235933"/>
      <w:r>
        <w:rPr>
          <w:rFonts w:hint="eastAsia"/>
          <w:b/>
          <w:color w:val="auto"/>
          <w:sz w:val="32"/>
          <w:szCs w:val="32"/>
          <w:highlight w:val="none"/>
        </w:rPr>
        <w:br w:type="page"/>
      </w:r>
    </w:p>
    <w:p w14:paraId="2DE90BFA">
      <w:pPr>
        <w:keepNext w:val="0"/>
        <w:keepLines w:val="0"/>
        <w:pageBreakBefore w:val="0"/>
        <w:widowControl w:val="0"/>
        <w:kinsoku/>
        <w:wordWrap/>
        <w:overflowPunct/>
        <w:topLinePunct w:val="0"/>
        <w:autoSpaceDE/>
        <w:autoSpaceDN/>
        <w:bidi w:val="0"/>
        <w:adjustRightInd/>
        <w:snapToGrid/>
        <w:jc w:val="center"/>
        <w:textAlignment w:val="auto"/>
        <w:outlineLvl w:val="1"/>
        <w:rPr>
          <w:b/>
          <w:color w:val="auto"/>
          <w:sz w:val="32"/>
          <w:szCs w:val="32"/>
          <w:highlight w:val="none"/>
        </w:rPr>
      </w:pPr>
      <w:r>
        <w:rPr>
          <w:rFonts w:hint="eastAsia"/>
          <w:b/>
          <w:color w:val="auto"/>
          <w:sz w:val="32"/>
          <w:szCs w:val="32"/>
          <w:highlight w:val="none"/>
        </w:rPr>
        <w:t>第</w:t>
      </w:r>
      <w:r>
        <w:rPr>
          <w:rFonts w:hint="eastAsia"/>
          <w:b/>
          <w:color w:val="auto"/>
          <w:sz w:val="32"/>
          <w:szCs w:val="32"/>
          <w:highlight w:val="none"/>
          <w:lang w:val="en-US" w:eastAsia="zh-CN"/>
        </w:rPr>
        <w:t>一部分</w:t>
      </w:r>
      <w:r>
        <w:rPr>
          <w:b/>
          <w:color w:val="auto"/>
          <w:sz w:val="32"/>
          <w:szCs w:val="32"/>
          <w:highlight w:val="none"/>
        </w:rPr>
        <w:t xml:space="preserve">  </w:t>
      </w:r>
      <w:r>
        <w:rPr>
          <w:rFonts w:hint="eastAsia"/>
          <w:b/>
          <w:color w:val="auto"/>
          <w:sz w:val="32"/>
          <w:szCs w:val="32"/>
          <w:highlight w:val="none"/>
        </w:rPr>
        <w:t>合同条款</w:t>
      </w:r>
      <w:r>
        <w:rPr>
          <w:rFonts w:hint="eastAsia"/>
          <w:b/>
          <w:color w:val="auto"/>
          <w:sz w:val="32"/>
          <w:szCs w:val="32"/>
          <w:highlight w:val="none"/>
          <w:lang w:val="en-US" w:eastAsia="zh-CN"/>
        </w:rPr>
        <w:t>通用</w:t>
      </w:r>
      <w:r>
        <w:rPr>
          <w:rFonts w:hint="eastAsia"/>
          <w:b/>
          <w:color w:val="auto"/>
          <w:sz w:val="32"/>
          <w:szCs w:val="32"/>
          <w:highlight w:val="none"/>
        </w:rPr>
        <w:t>部分</w:t>
      </w:r>
      <w:bookmarkEnd w:id="703"/>
      <w:bookmarkEnd w:id="704"/>
      <w:bookmarkEnd w:id="705"/>
      <w:bookmarkEnd w:id="706"/>
    </w:p>
    <w:p w14:paraId="6BA7CAD5">
      <w:pPr>
        <w:spacing w:line="360" w:lineRule="auto"/>
        <w:jc w:val="center"/>
        <w:rPr>
          <w:rFonts w:ascii="黑体" w:hAnsi="黑体" w:eastAsia="黑体"/>
          <w:color w:val="auto"/>
          <w:sz w:val="28"/>
          <w:szCs w:val="28"/>
          <w:highlight w:val="none"/>
        </w:rPr>
      </w:pPr>
    </w:p>
    <w:p w14:paraId="60EE7DF6">
      <w:pPr>
        <w:pStyle w:val="2"/>
        <w:rPr>
          <w:color w:val="auto"/>
          <w:sz w:val="32"/>
          <w:szCs w:val="32"/>
          <w:highlight w:val="none"/>
        </w:rPr>
      </w:pPr>
      <w:bookmarkStart w:id="707" w:name="_Toc22861"/>
      <w:bookmarkStart w:id="708" w:name="_Toc489280180"/>
      <w:bookmarkStart w:id="709" w:name="_Toc485323148"/>
      <w:bookmarkStart w:id="710" w:name="_Toc490331665"/>
      <w:bookmarkStart w:id="711" w:name="_Toc497456883"/>
      <w:bookmarkStart w:id="712" w:name="_Toc486580374"/>
      <w:bookmarkStart w:id="713" w:name="_Toc480303381"/>
      <w:r>
        <w:rPr>
          <w:rFonts w:hint="eastAsia"/>
          <w:color w:val="auto"/>
          <w:sz w:val="32"/>
          <w:szCs w:val="32"/>
          <w:highlight w:val="none"/>
        </w:rPr>
        <w:t>合同条款通用部分</w:t>
      </w:r>
      <w:bookmarkEnd w:id="707"/>
    </w:p>
    <w:p w14:paraId="4D934368">
      <w:pPr>
        <w:pStyle w:val="3"/>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714" w:name="_Toc4661427"/>
      <w:bookmarkStart w:id="715" w:name="_Toc14866684"/>
      <w:bookmarkStart w:id="716" w:name="_Toc32408"/>
      <w:bookmarkStart w:id="717" w:name="_Toc11088926"/>
      <w:r>
        <w:rPr>
          <w:rFonts w:hint="eastAsia" w:ascii="宋体" w:hAnsi="宋体"/>
          <w:b w:val="0"/>
          <w:color w:val="auto"/>
          <w:sz w:val="21"/>
          <w:szCs w:val="21"/>
          <w:highlight w:val="none"/>
          <w:shd w:val="clear" w:color="auto" w:fill="FFFFFF"/>
        </w:rPr>
        <w:t>1.一般约定</w:t>
      </w:r>
      <w:bookmarkEnd w:id="714"/>
      <w:bookmarkEnd w:id="715"/>
      <w:bookmarkEnd w:id="716"/>
      <w:bookmarkEnd w:id="717"/>
    </w:p>
    <w:p w14:paraId="42566747">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718" w:name="_BookMark_97"/>
      <w:bookmarkEnd w:id="718"/>
      <w:bookmarkStart w:id="719" w:name="_Toc11088927"/>
      <w:bookmarkStart w:id="720" w:name="_Toc24900"/>
      <w:bookmarkStart w:id="721" w:name="_Toc14866685"/>
      <w:bookmarkStart w:id="722" w:name="_Toc4661428"/>
      <w:r>
        <w:rPr>
          <w:rFonts w:hint="eastAsia" w:ascii="宋体" w:hAnsi="宋体" w:cs="宋体"/>
          <w:b w:val="0"/>
          <w:color w:val="auto"/>
          <w:sz w:val="21"/>
          <w:szCs w:val="21"/>
          <w:highlight w:val="none"/>
          <w:shd w:val="clear" w:color="auto" w:fill="FFFFFF"/>
        </w:rPr>
        <w:t>1.1  词语定义</w:t>
      </w:r>
      <w:bookmarkEnd w:id="719"/>
      <w:bookmarkEnd w:id="720"/>
      <w:bookmarkEnd w:id="721"/>
      <w:bookmarkEnd w:id="722"/>
    </w:p>
    <w:p w14:paraId="36AFB2C0">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合同条款通用部分、合同条款专用部分中的下列词语应具有本款所赋予的含义。</w:t>
      </w:r>
    </w:p>
    <w:p w14:paraId="79FA32C5">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1.1.1  合同</w:t>
      </w:r>
    </w:p>
    <w:p w14:paraId="7F8C97DF">
      <w:pPr>
        <w:widowControl/>
        <w:snapToGrid w:val="0"/>
        <w:spacing w:line="360" w:lineRule="auto"/>
        <w:ind w:left="210" w:leftChars="100" w:firstLine="63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1.1.1.1  合同文件（或称合同）：指合同协议书、中标通知书、投标函及投标函附录、合同条款专用部分、合同条款通用部分、技术标准和要求、图纸、已标价工程量清单，以及其他合同文件。</w:t>
      </w:r>
    </w:p>
    <w:p w14:paraId="541CA843">
      <w:pPr>
        <w:widowControl/>
        <w:snapToGrid w:val="0"/>
        <w:spacing w:line="360" w:lineRule="auto"/>
        <w:ind w:left="210" w:leftChars="100" w:firstLine="63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1.1.1.2  合同协议书：指第1.5款所指的合同协议书。</w:t>
      </w:r>
    </w:p>
    <w:p w14:paraId="0E0C8028">
      <w:pPr>
        <w:widowControl/>
        <w:snapToGrid w:val="0"/>
        <w:spacing w:line="360" w:lineRule="auto"/>
        <w:ind w:left="210" w:leftChars="100" w:firstLine="63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1.1.1.3  中标通知书：指发包人通知承包人中标的函件。</w:t>
      </w:r>
    </w:p>
    <w:p w14:paraId="58F2FEB8">
      <w:pPr>
        <w:widowControl/>
        <w:snapToGrid w:val="0"/>
        <w:spacing w:line="360" w:lineRule="auto"/>
        <w:ind w:left="210" w:leftChars="100" w:firstLine="63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1.1.1.4  投标函：指构成合同文件组成部分的由承包人填写并签署的投标函。</w:t>
      </w:r>
    </w:p>
    <w:p w14:paraId="45051759">
      <w:pPr>
        <w:widowControl/>
        <w:snapToGrid w:val="0"/>
        <w:spacing w:line="360" w:lineRule="auto"/>
        <w:ind w:left="210" w:leftChars="100" w:firstLine="63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1.1.1.5  投标函附录：指附在投标函后构成合同文件的投标函附录。</w:t>
      </w:r>
    </w:p>
    <w:p w14:paraId="7C82D7A2">
      <w:pPr>
        <w:widowControl/>
        <w:snapToGrid w:val="0"/>
        <w:spacing w:line="360" w:lineRule="auto"/>
        <w:ind w:left="210" w:leftChars="100" w:firstLine="63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1.1.1.6  合同条款：指构成合同文件组成部分的合同条款通用部分和（或）合同条款专用部分。</w:t>
      </w:r>
    </w:p>
    <w:p w14:paraId="3C4A632E">
      <w:pPr>
        <w:widowControl/>
        <w:snapToGrid w:val="0"/>
        <w:spacing w:line="360" w:lineRule="auto"/>
        <w:ind w:left="210" w:leftChars="100" w:firstLine="63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1.1.1.7  技术标准和要求：指构成合同文件组成部分的名为技术标准和要求的文件，包括合同双方当事人约定对其所作的修改或补充。</w:t>
      </w:r>
    </w:p>
    <w:p w14:paraId="7E5A7E16">
      <w:pPr>
        <w:widowControl/>
        <w:snapToGrid w:val="0"/>
        <w:spacing w:line="360" w:lineRule="auto"/>
        <w:ind w:left="210" w:leftChars="100" w:firstLine="63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1.1.1.8  图纸：指包含在合同中的工程图纸，以及由发包人按合同约定提供的任何补充和修改的图纸，包括配套的说明。</w:t>
      </w:r>
    </w:p>
    <w:p w14:paraId="0833B53F">
      <w:pPr>
        <w:widowControl/>
        <w:snapToGrid w:val="0"/>
        <w:spacing w:line="360" w:lineRule="auto"/>
        <w:ind w:left="210" w:leftChars="100" w:firstLine="63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1.1.1.9  已标价工程量清单：指构成合同文件组成部分的由承包人按照规定的格式和要求填写并标明价格的工程量清单。</w:t>
      </w:r>
    </w:p>
    <w:p w14:paraId="3E8E14EF">
      <w:pPr>
        <w:widowControl/>
        <w:snapToGrid w:val="0"/>
        <w:spacing w:line="360" w:lineRule="auto"/>
        <w:ind w:left="210" w:leftChars="100" w:firstLine="63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1.1.1.10  其他合同文件：指经合同双方当事人确认构成合同文件的其他文件。</w:t>
      </w:r>
    </w:p>
    <w:p w14:paraId="25EC4E1B">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1.1.2  合同当事人和人员</w:t>
      </w:r>
    </w:p>
    <w:p w14:paraId="1AFBE4FF">
      <w:pPr>
        <w:widowControl/>
        <w:snapToGrid w:val="0"/>
        <w:spacing w:line="360" w:lineRule="auto"/>
        <w:ind w:left="210" w:leftChars="100" w:firstLine="63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1.1.2.1  合同当事人：指发包人和（或）承包人。</w:t>
      </w:r>
    </w:p>
    <w:p w14:paraId="7442561F">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1.1.2.2  发包人：指合同协议书中约定，具有工程发包主体资格和承诺按照合同约定的条件、期限和方式向承包人支付工程价款的当事人，以及取得该当事人资格的合法继承人。发包人名称</w:t>
      </w:r>
      <w:r>
        <w:rPr>
          <w:rFonts w:ascii="宋体" w:hAnsi="宋体" w:cs="宋体"/>
          <w:color w:val="auto"/>
          <w:kern w:val="0"/>
          <w:szCs w:val="21"/>
          <w:highlight w:val="none"/>
          <w:shd w:val="clear" w:color="auto" w:fill="FFFFFF"/>
        </w:rPr>
        <w:t>见合同条款专用部分。</w:t>
      </w:r>
    </w:p>
    <w:p w14:paraId="64F1194A">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1.1.2.3  承包人：指合同协议书中约定，具有合同工程承包主体资格，并承诺按照合同约定进行施工、竣工、交付并承担质量缺陷保修责任的当事人，以及取得该当事人资格的合法继承人。承包人名称见合同条款专用部分。</w:t>
      </w:r>
    </w:p>
    <w:p w14:paraId="1EC97FF6">
      <w:pPr>
        <w:widowControl/>
        <w:snapToGrid w:val="0"/>
        <w:spacing w:line="360" w:lineRule="auto"/>
        <w:ind w:left="210" w:leftChars="100" w:firstLine="63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1.1.2.4  承包人项目经理：指承包人派驻施工场地的全权负责人。</w:t>
      </w:r>
    </w:p>
    <w:p w14:paraId="59CE3DB7">
      <w:pPr>
        <w:widowControl/>
        <w:snapToGrid w:val="0"/>
        <w:spacing w:line="360" w:lineRule="auto"/>
        <w:ind w:left="210" w:leftChars="100" w:firstLine="63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1.1.2.5  分包人：指从承包人处分包合同中某一部分工程，并与其签订分包合同的分包人。</w:t>
      </w:r>
    </w:p>
    <w:p w14:paraId="6EBDD085">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1.1.2.6  监理人：指发包人委托的对合同履行实施管理的法人或其他组织。监理人名称见合同条款专用部分。</w:t>
      </w:r>
    </w:p>
    <w:p w14:paraId="6A33B704">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1.1.2.7  总监理工程师（总监）：指由监理人委派常驻施工场地对合同履行实施管理的全权负责人。</w:t>
      </w:r>
    </w:p>
    <w:p w14:paraId="0ECEBCDB">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1.1.2.8  发包人代表：指由发包人指定的派驻施工场地（现场）的全权代表。发包人代表相关信息见合同条款专用部分。</w:t>
      </w:r>
    </w:p>
    <w:p w14:paraId="0CFCB6F6">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1.1.2.9  专业分包人：指根据合同条款第15.8.1项的约定，由发包人和承包人以招标方式选择的分包人。</w:t>
      </w:r>
    </w:p>
    <w:p w14:paraId="241A9788">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1.1.2.10  专项供应商：指根据合同条款第15.8.1项的约定，由发包人和承包人以招标方式选择的供应商。</w:t>
      </w:r>
    </w:p>
    <w:p w14:paraId="232246E4">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1.1.2.11  独立承包人：指与发包人直接订立工程承包合同，负责实施与工程有关的其他工作的当事人。</w:t>
      </w:r>
    </w:p>
    <w:p w14:paraId="1CBFF35A">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1.1.3  工程和设备</w:t>
      </w:r>
    </w:p>
    <w:p w14:paraId="581F3AC9">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1.1.3.1  工程：指永久工程和（或）临时工程。</w:t>
      </w:r>
    </w:p>
    <w:p w14:paraId="01E8F33A">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1.1.3.2  永久工程：指按照合同约定所需建造、完成并移交给发包人的工程，包括工程设备。永久工程的约定见合同条款专用部分。</w:t>
      </w:r>
    </w:p>
    <w:p w14:paraId="67822B30">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1.1.3.3  临时工程：指为完成合同约定的永久工程所修建的各类临时性工程，不包括施工设备。临时工程的约定见合同条款专用部分。</w:t>
      </w:r>
    </w:p>
    <w:p w14:paraId="4B29A57B">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1.1.3.4  单位工程：指具有相对独立的设计文件，能够独立组织施工并能形成独立使用功能的永久工程的组成部分。</w:t>
      </w:r>
    </w:p>
    <w:p w14:paraId="4CE8456E">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1.1.3.5  工程设备：指构成或计划构成永久工程一部分的机电设备、金属结构设备、仪器装置及其他类似的设备和装置。</w:t>
      </w:r>
    </w:p>
    <w:p w14:paraId="4136C827">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1.1.3.6  施工设备：指为完成合同约定的各项工作所需的设备、器具和其他物品，不包括临时工程和材料。</w:t>
      </w:r>
    </w:p>
    <w:p w14:paraId="13C6ECC4">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1.1.3.7  临时设施：指为完成合同约定的各项工作所服务的临时性生产和生活设施。</w:t>
      </w:r>
    </w:p>
    <w:p w14:paraId="4B2DC8E5">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1.1.3.8  承包人设备：指承包人自带的施工设备。</w:t>
      </w:r>
    </w:p>
    <w:p w14:paraId="27630C48">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1.1.3.9  施工场地（或称工地、现场）：指用于合同工程施工的场所，以及在合同中指定作为施工场地组成部分的其他场所，包括永久占地和临时占地。</w:t>
      </w:r>
    </w:p>
    <w:p w14:paraId="7E3D9C85">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1.1.3.10  永久占地：指为实施合同工程需永久占用的土地。永久占地的约定见合同条款专用部分。</w:t>
      </w:r>
    </w:p>
    <w:p w14:paraId="69EBDA7A">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1.1.3.11  临时占地：指为实施合同工程需临时占用的土地。临时占地的约定见合同条款专用部分。</w:t>
      </w:r>
    </w:p>
    <w:p w14:paraId="1CC7735C">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1.1.3.12  材料：指构成或将构成永久工程组成部分的各类物品(工程设备除外)，包括合同中可能约定的承包人仅负责供应的材料。</w:t>
      </w:r>
    </w:p>
    <w:p w14:paraId="260C56D9">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1.1.4  日期</w:t>
      </w:r>
    </w:p>
    <w:p w14:paraId="289F4C74">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1.1.4.1  开工通知：指监理人按第11.1款通知承包人开工的函件。</w:t>
      </w:r>
    </w:p>
    <w:p w14:paraId="02E6DBE1">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1.1.4.2  开工日期：指监理人按第11.1款发出的开工通知中写明的开工日期。</w:t>
      </w:r>
    </w:p>
    <w:p w14:paraId="32850BD4">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1.1.4.3  工期：指承包人在投标函中承诺的完成合同工程所需的期限，包括按第11.3款、第11.4款和第11.6款约定所作的变更。</w:t>
      </w:r>
    </w:p>
    <w:p w14:paraId="62924088">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1.1.4.4  竣工日期：指第1.1.4.3目约定工期届满时的日期。实际竣工日期以工程接收证书中写明的日期为准。</w:t>
      </w:r>
    </w:p>
    <w:p w14:paraId="475C2B2D">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1.1.4.5  缺陷责任期：指履行第19.2款约定的缺陷责任的期限，包括根据第19.3款约定所作的延长。缺陷责任期的具体期限见合同条款专用部分。</w:t>
      </w:r>
    </w:p>
    <w:p w14:paraId="58BF7B57">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1.1.4.6  基准日期：指投标截止时间前28天的日期。</w:t>
      </w:r>
    </w:p>
    <w:p w14:paraId="198D6E67">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1.1.4.7  天：除特别指明外，指日历天。合同中按天计算时间的，开始当天不计入，从次日开始计算。期限最后一天的截止时间为当天24:00。</w:t>
      </w:r>
    </w:p>
    <w:p w14:paraId="345AB815">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1.1.4.8  保修期：是根据现行有关法律规定，在合同条款第19.7款中约定的由承包人负责对合同约定的保修范围内发生的质量问题履行保修义务并对造成的损失承担赔偿责任的期限。</w:t>
      </w:r>
    </w:p>
    <w:p w14:paraId="6D9B942E">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1.1.5  合同价格和费用</w:t>
      </w:r>
    </w:p>
    <w:p w14:paraId="1084AE18">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1.1.5.1  签约合同价：指合同协议书中写明的，包括了暂列金额、暂估价的合同总金额。</w:t>
      </w:r>
    </w:p>
    <w:p w14:paraId="60FF7648">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1.1.5.2  合同价格：指承包人按合同约定完成了包括缺陷责任期内的全部承包工作后，发包人应付给承包人的金额，包括在履行合同过程中按合同约定进行的变更和调整。</w:t>
      </w:r>
    </w:p>
    <w:p w14:paraId="6F53D984">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1.1.5.3  费用：指为履行合同所发生的或将要发生的所有合理开支，包括管理费和应分摊的其他费用，但不包括利润。</w:t>
      </w:r>
    </w:p>
    <w:p w14:paraId="0460BBAB">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1.1.5.4  暂列金额：指已标价工程量清单中所列的暂列金额，用于在签订协议书时尚未确定或不可预见变更的施工及其所需材料、工程设备、服务等的金额，包括以计日工方式支付的金额。</w:t>
      </w:r>
    </w:p>
    <w:p w14:paraId="6284C59F">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1.1.5.5  暂估价：指发包人在工程量清单中给定的用于支付必然发生但暂时不能确定价格的材料、设备以及专业工程的金额。</w:t>
      </w:r>
    </w:p>
    <w:p w14:paraId="75CA0C50">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1.1.5.6  计日工：指对零星工作采取的一种计价方式，按合同中的计日工子目及其单价计价付款。</w:t>
      </w:r>
    </w:p>
    <w:p w14:paraId="06C3E33C">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1.1.5.7  质量保证金（或称保留金）：指按第17.4.1项约定用于保证在缺陷责任期内履行缺陷修复义务的金额。</w:t>
      </w:r>
    </w:p>
    <w:p w14:paraId="417BADA4">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1.1.6  书面形式</w:t>
      </w:r>
    </w:p>
    <w:p w14:paraId="1ABBED84">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书面形式：指合同文件、信函、电报、传真等可以有形地表现所载内容的形式。</w:t>
      </w:r>
    </w:p>
    <w:p w14:paraId="2C7483D9">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1.1.7  争议评审组</w:t>
      </w:r>
    </w:p>
    <w:p w14:paraId="19E5D0A3">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争议评审组：是由发包人和承包人共同聘请的人员组成的独立、公正的第三方临时性组织，一般由一名或者三名合同管理和（或）工程管理专家组成。争议评审组负责对发包人和（或）承包人提请进行评审的本合同项下的争议进行评审并在规定的期限内给出评审意见，合同双方在规定的期限内均未对评审意见提出异议时，评审意见对合同双方有最终约束力。发包人和承包人应当分别与接受聘请的争议评审专家签订聘用协议，就评审的争议范围、评审意见效力等必要事项</w:t>
      </w:r>
      <w:r>
        <w:rPr>
          <w:rFonts w:hint="eastAsia" w:ascii="宋体" w:hAnsi="宋体" w:cs="宋体"/>
          <w:color w:val="auto"/>
          <w:kern w:val="0"/>
          <w:szCs w:val="21"/>
          <w:highlight w:val="none"/>
          <w:shd w:val="clear" w:color="auto" w:fill="FFFFFF"/>
          <w:lang w:eastAsia="zh-CN"/>
        </w:rPr>
        <w:t>作出</w:t>
      </w:r>
      <w:r>
        <w:rPr>
          <w:rFonts w:hint="eastAsia" w:ascii="宋体" w:hAnsi="宋体" w:cs="宋体"/>
          <w:color w:val="auto"/>
          <w:kern w:val="0"/>
          <w:szCs w:val="21"/>
          <w:highlight w:val="none"/>
          <w:shd w:val="clear" w:color="auto" w:fill="FFFFFF"/>
        </w:rPr>
        <w:t>约定。</w:t>
      </w:r>
    </w:p>
    <w:p w14:paraId="0F57AF75">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1.1.8  其他需要补充的内容</w:t>
      </w:r>
    </w:p>
    <w:p w14:paraId="5739F01F">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其他需要补充的内容见合同条款专用部分。</w:t>
      </w:r>
    </w:p>
    <w:p w14:paraId="0B796BE3">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723" w:name="_BookMark_98"/>
      <w:bookmarkEnd w:id="723"/>
      <w:bookmarkStart w:id="724" w:name="_Toc14866686"/>
      <w:bookmarkStart w:id="725" w:name="_Toc4661429"/>
      <w:bookmarkStart w:id="726" w:name="_Toc11088928"/>
      <w:bookmarkStart w:id="727" w:name="_Toc13763"/>
      <w:r>
        <w:rPr>
          <w:rFonts w:hint="eastAsia" w:ascii="宋体" w:hAnsi="宋体" w:cs="宋体"/>
          <w:b w:val="0"/>
          <w:color w:val="auto"/>
          <w:sz w:val="21"/>
          <w:szCs w:val="21"/>
          <w:highlight w:val="none"/>
          <w:shd w:val="clear" w:color="auto" w:fill="FFFFFF"/>
        </w:rPr>
        <w:t>1.2  语言文字</w:t>
      </w:r>
      <w:bookmarkEnd w:id="724"/>
      <w:bookmarkEnd w:id="725"/>
      <w:bookmarkEnd w:id="726"/>
      <w:bookmarkEnd w:id="727"/>
    </w:p>
    <w:p w14:paraId="39CA54CA">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除专用术语外，合同使用的语言文字为中文。必要时专用术语应附有中文注释。</w:t>
      </w:r>
    </w:p>
    <w:p w14:paraId="63FF1ED0">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728" w:name="_BookMark_99"/>
      <w:bookmarkEnd w:id="728"/>
      <w:bookmarkStart w:id="729" w:name="_Toc14866687"/>
      <w:bookmarkStart w:id="730" w:name="_Toc9775"/>
      <w:bookmarkStart w:id="731" w:name="_Toc4661430"/>
      <w:bookmarkStart w:id="732" w:name="_Toc11088929"/>
      <w:r>
        <w:rPr>
          <w:rFonts w:hint="eastAsia" w:ascii="宋体" w:hAnsi="宋体" w:cs="宋体"/>
          <w:b w:val="0"/>
          <w:color w:val="auto"/>
          <w:sz w:val="21"/>
          <w:szCs w:val="21"/>
          <w:highlight w:val="none"/>
          <w:shd w:val="clear" w:color="auto" w:fill="FFFFFF"/>
        </w:rPr>
        <w:t>1.3  法律</w:t>
      </w:r>
      <w:bookmarkEnd w:id="729"/>
      <w:bookmarkEnd w:id="730"/>
      <w:bookmarkEnd w:id="731"/>
      <w:bookmarkEnd w:id="732"/>
    </w:p>
    <w:p w14:paraId="63AE4AD7">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适用于合同的法律包括中华人民共和国法律、行政法规、部门规章，以及工程所在地的地方法规、自治条例、单行条例和地方政府规章。</w:t>
      </w:r>
    </w:p>
    <w:p w14:paraId="0CA2DB01">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733" w:name="_BookMark_100"/>
      <w:bookmarkEnd w:id="733"/>
      <w:bookmarkStart w:id="734" w:name="_Toc11088930"/>
      <w:bookmarkStart w:id="735" w:name="_Toc8414"/>
      <w:bookmarkStart w:id="736" w:name="_Toc14866688"/>
      <w:bookmarkStart w:id="737" w:name="_Toc4661431"/>
      <w:r>
        <w:rPr>
          <w:rFonts w:hint="eastAsia" w:ascii="宋体" w:hAnsi="宋体" w:cs="宋体"/>
          <w:b w:val="0"/>
          <w:color w:val="auto"/>
          <w:sz w:val="21"/>
          <w:szCs w:val="21"/>
          <w:highlight w:val="none"/>
          <w:shd w:val="clear" w:color="auto" w:fill="FFFFFF"/>
        </w:rPr>
        <w:t>1.4  合同文件的优先顺序</w:t>
      </w:r>
      <w:bookmarkEnd w:id="734"/>
      <w:bookmarkEnd w:id="735"/>
      <w:bookmarkEnd w:id="736"/>
      <w:bookmarkEnd w:id="737"/>
    </w:p>
    <w:p w14:paraId="58995654">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组成合同的各项文件应互相解释，互为说明。除合同条款专用部分另有约定外，解释合同文件的优先顺序如下：</w:t>
      </w:r>
    </w:p>
    <w:p w14:paraId="226C65DC">
      <w:pPr>
        <w:widowControl/>
        <w:snapToGrid w:val="0"/>
        <w:spacing w:line="360" w:lineRule="auto"/>
        <w:ind w:left="210" w:leftChars="100" w:firstLine="315"/>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（1）合同协议书；</w:t>
      </w:r>
    </w:p>
    <w:p w14:paraId="39F23A81">
      <w:pPr>
        <w:widowControl/>
        <w:snapToGrid w:val="0"/>
        <w:spacing w:line="360" w:lineRule="auto"/>
        <w:ind w:left="210" w:leftChars="100" w:firstLine="315"/>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（2）中标通知书；</w:t>
      </w:r>
    </w:p>
    <w:p w14:paraId="6CE781B3">
      <w:pPr>
        <w:widowControl/>
        <w:snapToGrid w:val="0"/>
        <w:spacing w:line="360" w:lineRule="auto"/>
        <w:ind w:left="210" w:leftChars="100" w:firstLine="315"/>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（3）投标函及投标函附录；</w:t>
      </w:r>
    </w:p>
    <w:p w14:paraId="191B57EB">
      <w:pPr>
        <w:widowControl/>
        <w:snapToGrid w:val="0"/>
        <w:spacing w:line="360" w:lineRule="auto"/>
        <w:ind w:left="210" w:leftChars="100" w:firstLine="315"/>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（4）合同条款专用部分；</w:t>
      </w:r>
    </w:p>
    <w:p w14:paraId="70CDA860">
      <w:pPr>
        <w:widowControl/>
        <w:snapToGrid w:val="0"/>
        <w:spacing w:line="360" w:lineRule="auto"/>
        <w:ind w:left="210" w:leftChars="100" w:firstLine="315"/>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（5）合同条款通用部分；</w:t>
      </w:r>
    </w:p>
    <w:p w14:paraId="5B261E00">
      <w:pPr>
        <w:widowControl/>
        <w:snapToGrid w:val="0"/>
        <w:spacing w:line="360" w:lineRule="auto"/>
        <w:ind w:left="210" w:leftChars="100" w:firstLine="315"/>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（6）技术标准和要求；</w:t>
      </w:r>
    </w:p>
    <w:p w14:paraId="03AA7814">
      <w:pPr>
        <w:widowControl/>
        <w:snapToGrid w:val="0"/>
        <w:spacing w:line="360" w:lineRule="auto"/>
        <w:ind w:left="210" w:leftChars="100" w:firstLine="315"/>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（7）图纸；</w:t>
      </w:r>
    </w:p>
    <w:p w14:paraId="33138357">
      <w:pPr>
        <w:widowControl/>
        <w:snapToGrid w:val="0"/>
        <w:spacing w:line="360" w:lineRule="auto"/>
        <w:ind w:left="210" w:leftChars="100" w:firstLine="315"/>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（8）已标价工程量清单；</w:t>
      </w:r>
    </w:p>
    <w:p w14:paraId="78391547">
      <w:pPr>
        <w:widowControl/>
        <w:snapToGrid w:val="0"/>
        <w:spacing w:line="360" w:lineRule="auto"/>
        <w:ind w:left="210" w:leftChars="100" w:firstLine="315"/>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（9）其他合同文件。</w:t>
      </w:r>
    </w:p>
    <w:p w14:paraId="79EBE70F">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附注：构成合同文件的图纸与技术标准和要求之间有矛盾或者不一致的，应以其中要求较严格的标准为准。</w:t>
      </w:r>
    </w:p>
    <w:p w14:paraId="3450D87D">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合同双方在合同履行过程中签署的不背离合同实质性内容的补充协议，应当视为合同文件的有效组成部分，其解释顺序视其内容与其他合同文件的相互关系而定。</w:t>
      </w:r>
    </w:p>
    <w:p w14:paraId="161E26E0">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738" w:name="_BookMark_101"/>
      <w:bookmarkEnd w:id="738"/>
      <w:bookmarkStart w:id="739" w:name="_Toc14866689"/>
      <w:bookmarkStart w:id="740" w:name="_Toc11088931"/>
      <w:bookmarkStart w:id="741" w:name="_Toc19433"/>
      <w:bookmarkStart w:id="742" w:name="_Toc4661432"/>
      <w:r>
        <w:rPr>
          <w:rFonts w:hint="eastAsia" w:ascii="宋体" w:hAnsi="宋体" w:cs="宋体"/>
          <w:b w:val="0"/>
          <w:color w:val="auto"/>
          <w:sz w:val="21"/>
          <w:szCs w:val="21"/>
          <w:highlight w:val="none"/>
          <w:shd w:val="clear" w:color="auto" w:fill="FFFFFF"/>
        </w:rPr>
        <w:t>1.5  合同协议书</w:t>
      </w:r>
      <w:bookmarkEnd w:id="739"/>
      <w:bookmarkEnd w:id="740"/>
      <w:bookmarkEnd w:id="741"/>
      <w:bookmarkEnd w:id="742"/>
    </w:p>
    <w:p w14:paraId="23A92903">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指由发包人与承包人共同签署的用于明确当事人合同关系的文件。承包人按照中标通知书规定的时间与发包人签订的合同协议书，除法律另有规定或合同条款专用部分另有约定外，发包人和承包人的法定代表人或其委托代理人在合同协议书上签字并盖单位章后，合同生效。合同生效的条件见合同条款专用部分。</w:t>
      </w:r>
    </w:p>
    <w:p w14:paraId="752E233B">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743" w:name="_BookMark_102"/>
      <w:bookmarkEnd w:id="743"/>
      <w:bookmarkStart w:id="744" w:name="_Toc15540"/>
      <w:bookmarkStart w:id="745" w:name="_Toc11088932"/>
      <w:bookmarkStart w:id="746" w:name="_Toc4661433"/>
      <w:bookmarkStart w:id="747" w:name="_Toc14866690"/>
      <w:r>
        <w:rPr>
          <w:rFonts w:hint="eastAsia" w:ascii="宋体" w:hAnsi="宋体" w:cs="宋体"/>
          <w:b w:val="0"/>
          <w:color w:val="auto"/>
          <w:sz w:val="21"/>
          <w:szCs w:val="21"/>
          <w:highlight w:val="none"/>
          <w:shd w:val="clear" w:color="auto" w:fill="FFFFFF"/>
        </w:rPr>
        <w:t>1.6  图纸和承包人文件</w:t>
      </w:r>
      <w:bookmarkEnd w:id="744"/>
      <w:bookmarkEnd w:id="745"/>
      <w:bookmarkEnd w:id="746"/>
      <w:bookmarkEnd w:id="747"/>
    </w:p>
    <w:p w14:paraId="31A8A2CD">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1.6.1  图纸的提供</w:t>
      </w:r>
    </w:p>
    <w:p w14:paraId="71FA0520">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（1）发包人按照合同约定向承包人提供图纸。发包人未按时提供图纸造成工期延误的，按第11.3款的约定办理。承包人需要增加图纸套数的，发包人应代为复制，复制费用由承包人承担。</w:t>
      </w:r>
    </w:p>
    <w:p w14:paraId="25FA87D3">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2）依据合同条款专用部分第10.1款约定制定的合同进度计划，或依据合同条款专用部分第10.2款约定修订的合同进度计划，经监理人批准后7日内，承包人应当根据合同进度计划或合同进度计划修订和本项约定的图纸提供期限和数量，编制或者修改图纸供应计划并报送监理人，其中应当载明承包人对各最新版本图纸(包括第1.6.3项约定的图纸修改图)的最迟需求时间，监理人应当在收到图纸供应计划后7天内批复或提出修改意见，否则该图纸供应计划视为得到批准。</w:t>
      </w:r>
    </w:p>
    <w:p w14:paraId="6713E1F3">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3）经监理人批准最新的图纸供应计划对合同双方有合同约束力，应当作为发包人或者监理人向承包人提供图纸的主要依据。发包人或者监理人不按照图纸供应计划提供图纸而导致承包人费用增加和（或）工期延误的，由发包人承担赔偿责任。</w:t>
      </w:r>
    </w:p>
    <w:p w14:paraId="3696F872">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（4）承包人未按照约定的时间向监理人提交图纸供应计划,致使发包人或者监理人未能在约定的时间内提供相应图纸或者承包人未按照图纸供应计划组织施工所造成的费用增加和（或）工期延误由承包人承担。</w:t>
      </w:r>
    </w:p>
    <w:p w14:paraId="0D24B688">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（5）发包人提供图纸的期限、数量和其他约定见合同条款专用部分。</w:t>
      </w:r>
    </w:p>
    <w:p w14:paraId="3534340A">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1.6.2  承包人提供的文件</w:t>
      </w:r>
    </w:p>
    <w:p w14:paraId="3B1A7558">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由承包人提供的文件包括部分工程的大样图、加工图等，承包人应当按照约定的范围、数量和期限报送监理人，监理人应当在约定的期限内批复。承包人提供文件的范围、数量、期限和监理人批复期限以及其他约定见合同条款专用部分。</w:t>
      </w:r>
    </w:p>
    <w:p w14:paraId="1993583A">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（2）除合同条款第4.1.10项约定的由承包人提供的设计文件外，本项约定的其他应由承包人提供的文件，包括必要的加工图和大样图，均不能作为合同计量与支付的依据文件。</w:t>
      </w:r>
    </w:p>
    <w:p w14:paraId="11E8C7C0">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1.6.3  图纸的修改</w:t>
      </w:r>
    </w:p>
    <w:p w14:paraId="4A9E4493">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图纸需要修改和补充的，监理人应当按照合同条款第1.6.1（2）目约定的有合同约束力的图纸供应计划，签发图纸修改图给承包人。承包人应按修改后的图纸施工。</w:t>
      </w:r>
    </w:p>
    <w:p w14:paraId="6321F632">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1.6.4  图纸的错误</w:t>
      </w:r>
    </w:p>
    <w:p w14:paraId="586AE611">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承包人发现发包人提供的图纸存在明显错误或疏忽，应及时通知监理人。</w:t>
      </w:r>
    </w:p>
    <w:p w14:paraId="28E3167A">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1.6.5  图纸和承包人文件的保管</w:t>
      </w:r>
    </w:p>
    <w:p w14:paraId="678DA2D1">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监理人和承包人均应在施工场地各保存一套完整的包含第1.6.1项、第1.6.2项、第1.6.3项约定内容的图纸和承包人文件。</w:t>
      </w:r>
    </w:p>
    <w:p w14:paraId="7160A135">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748" w:name="_BookMark_103"/>
      <w:bookmarkEnd w:id="748"/>
      <w:bookmarkStart w:id="749" w:name="_Toc11088933"/>
      <w:bookmarkStart w:id="750" w:name="_Toc14866691"/>
      <w:bookmarkStart w:id="751" w:name="_Toc2817"/>
      <w:bookmarkStart w:id="752" w:name="_Toc4661434"/>
      <w:r>
        <w:rPr>
          <w:rFonts w:hint="eastAsia" w:ascii="宋体" w:hAnsi="宋体" w:cs="宋体"/>
          <w:b w:val="0"/>
          <w:color w:val="auto"/>
          <w:sz w:val="21"/>
          <w:szCs w:val="21"/>
          <w:highlight w:val="none"/>
          <w:shd w:val="clear" w:color="auto" w:fill="FFFFFF"/>
        </w:rPr>
        <w:t>1.7  联络</w:t>
      </w:r>
      <w:bookmarkEnd w:id="749"/>
      <w:bookmarkEnd w:id="750"/>
      <w:bookmarkEnd w:id="751"/>
      <w:bookmarkEnd w:id="752"/>
    </w:p>
    <w:p w14:paraId="78880A70">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1.7.1  与合同有关的通知、批准、证明、证书、指示、要求、请求、同意、意见、确定和决定等，均应采用书面形式。</w:t>
      </w:r>
    </w:p>
    <w:p w14:paraId="1C923D3C">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1.7.2  第1.7.1项中的通知、批准、证明、证书、指示、要求、请求、同意、意见、确定和决定等来往函件，均应在合同约定的期限内送达指定地点和接收人，并办理签收手续。</w:t>
      </w:r>
    </w:p>
    <w:p w14:paraId="7E28BA6B">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（1）联络来往信函的送达期限：合同约定了发出期限的，送达期限为合同约定的发出期限后的24小时内；合同约定了通知、提供或者报送期限的，通知、提供或者报送期限即为送达期限。</w:t>
      </w:r>
    </w:p>
    <w:p w14:paraId="089CE25F">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（2）发包人指定的接收人和接收地点见合同条款专用部分。</w:t>
      </w:r>
    </w:p>
    <w:p w14:paraId="4277620A">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（3）监理人指定的接收人和接收地点见合同条款专用部分。</w:t>
      </w:r>
    </w:p>
    <w:p w14:paraId="7FA2AA1F">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承包人指定的接收人为合同协议书中载明的承包人项目经理本人或者项目经理的授权代表。承包人应在收到开工通知后7天内，按照合同条款第4.5.4项的约定，将授权代表其接收来往信函的项目经理的授权代表姓名和授权范围通知监理人。除合同另有约定外，承包人施工场地管理机构的办公地点即为承包人指定的接收地点。</w:t>
      </w:r>
    </w:p>
    <w:p w14:paraId="3774D08F">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5）发包人（包括监理人）和承包人中任何一方指定的接收人或者接收地点发生变动，应当在实际变动前提前至少一个工作日以书面形式通知另一方。发包人（包括监理人）和承包人应当确保其各自指定的接收人在法定的和（或）符合合同约定的工作时间内始终工作在指定的接收地点，指定接收人离开工作岗位而无法及时签收来往信函视为拒不签收。</w:t>
      </w:r>
    </w:p>
    <w:p w14:paraId="0394D195">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6）发包人（包括监理人）和承包人中任何一方均应当及时签收另一方送达其指定接收地点的来往信函，拒不签收的，送达信函的一方可以采用挂号或者公证方式送达，由此所造成的直接的和间接的费用增加（包括被迫采用特殊送达方式所发生的费用）和（或）延误的工期由拒绝签收一方承担。</w:t>
      </w:r>
    </w:p>
    <w:p w14:paraId="6B66B5D9">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753" w:name="_BookMark_104"/>
      <w:bookmarkEnd w:id="753"/>
      <w:bookmarkStart w:id="754" w:name="_Toc11088934"/>
      <w:bookmarkStart w:id="755" w:name="_Toc6845"/>
      <w:bookmarkStart w:id="756" w:name="_Toc4661435"/>
      <w:bookmarkStart w:id="757" w:name="_Toc14866692"/>
      <w:r>
        <w:rPr>
          <w:rFonts w:hint="eastAsia" w:ascii="宋体" w:hAnsi="宋体" w:cs="宋体"/>
          <w:b w:val="0"/>
          <w:color w:val="auto"/>
          <w:sz w:val="21"/>
          <w:szCs w:val="21"/>
          <w:highlight w:val="none"/>
          <w:shd w:val="clear" w:color="auto" w:fill="FFFFFF"/>
        </w:rPr>
        <w:t>1.8  转让</w:t>
      </w:r>
      <w:bookmarkEnd w:id="754"/>
      <w:bookmarkEnd w:id="755"/>
      <w:bookmarkEnd w:id="756"/>
      <w:bookmarkEnd w:id="757"/>
    </w:p>
    <w:p w14:paraId="416838A1">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除合同另有约定外，未经对方当事人同意，一方当事人不得将合同权利全部或部分转让给第三人，也不得全部或部分转移合同义务。</w:t>
      </w:r>
    </w:p>
    <w:p w14:paraId="51662614">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758" w:name="_BookMark_105"/>
      <w:bookmarkEnd w:id="758"/>
      <w:bookmarkStart w:id="759" w:name="_Toc11088935"/>
      <w:bookmarkStart w:id="760" w:name="_Toc9618"/>
      <w:bookmarkStart w:id="761" w:name="_Toc4661436"/>
      <w:bookmarkStart w:id="762" w:name="_Toc14866693"/>
      <w:r>
        <w:rPr>
          <w:rFonts w:hint="eastAsia" w:ascii="宋体" w:hAnsi="宋体" w:cs="宋体"/>
          <w:b w:val="0"/>
          <w:color w:val="auto"/>
          <w:sz w:val="21"/>
          <w:szCs w:val="21"/>
          <w:highlight w:val="none"/>
          <w:shd w:val="clear" w:color="auto" w:fill="FFFFFF"/>
        </w:rPr>
        <w:t>1.9  严禁贿赂</w:t>
      </w:r>
      <w:bookmarkEnd w:id="759"/>
      <w:bookmarkEnd w:id="760"/>
      <w:bookmarkEnd w:id="761"/>
      <w:bookmarkEnd w:id="762"/>
    </w:p>
    <w:p w14:paraId="12C8A403">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合同双方当事人不得以贿赂或变相贿赂的方式，谋取不当利益或损害对方权益。因贿赂造成对方损失的，行为人应赔偿损失，并承担相应的法律责任。</w:t>
      </w:r>
    </w:p>
    <w:p w14:paraId="453214A9">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763" w:name="_BookMark_106"/>
      <w:bookmarkEnd w:id="763"/>
      <w:bookmarkStart w:id="764" w:name="_Toc6434"/>
      <w:bookmarkStart w:id="765" w:name="_Toc4661437"/>
      <w:bookmarkStart w:id="766" w:name="_Toc11088936"/>
      <w:bookmarkStart w:id="767" w:name="_Toc14866694"/>
      <w:r>
        <w:rPr>
          <w:rFonts w:hint="eastAsia" w:ascii="宋体" w:hAnsi="宋体" w:cs="宋体"/>
          <w:b w:val="0"/>
          <w:color w:val="auto"/>
          <w:sz w:val="21"/>
          <w:szCs w:val="21"/>
          <w:highlight w:val="none"/>
          <w:shd w:val="clear" w:color="auto" w:fill="FFFFFF"/>
        </w:rPr>
        <w:t>1.10  化石、文物</w:t>
      </w:r>
      <w:bookmarkEnd w:id="764"/>
      <w:bookmarkEnd w:id="765"/>
      <w:bookmarkEnd w:id="766"/>
      <w:bookmarkEnd w:id="767"/>
    </w:p>
    <w:p w14:paraId="0B47899A">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1.10.1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p>
    <w:p w14:paraId="4F6CC32E">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1.10.2  承包人发现文物后不及时报告或隐瞒不报，致使文物丢失或损坏的，应赔偿损失，并承担相应的法律责任。</w:t>
      </w:r>
    </w:p>
    <w:p w14:paraId="0536B1F4">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768" w:name="_BookMark_107"/>
      <w:bookmarkEnd w:id="768"/>
      <w:bookmarkStart w:id="769" w:name="_Toc11088937"/>
      <w:bookmarkStart w:id="770" w:name="_Toc31667"/>
      <w:bookmarkStart w:id="771" w:name="_Toc4661438"/>
      <w:bookmarkStart w:id="772" w:name="_Toc14866695"/>
      <w:r>
        <w:rPr>
          <w:rFonts w:hint="eastAsia" w:ascii="宋体" w:hAnsi="宋体" w:cs="宋体"/>
          <w:b w:val="0"/>
          <w:color w:val="auto"/>
          <w:sz w:val="21"/>
          <w:szCs w:val="21"/>
          <w:highlight w:val="none"/>
          <w:shd w:val="clear" w:color="auto" w:fill="FFFFFF"/>
        </w:rPr>
        <w:t>1.11  专利技术</w:t>
      </w:r>
      <w:bookmarkEnd w:id="769"/>
      <w:bookmarkEnd w:id="770"/>
      <w:bookmarkEnd w:id="771"/>
      <w:bookmarkEnd w:id="772"/>
    </w:p>
    <w:p w14:paraId="4350EC26">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1.11.1  承包人在使用任何材料、承包人设备、工程设备或采用施工工艺时，因侵犯专利权或其他知识产权所引起的责任，由承包人承担，但由于遵照发包人提供的设计或技术标准和要求引起的除外。</w:t>
      </w:r>
    </w:p>
    <w:p w14:paraId="4543F75E">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1.11.2  承包人在投标文件中采用专利技术的，专利技术的使用费包含在投标报价内。</w:t>
      </w:r>
    </w:p>
    <w:p w14:paraId="4FBEC788">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1.11.3  承包人的技术秘密和声明需要保密的资料和信息，发包人和监理人不得为合同以外的目的泄露给他人。</w:t>
      </w:r>
    </w:p>
    <w:p w14:paraId="15376896">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773" w:name="_BookMark_108"/>
      <w:bookmarkEnd w:id="773"/>
      <w:bookmarkStart w:id="774" w:name="_Toc11088938"/>
      <w:bookmarkStart w:id="775" w:name="_Toc4661439"/>
      <w:bookmarkStart w:id="776" w:name="_Toc28654"/>
      <w:bookmarkStart w:id="777" w:name="_Toc14866696"/>
      <w:r>
        <w:rPr>
          <w:rFonts w:hint="eastAsia" w:ascii="宋体" w:hAnsi="宋体" w:cs="宋体"/>
          <w:b w:val="0"/>
          <w:color w:val="auto"/>
          <w:sz w:val="21"/>
          <w:szCs w:val="21"/>
          <w:highlight w:val="none"/>
          <w:shd w:val="clear" w:color="auto" w:fill="FFFFFF"/>
        </w:rPr>
        <w:t>1.12  图纸和文件的保密</w:t>
      </w:r>
      <w:bookmarkEnd w:id="774"/>
      <w:bookmarkEnd w:id="775"/>
      <w:bookmarkEnd w:id="776"/>
      <w:bookmarkEnd w:id="777"/>
    </w:p>
    <w:p w14:paraId="4CD48DA9">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1.12.1  发包人提供的图纸和文件，未经发包人同意，承包人不得为合同以外的目的泄露给他人或公开发表与引用。</w:t>
      </w:r>
    </w:p>
    <w:p w14:paraId="6429D2ED">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1.12.2  承包人提供的文件，未经承包人同意，发包人和监理人不得为合同以外的目的泄露给他人或公开发表与引用。</w:t>
      </w:r>
    </w:p>
    <w:p w14:paraId="3853A0B7">
      <w:pPr>
        <w:pStyle w:val="3"/>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778" w:name="_BookMark_109"/>
      <w:bookmarkEnd w:id="778"/>
      <w:bookmarkStart w:id="779" w:name="_Toc1129"/>
      <w:bookmarkStart w:id="780" w:name="_Toc11088939"/>
      <w:bookmarkStart w:id="781" w:name="_Toc14866697"/>
      <w:bookmarkStart w:id="782" w:name="_Toc4661440"/>
      <w:r>
        <w:rPr>
          <w:rFonts w:hint="eastAsia" w:ascii="宋体" w:hAnsi="宋体"/>
          <w:b w:val="0"/>
          <w:color w:val="auto"/>
          <w:sz w:val="21"/>
          <w:szCs w:val="21"/>
          <w:highlight w:val="none"/>
          <w:shd w:val="clear" w:color="auto" w:fill="FFFFFF"/>
        </w:rPr>
        <w:t>2.发包人义务</w:t>
      </w:r>
      <w:bookmarkEnd w:id="779"/>
      <w:bookmarkEnd w:id="780"/>
      <w:bookmarkEnd w:id="781"/>
      <w:bookmarkEnd w:id="782"/>
    </w:p>
    <w:p w14:paraId="50829264">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783" w:name="_BookMark_110"/>
      <w:bookmarkEnd w:id="783"/>
      <w:bookmarkStart w:id="784" w:name="_Toc4661441"/>
      <w:bookmarkStart w:id="785" w:name="_Toc14866698"/>
      <w:bookmarkStart w:id="786" w:name="_Toc25767"/>
      <w:bookmarkStart w:id="787" w:name="_Toc11088940"/>
      <w:r>
        <w:rPr>
          <w:rFonts w:hint="eastAsia" w:ascii="宋体" w:hAnsi="宋体" w:cs="宋体"/>
          <w:b w:val="0"/>
          <w:color w:val="auto"/>
          <w:sz w:val="21"/>
          <w:szCs w:val="21"/>
          <w:highlight w:val="none"/>
          <w:shd w:val="clear" w:color="auto" w:fill="FFFFFF"/>
        </w:rPr>
        <w:t>2.1  遵守法律</w:t>
      </w:r>
      <w:bookmarkEnd w:id="784"/>
      <w:bookmarkEnd w:id="785"/>
      <w:bookmarkEnd w:id="786"/>
      <w:bookmarkEnd w:id="787"/>
    </w:p>
    <w:p w14:paraId="5C45D994">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发包人在履行合同过程中应遵守法律，并保证承包人免于承担因发包人违反法律而引起的任何责任。</w:t>
      </w:r>
    </w:p>
    <w:p w14:paraId="614B1F5C">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788" w:name="_BookMark_111"/>
      <w:bookmarkEnd w:id="788"/>
      <w:bookmarkStart w:id="789" w:name="_Toc4661442"/>
      <w:bookmarkStart w:id="790" w:name="_Toc22349"/>
      <w:bookmarkStart w:id="791" w:name="_Toc11088941"/>
      <w:bookmarkStart w:id="792" w:name="_Toc14866699"/>
      <w:r>
        <w:rPr>
          <w:rFonts w:hint="eastAsia" w:ascii="宋体" w:hAnsi="宋体" w:cs="宋体"/>
          <w:b w:val="0"/>
          <w:color w:val="auto"/>
          <w:sz w:val="21"/>
          <w:szCs w:val="21"/>
          <w:highlight w:val="none"/>
          <w:shd w:val="clear" w:color="auto" w:fill="FFFFFF"/>
        </w:rPr>
        <w:t>2.2  发出开工通知</w:t>
      </w:r>
      <w:bookmarkEnd w:id="789"/>
      <w:bookmarkEnd w:id="790"/>
      <w:bookmarkEnd w:id="791"/>
      <w:bookmarkEnd w:id="792"/>
    </w:p>
    <w:p w14:paraId="48BE655E">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发包人应委托监理人按第11.1款的约定向承包人发出开工通知。</w:t>
      </w:r>
    </w:p>
    <w:p w14:paraId="2075B2DA">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793" w:name="_BookMark_112"/>
      <w:bookmarkEnd w:id="793"/>
      <w:bookmarkStart w:id="794" w:name="_Toc4661443"/>
      <w:bookmarkStart w:id="795" w:name="_Toc14866700"/>
      <w:bookmarkStart w:id="796" w:name="_Toc16366"/>
      <w:bookmarkStart w:id="797" w:name="_Toc11088942"/>
      <w:r>
        <w:rPr>
          <w:rFonts w:hint="eastAsia" w:ascii="宋体" w:hAnsi="宋体" w:cs="宋体"/>
          <w:b w:val="0"/>
          <w:color w:val="auto"/>
          <w:sz w:val="21"/>
          <w:szCs w:val="21"/>
          <w:highlight w:val="none"/>
          <w:shd w:val="clear" w:color="auto" w:fill="FFFFFF"/>
        </w:rPr>
        <w:t>2.3  提供施工场地</w:t>
      </w:r>
      <w:bookmarkEnd w:id="794"/>
      <w:bookmarkEnd w:id="795"/>
      <w:bookmarkEnd w:id="796"/>
      <w:bookmarkEnd w:id="797"/>
    </w:p>
    <w:p w14:paraId="3C8C119B">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发包人应在约定期限前确保施工场地具备施工条件并移交给承包人，具体施工条件在 “技术标准和要求”第一节“一般要求”中约定。发包人最迟应当在移交施工场地的同时向承包人提供施工场地内地下管线和地下设施等有关资料，并保证资料的真实、准确和完整。发包人移交施工场地的期限见合同条款专用部分。</w:t>
      </w:r>
    </w:p>
    <w:p w14:paraId="3D9DB668">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798" w:name="_BookMark_113"/>
      <w:bookmarkEnd w:id="798"/>
      <w:bookmarkStart w:id="799" w:name="_Toc14866701"/>
      <w:bookmarkStart w:id="800" w:name="_Toc11088943"/>
      <w:bookmarkStart w:id="801" w:name="_Toc5186"/>
      <w:bookmarkStart w:id="802" w:name="_Toc4661444"/>
      <w:r>
        <w:rPr>
          <w:rFonts w:hint="eastAsia" w:ascii="宋体" w:hAnsi="宋体" w:cs="宋体"/>
          <w:b w:val="0"/>
          <w:bCs w:val="0"/>
          <w:color w:val="auto"/>
          <w:sz w:val="21"/>
          <w:szCs w:val="21"/>
          <w:highlight w:val="none"/>
          <w:shd w:val="clear" w:color="auto" w:fill="FFFFFF"/>
        </w:rPr>
        <w:t>2.4  协助承包人办理证件和批件</w:t>
      </w:r>
      <w:bookmarkEnd w:id="799"/>
      <w:bookmarkEnd w:id="800"/>
      <w:bookmarkEnd w:id="801"/>
      <w:bookmarkEnd w:id="802"/>
    </w:p>
    <w:p w14:paraId="759C74DF">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发包人应协助承包人办理法律规定的有关施工证件和批件。</w:t>
      </w:r>
    </w:p>
    <w:p w14:paraId="35C95C64">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803" w:name="_BookMark_114"/>
      <w:bookmarkEnd w:id="803"/>
      <w:bookmarkStart w:id="804" w:name="_Toc14866702"/>
      <w:bookmarkStart w:id="805" w:name="_Toc15570"/>
      <w:bookmarkStart w:id="806" w:name="_Toc4661445"/>
      <w:bookmarkStart w:id="807" w:name="_Toc11088944"/>
      <w:r>
        <w:rPr>
          <w:rFonts w:hint="eastAsia" w:ascii="宋体" w:hAnsi="宋体" w:cs="宋体"/>
          <w:b w:val="0"/>
          <w:color w:val="auto"/>
          <w:sz w:val="21"/>
          <w:szCs w:val="21"/>
          <w:highlight w:val="none"/>
          <w:shd w:val="clear" w:color="auto" w:fill="FFFFFF"/>
        </w:rPr>
        <w:t>2.5  组织设计交底</w:t>
      </w:r>
      <w:bookmarkEnd w:id="804"/>
      <w:bookmarkEnd w:id="805"/>
      <w:bookmarkEnd w:id="806"/>
      <w:bookmarkEnd w:id="807"/>
    </w:p>
    <w:p w14:paraId="2D71242D">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发包人应根据批准的合同进度计划，组织设计单位向承包人进行设计交底。</w:t>
      </w:r>
    </w:p>
    <w:p w14:paraId="19C267AE">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发包人应在第11.1.1项约定的开工日期前，组织设计人向承包人进行合同工程总体设计交底（包括图纸会审）。发包人还应按照合同进度计划中载明的阶段性设计交底时间，组织和安排阶段工程设计交底（包括图纸会审）。承包人应当以书面方式通过监理人向发包人申请增加设计交底，发包人在认为确有必要且条件许可时，应当尽快组织这类设计交底。</w:t>
      </w:r>
    </w:p>
    <w:p w14:paraId="0A234965">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808" w:name="_BookMark_115"/>
      <w:bookmarkEnd w:id="808"/>
      <w:bookmarkStart w:id="809" w:name="_Toc8683"/>
      <w:bookmarkStart w:id="810" w:name="_Toc4661446"/>
      <w:bookmarkStart w:id="811" w:name="_Toc11088945"/>
      <w:bookmarkStart w:id="812" w:name="_Toc14866703"/>
      <w:r>
        <w:rPr>
          <w:rFonts w:hint="eastAsia" w:ascii="宋体" w:hAnsi="宋体" w:cs="宋体"/>
          <w:b w:val="0"/>
          <w:color w:val="auto"/>
          <w:sz w:val="21"/>
          <w:szCs w:val="21"/>
          <w:highlight w:val="none"/>
          <w:shd w:val="clear" w:color="auto" w:fill="FFFFFF"/>
        </w:rPr>
        <w:t>2.6  支付合同价款</w:t>
      </w:r>
      <w:bookmarkEnd w:id="809"/>
      <w:bookmarkEnd w:id="810"/>
      <w:bookmarkEnd w:id="811"/>
      <w:bookmarkEnd w:id="812"/>
    </w:p>
    <w:p w14:paraId="79CFB94D">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发包人应按合同约定向承包人及时支付合同价款。</w:t>
      </w:r>
    </w:p>
    <w:p w14:paraId="60E6839E">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813" w:name="_BookMark_116"/>
      <w:bookmarkEnd w:id="813"/>
      <w:bookmarkStart w:id="814" w:name="_Toc10230"/>
      <w:bookmarkStart w:id="815" w:name="_Toc14866704"/>
      <w:bookmarkStart w:id="816" w:name="_Toc4661447"/>
      <w:bookmarkStart w:id="817" w:name="_Toc11088946"/>
      <w:r>
        <w:rPr>
          <w:rFonts w:hint="eastAsia" w:ascii="宋体" w:hAnsi="宋体" w:cs="宋体"/>
          <w:b w:val="0"/>
          <w:color w:val="auto"/>
          <w:sz w:val="21"/>
          <w:szCs w:val="21"/>
          <w:highlight w:val="none"/>
          <w:shd w:val="clear" w:color="auto" w:fill="FFFFFF"/>
        </w:rPr>
        <w:t>2.7  组织竣工验收</w:t>
      </w:r>
      <w:bookmarkEnd w:id="814"/>
      <w:bookmarkEnd w:id="815"/>
      <w:bookmarkEnd w:id="816"/>
      <w:bookmarkEnd w:id="817"/>
    </w:p>
    <w:p w14:paraId="35F7C60F">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发包人应按合同约定及时组织竣工验收。</w:t>
      </w:r>
    </w:p>
    <w:p w14:paraId="046BB66F">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818" w:name="_BookMark_117"/>
      <w:bookmarkEnd w:id="818"/>
      <w:bookmarkStart w:id="819" w:name="_Toc16579"/>
      <w:bookmarkStart w:id="820" w:name="_Toc4661448"/>
      <w:bookmarkStart w:id="821" w:name="_Toc11088947"/>
      <w:bookmarkStart w:id="822" w:name="_Toc14866705"/>
      <w:r>
        <w:rPr>
          <w:rFonts w:hint="eastAsia" w:ascii="宋体" w:hAnsi="宋体" w:cs="宋体"/>
          <w:b w:val="0"/>
          <w:color w:val="auto"/>
          <w:sz w:val="21"/>
          <w:szCs w:val="21"/>
          <w:highlight w:val="none"/>
          <w:shd w:val="clear" w:color="auto" w:fill="FFFFFF"/>
        </w:rPr>
        <w:t>2.8  向承包人提交支付担保</w:t>
      </w:r>
      <w:bookmarkEnd w:id="819"/>
      <w:bookmarkEnd w:id="820"/>
      <w:bookmarkEnd w:id="821"/>
      <w:bookmarkEnd w:id="822"/>
    </w:p>
    <w:p w14:paraId="389B8BA9">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发包人要求承包人提交履约担保的，除合同条款专用部分另有约定的，在承包人按合同条款第4.2款向发包人递交符合合同约定的履约担保的同时，发包人应当按照金额和条件对等的原则和合同文件中规定的格式或者其他经过承包人事先认可的格式向承包人递交一份支付担保。发包人提供支付担保格式见合同条款专用部分附件六。</w:t>
      </w:r>
    </w:p>
    <w:p w14:paraId="53A2BF77">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（2）支付担保的有效期应当自本合同生效之日起至发包人实际支付竣工付款之日止。</w:t>
      </w:r>
    </w:p>
    <w:p w14:paraId="67536A12">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（3）发包人无法获得一份不带具体截止日期的履约担保，支付担保中应当约定有“变更工程竣工付款支付日期的，保证期间按照变更后的竣工付款支付日期做相应调整”或类似约定的条款。</w:t>
      </w:r>
    </w:p>
    <w:p w14:paraId="272A1D4C">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（4）支付担保应当在发包人付清竣工付款之日后28天内退还给发包人；承包人不承担发包人与支付担保有关的任何利息或其它类似的费用或者收益。</w:t>
      </w:r>
    </w:p>
    <w:p w14:paraId="4E061146">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823" w:name="_BookMark_118"/>
      <w:bookmarkEnd w:id="823"/>
      <w:bookmarkStart w:id="824" w:name="_Toc11088948"/>
      <w:bookmarkStart w:id="825" w:name="_Toc21697"/>
      <w:bookmarkStart w:id="826" w:name="_Toc4661449"/>
      <w:bookmarkStart w:id="827" w:name="_Toc14866706"/>
      <w:r>
        <w:rPr>
          <w:rFonts w:hint="eastAsia" w:ascii="宋体" w:hAnsi="宋体" w:cs="宋体"/>
          <w:b w:val="0"/>
          <w:color w:val="auto"/>
          <w:sz w:val="21"/>
          <w:szCs w:val="21"/>
          <w:highlight w:val="none"/>
          <w:shd w:val="clear" w:color="auto" w:fill="FFFFFF"/>
        </w:rPr>
        <w:t>2.9  办理工程质量监督手续</w:t>
      </w:r>
      <w:bookmarkEnd w:id="824"/>
      <w:bookmarkEnd w:id="825"/>
      <w:bookmarkEnd w:id="826"/>
      <w:bookmarkEnd w:id="827"/>
    </w:p>
    <w:p w14:paraId="042D65C2">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发包人应按有关规定及时办理工程质量监督手续。</w:t>
      </w:r>
    </w:p>
    <w:p w14:paraId="5D3D44F4">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828" w:name="_BookMark_119"/>
      <w:bookmarkEnd w:id="828"/>
      <w:bookmarkStart w:id="829" w:name="_Toc11088949"/>
      <w:bookmarkStart w:id="830" w:name="_Toc14866707"/>
      <w:bookmarkStart w:id="831" w:name="_Toc4661450"/>
      <w:bookmarkStart w:id="832" w:name="_Toc8197"/>
      <w:r>
        <w:rPr>
          <w:rFonts w:hint="eastAsia" w:ascii="宋体" w:hAnsi="宋体" w:cs="宋体"/>
          <w:b w:val="0"/>
          <w:color w:val="auto"/>
          <w:sz w:val="21"/>
          <w:szCs w:val="21"/>
          <w:highlight w:val="none"/>
          <w:shd w:val="clear" w:color="auto" w:fill="FFFFFF"/>
        </w:rPr>
        <w:t>2.10  环境保护责任</w:t>
      </w:r>
      <w:bookmarkEnd w:id="829"/>
      <w:bookmarkEnd w:id="830"/>
      <w:bookmarkEnd w:id="831"/>
      <w:bookmarkEnd w:id="832"/>
    </w:p>
    <w:p w14:paraId="5D4C8141">
      <w:pPr>
        <w:widowControl/>
        <w:snapToGrid w:val="0"/>
        <w:spacing w:line="360" w:lineRule="auto"/>
        <w:ind w:left="210" w:leftChars="100" w:firstLine="315"/>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 xml:space="preserve"> 发包人对建筑垃圾处理、施工扬尘治理负总责。</w:t>
      </w:r>
    </w:p>
    <w:p w14:paraId="68BDCE40">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833" w:name="_BookMark_120"/>
      <w:bookmarkEnd w:id="833"/>
      <w:bookmarkStart w:id="834" w:name="_Toc14866708"/>
      <w:bookmarkStart w:id="835" w:name="_Toc11088950"/>
      <w:bookmarkStart w:id="836" w:name="_Toc301"/>
      <w:bookmarkStart w:id="837" w:name="_Toc4661451"/>
      <w:r>
        <w:rPr>
          <w:rFonts w:hint="eastAsia" w:ascii="宋体" w:hAnsi="宋体" w:cs="宋体"/>
          <w:b w:val="0"/>
          <w:color w:val="auto"/>
          <w:sz w:val="21"/>
          <w:szCs w:val="21"/>
          <w:highlight w:val="none"/>
          <w:shd w:val="clear" w:color="auto" w:fill="FFFFFF"/>
        </w:rPr>
        <w:t>2.11  移交工程档案</w:t>
      </w:r>
      <w:bookmarkEnd w:id="834"/>
      <w:bookmarkEnd w:id="835"/>
      <w:bookmarkEnd w:id="836"/>
      <w:bookmarkEnd w:id="837"/>
    </w:p>
    <w:p w14:paraId="2763DB47">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发包人应根据建设行政主管部门和（或）城市建设档案管理机构的规定，收集、整理、立卷、归档工程资料，并按规定时间向建设行政主管部门或者城市建设档案管理机构移交规定的工程档案。</w:t>
      </w:r>
    </w:p>
    <w:p w14:paraId="0E18E8B4">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838" w:name="_BookMark_121"/>
      <w:bookmarkEnd w:id="838"/>
      <w:bookmarkStart w:id="839" w:name="_Toc11088951"/>
      <w:bookmarkStart w:id="840" w:name="_Toc14866709"/>
      <w:bookmarkStart w:id="841" w:name="_Toc19144"/>
      <w:bookmarkStart w:id="842" w:name="_Toc4661452"/>
      <w:r>
        <w:rPr>
          <w:rFonts w:hint="eastAsia" w:ascii="宋体" w:hAnsi="宋体" w:cs="宋体"/>
          <w:b w:val="0"/>
          <w:color w:val="auto"/>
          <w:sz w:val="21"/>
          <w:szCs w:val="21"/>
          <w:highlight w:val="none"/>
          <w:shd w:val="clear" w:color="auto" w:fill="FFFFFF"/>
        </w:rPr>
        <w:t>2.12  批准和确认</w:t>
      </w:r>
      <w:bookmarkEnd w:id="839"/>
      <w:bookmarkEnd w:id="840"/>
      <w:bookmarkEnd w:id="841"/>
      <w:bookmarkEnd w:id="842"/>
    </w:p>
    <w:p w14:paraId="598AB50D">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按照合同约定应当由监理人或者发包人回复、批复、批准和确认，或承包人提出修改意见的要求、请求、申请和报批等，自监理人或者发包人指定的接收人收到承包人发出的相应要求、请求、申请和报批之日起，如果监理人或者发包人在合同约定的期限内未予回复、批复、批准、确认或提出修改意见的，视为监理人和发包人已经同意、确认或者批准。</w:t>
      </w:r>
    </w:p>
    <w:p w14:paraId="2139D927">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843" w:name="_BookMark_122"/>
      <w:bookmarkEnd w:id="843"/>
      <w:bookmarkStart w:id="844" w:name="_Toc11088952"/>
      <w:bookmarkStart w:id="845" w:name="_Toc14866710"/>
      <w:bookmarkStart w:id="846" w:name="_Toc4661453"/>
      <w:bookmarkStart w:id="847" w:name="_Toc17650"/>
      <w:r>
        <w:rPr>
          <w:rFonts w:hint="eastAsia" w:ascii="宋体" w:hAnsi="宋体" w:cs="宋体"/>
          <w:b w:val="0"/>
          <w:color w:val="auto"/>
          <w:sz w:val="21"/>
          <w:szCs w:val="21"/>
          <w:highlight w:val="none"/>
          <w:shd w:val="clear" w:color="auto" w:fill="FFFFFF"/>
        </w:rPr>
        <w:t>2.13  其他义务</w:t>
      </w:r>
      <w:bookmarkEnd w:id="844"/>
      <w:bookmarkEnd w:id="845"/>
      <w:bookmarkEnd w:id="846"/>
      <w:bookmarkEnd w:id="847"/>
    </w:p>
    <w:p w14:paraId="3553F691">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发包人应履行的其他义务见合同条款专用部分</w:t>
      </w:r>
      <w:r>
        <w:rPr>
          <w:rFonts w:hint="eastAsia" w:ascii="宋体" w:hAnsi="宋体" w:cs="黑体"/>
          <w:color w:val="auto"/>
          <w:kern w:val="0"/>
          <w:szCs w:val="21"/>
          <w:highlight w:val="none"/>
          <w:shd w:val="clear" w:color="auto" w:fill="FFFFFF"/>
        </w:rPr>
        <w:t>。</w:t>
      </w:r>
    </w:p>
    <w:p w14:paraId="6DB6CC36">
      <w:pPr>
        <w:pStyle w:val="3"/>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848" w:name="_BookMark_123"/>
      <w:bookmarkEnd w:id="848"/>
      <w:bookmarkStart w:id="849" w:name="_Toc14068"/>
      <w:bookmarkStart w:id="850" w:name="_Toc11088953"/>
      <w:bookmarkStart w:id="851" w:name="_Toc14866711"/>
      <w:bookmarkStart w:id="852" w:name="_Toc4661454"/>
      <w:r>
        <w:rPr>
          <w:rFonts w:hint="eastAsia" w:ascii="宋体" w:hAnsi="宋体"/>
          <w:b w:val="0"/>
          <w:color w:val="auto"/>
          <w:sz w:val="21"/>
          <w:szCs w:val="21"/>
          <w:highlight w:val="none"/>
          <w:shd w:val="clear" w:color="auto" w:fill="FFFFFF"/>
        </w:rPr>
        <w:t>3.监理人</w:t>
      </w:r>
      <w:bookmarkEnd w:id="849"/>
      <w:bookmarkEnd w:id="850"/>
      <w:bookmarkEnd w:id="851"/>
      <w:bookmarkEnd w:id="852"/>
    </w:p>
    <w:p w14:paraId="7F909EC8">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853" w:name="_BookMark_124"/>
      <w:bookmarkEnd w:id="853"/>
      <w:bookmarkStart w:id="854" w:name="_Toc20253"/>
      <w:bookmarkStart w:id="855" w:name="_Toc14866712"/>
      <w:bookmarkStart w:id="856" w:name="_Toc11088954"/>
      <w:bookmarkStart w:id="857" w:name="_Toc4661455"/>
      <w:r>
        <w:rPr>
          <w:rFonts w:hint="eastAsia" w:ascii="宋体" w:hAnsi="宋体" w:cs="宋体"/>
          <w:b w:val="0"/>
          <w:color w:val="auto"/>
          <w:sz w:val="21"/>
          <w:szCs w:val="21"/>
          <w:highlight w:val="none"/>
          <w:shd w:val="clear" w:color="auto" w:fill="FFFFFF"/>
        </w:rPr>
        <w:t>3.1  监理人的职责和权力</w:t>
      </w:r>
      <w:bookmarkEnd w:id="854"/>
      <w:bookmarkEnd w:id="855"/>
      <w:bookmarkEnd w:id="856"/>
      <w:bookmarkEnd w:id="857"/>
    </w:p>
    <w:p w14:paraId="1EC566DB">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3.1.1  监理人受发包人委托，享有合同约定的权力。监理人在行使某项权力前需要经发包人事先批准，合同条款通用部分没有指明的，应在合同中指明。监理人履行须经发包人批准行使的权力时，应当向承包人出示其行使该权力已经取得发包人批准的文件或者其他合法有效的证明。发包人需批准明确行使的权力见合同条款专用部分</w:t>
      </w:r>
      <w:r>
        <w:rPr>
          <w:rFonts w:hint="eastAsia" w:ascii="宋体" w:hAnsi="宋体" w:cs="黑体"/>
          <w:color w:val="auto"/>
          <w:kern w:val="0"/>
          <w:szCs w:val="21"/>
          <w:highlight w:val="none"/>
          <w:shd w:val="clear" w:color="auto" w:fill="FFFFFF"/>
        </w:rPr>
        <w:t>。</w:t>
      </w:r>
    </w:p>
    <w:p w14:paraId="5C1B6E28">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3.1.2  监理人发出的任何指示应视为已得到发包人的批准，但监理人无权免除或变更合同约定的发包人和承包人的权利、义务和责任。</w:t>
      </w:r>
    </w:p>
    <w:p w14:paraId="50365F0E">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3.1.3  合同约定应由承包人承担的义务和责任，不因监理人对承包人提交文件的审查或批准，对工程、材料和设备的检查和检验，以及为实施监理作出的指示等职务行为而减轻或解除。</w:t>
      </w:r>
    </w:p>
    <w:p w14:paraId="46260499">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858" w:name="_BookMark_125"/>
      <w:bookmarkEnd w:id="858"/>
      <w:bookmarkStart w:id="859" w:name="_Toc19717"/>
      <w:bookmarkStart w:id="860" w:name="_Toc11088955"/>
      <w:bookmarkStart w:id="861" w:name="_Toc14866713"/>
      <w:bookmarkStart w:id="862" w:name="_Toc4661456"/>
      <w:r>
        <w:rPr>
          <w:rFonts w:hint="eastAsia" w:ascii="宋体" w:hAnsi="宋体" w:cs="宋体"/>
          <w:b w:val="0"/>
          <w:color w:val="auto"/>
          <w:sz w:val="21"/>
          <w:szCs w:val="21"/>
          <w:highlight w:val="none"/>
          <w:shd w:val="clear" w:color="auto" w:fill="FFFFFF"/>
        </w:rPr>
        <w:t>3.2  总监理工程师</w:t>
      </w:r>
      <w:bookmarkEnd w:id="859"/>
      <w:bookmarkEnd w:id="860"/>
      <w:bookmarkEnd w:id="861"/>
      <w:bookmarkEnd w:id="862"/>
    </w:p>
    <w:p w14:paraId="4002821D">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发包人应在发出开工通知前将总监理工程师的任命通知承包人。总监理工程师更换时，应在调离14天前通知承包人。总监理工程师短期离开施工场地的，应委派代表代行其职责，并通知承包人。</w:t>
      </w:r>
    </w:p>
    <w:p w14:paraId="68FF6BCE">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863" w:name="_BookMark_126"/>
      <w:bookmarkEnd w:id="863"/>
      <w:bookmarkStart w:id="864" w:name="_Toc11088956"/>
      <w:bookmarkStart w:id="865" w:name="_Toc14866714"/>
      <w:bookmarkStart w:id="866" w:name="_Toc4661457"/>
      <w:bookmarkStart w:id="867" w:name="_Toc3414"/>
      <w:r>
        <w:rPr>
          <w:rFonts w:hint="eastAsia" w:ascii="宋体" w:hAnsi="宋体" w:cs="宋体"/>
          <w:b w:val="0"/>
          <w:color w:val="auto"/>
          <w:sz w:val="21"/>
          <w:szCs w:val="21"/>
          <w:highlight w:val="none"/>
          <w:shd w:val="clear" w:color="auto" w:fill="FFFFFF"/>
        </w:rPr>
        <w:t>3.3  监理人员</w:t>
      </w:r>
      <w:bookmarkEnd w:id="864"/>
      <w:bookmarkEnd w:id="865"/>
      <w:bookmarkEnd w:id="866"/>
      <w:bookmarkEnd w:id="867"/>
    </w:p>
    <w:p w14:paraId="59D92739">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3.3.1  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p>
    <w:p w14:paraId="421DEBF4">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3.3.2  监理人员对承包人的任何工作、工程或其采用的材料和工程设备未在约定的或合理的期限内提出否定意见的，视为已获批准，但不影响监理人在以后拒绝该项工作、工程、材料或工程设备的权利。</w:t>
      </w:r>
    </w:p>
    <w:p w14:paraId="0DBF6B95">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3.3.3  承包人对总监理工程师授权的监理人员发出的指示有疑问的，可向总监理工程师提出书面异议，总监理工程师应在48小时内对该指示予以确认、更改或撤销。</w:t>
      </w:r>
    </w:p>
    <w:p w14:paraId="6325D90C">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3.3.4  总监理工程师不应将合同条款通用部分第3.5款约定应由总监理工程师作出确定的权力授权或者委托给其他监理人员。</w:t>
      </w:r>
    </w:p>
    <w:p w14:paraId="5ECBA800">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868" w:name="_BookMark_127"/>
      <w:bookmarkEnd w:id="868"/>
      <w:bookmarkStart w:id="869" w:name="_Toc14866715"/>
      <w:bookmarkStart w:id="870" w:name="_Toc4661458"/>
      <w:bookmarkStart w:id="871" w:name="_Toc11088957"/>
      <w:bookmarkStart w:id="872" w:name="_Toc14002"/>
      <w:r>
        <w:rPr>
          <w:rFonts w:hint="eastAsia" w:ascii="宋体" w:hAnsi="宋体" w:cs="宋体"/>
          <w:b w:val="0"/>
          <w:color w:val="auto"/>
          <w:sz w:val="21"/>
          <w:szCs w:val="21"/>
          <w:highlight w:val="none"/>
          <w:shd w:val="clear" w:color="auto" w:fill="FFFFFF"/>
        </w:rPr>
        <w:t>3.4  监理人的指示</w:t>
      </w:r>
      <w:bookmarkEnd w:id="869"/>
      <w:bookmarkEnd w:id="870"/>
      <w:bookmarkEnd w:id="871"/>
      <w:bookmarkEnd w:id="872"/>
    </w:p>
    <w:p w14:paraId="2E482FAF">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3.4.1  监理人应按第3.1款的约定向承包人发出指示，监理人的指示应加盖监理人授权的施工场地机构章，并由总监理工程师或总监理工程师按第3.3.1项约定授权的监理人员签字。</w:t>
      </w:r>
    </w:p>
    <w:p w14:paraId="5A2CFC91">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3.4.2  承包人收到监理人按第3.4.1项作出的指示后，应遵照执行。指示构成变更的，应按第15条处理。</w:t>
      </w:r>
    </w:p>
    <w:p w14:paraId="27BDF4A2">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3.4.3  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p>
    <w:p w14:paraId="6778B847">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3.4.4  除合同另有约定外，承包人只从总监理工程师或按第3.3.1项被授权的监理人员处取得指示。</w:t>
      </w:r>
    </w:p>
    <w:p w14:paraId="3F4F9431">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 xml:space="preserve">3.4.5  由于监理人未能按合同约定发出指示、指示延误或指示错误而导致承包人费用增加和（或）工期延误的，由发包人承担赔偿责任。 </w:t>
      </w:r>
    </w:p>
    <w:p w14:paraId="1E534614">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873" w:name="_BookMark_128"/>
      <w:bookmarkEnd w:id="873"/>
      <w:bookmarkStart w:id="874" w:name="_Toc14866716"/>
      <w:bookmarkStart w:id="875" w:name="_Toc4661459"/>
      <w:bookmarkStart w:id="876" w:name="_Toc11088958"/>
      <w:bookmarkStart w:id="877" w:name="_Toc29283"/>
      <w:r>
        <w:rPr>
          <w:rFonts w:hint="eastAsia" w:ascii="宋体" w:hAnsi="宋体" w:cs="宋体"/>
          <w:b w:val="0"/>
          <w:color w:val="auto"/>
          <w:sz w:val="21"/>
          <w:szCs w:val="21"/>
          <w:highlight w:val="none"/>
          <w:shd w:val="clear" w:color="auto" w:fill="FFFFFF"/>
        </w:rPr>
        <w:t>3.5  商定或确定</w:t>
      </w:r>
      <w:bookmarkEnd w:id="874"/>
      <w:bookmarkEnd w:id="875"/>
      <w:bookmarkEnd w:id="876"/>
      <w:bookmarkEnd w:id="877"/>
    </w:p>
    <w:p w14:paraId="65A0E130">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3.5.1  总监理工程师应按照本款对任何事项进行商定或确定时，总监理工程师应与合同当事人协商，尽量达成一致。不能达成一致的，总监理工程师应认真研究后审慎确定。</w:t>
      </w:r>
    </w:p>
    <w:p w14:paraId="624350DD">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3.5.2  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需要作出修改的，按修改后的结果执行。</w:t>
      </w:r>
    </w:p>
    <w:p w14:paraId="5D9076D3">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878" w:name="_BookMark_129"/>
      <w:bookmarkEnd w:id="878"/>
      <w:bookmarkStart w:id="879" w:name="_Toc4661460"/>
      <w:bookmarkStart w:id="880" w:name="_Toc11088959"/>
      <w:bookmarkStart w:id="881" w:name="_Toc29678"/>
      <w:bookmarkStart w:id="882" w:name="_Toc14866717"/>
      <w:r>
        <w:rPr>
          <w:rFonts w:hint="eastAsia" w:ascii="宋体" w:hAnsi="宋体" w:cs="宋体"/>
          <w:b w:val="0"/>
          <w:color w:val="auto"/>
          <w:sz w:val="21"/>
          <w:szCs w:val="21"/>
          <w:highlight w:val="none"/>
          <w:shd w:val="clear" w:color="auto" w:fill="FFFFFF"/>
        </w:rPr>
        <w:t>3.6  监理人的宽恕</w:t>
      </w:r>
      <w:bookmarkEnd w:id="879"/>
      <w:bookmarkEnd w:id="880"/>
      <w:bookmarkEnd w:id="881"/>
      <w:bookmarkEnd w:id="882"/>
    </w:p>
    <w:p w14:paraId="7675FADE">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监理人或者发包人就承包人对合同约定的任何责任和义务的某种违约行为的宽恕，不影响监理人和发包人在此后的任何时间严格按合同约定处理承包人的其它违约行为，也不意味发包人放弃合同约定的发包人与上述违约有关的任何权利和赔偿要求。</w:t>
      </w:r>
    </w:p>
    <w:p w14:paraId="26DF5D93">
      <w:pPr>
        <w:pStyle w:val="3"/>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883" w:name="_BookMark_130"/>
      <w:bookmarkEnd w:id="883"/>
      <w:bookmarkStart w:id="884" w:name="_Toc14866718"/>
      <w:bookmarkStart w:id="885" w:name="_Toc4661461"/>
      <w:bookmarkStart w:id="886" w:name="_Toc32167"/>
      <w:bookmarkStart w:id="887" w:name="_Toc11088960"/>
      <w:r>
        <w:rPr>
          <w:rFonts w:hint="eastAsia" w:ascii="宋体" w:hAnsi="宋体"/>
          <w:b w:val="0"/>
          <w:color w:val="auto"/>
          <w:sz w:val="21"/>
          <w:szCs w:val="21"/>
          <w:highlight w:val="none"/>
          <w:shd w:val="clear" w:color="auto" w:fill="FFFFFF"/>
        </w:rPr>
        <w:t>4.承包人</w:t>
      </w:r>
      <w:bookmarkEnd w:id="884"/>
      <w:bookmarkEnd w:id="885"/>
      <w:bookmarkEnd w:id="886"/>
      <w:bookmarkEnd w:id="887"/>
    </w:p>
    <w:p w14:paraId="4094A237">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888" w:name="_BookMark_131"/>
      <w:bookmarkEnd w:id="888"/>
      <w:bookmarkStart w:id="889" w:name="_Toc4661462"/>
      <w:bookmarkStart w:id="890" w:name="_Toc11088961"/>
      <w:bookmarkStart w:id="891" w:name="_Toc14866719"/>
      <w:bookmarkStart w:id="892" w:name="_Toc28898"/>
      <w:r>
        <w:rPr>
          <w:rFonts w:hint="eastAsia" w:ascii="宋体" w:hAnsi="宋体" w:cs="宋体"/>
          <w:b w:val="0"/>
          <w:color w:val="auto"/>
          <w:sz w:val="21"/>
          <w:szCs w:val="21"/>
          <w:highlight w:val="none"/>
          <w:shd w:val="clear" w:color="auto" w:fill="FFFFFF"/>
        </w:rPr>
        <w:t>4.1  承包人的一般义务</w:t>
      </w:r>
      <w:bookmarkEnd w:id="889"/>
      <w:bookmarkEnd w:id="890"/>
      <w:bookmarkEnd w:id="891"/>
      <w:bookmarkEnd w:id="892"/>
    </w:p>
    <w:p w14:paraId="438464B4">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4.1.1  遵守法律</w:t>
      </w:r>
    </w:p>
    <w:p w14:paraId="599C443D">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承包人在履行合同过程中应遵守法律，并保证发包人免于承担因承包人违反法律而引起的任何责任。</w:t>
      </w:r>
    </w:p>
    <w:p w14:paraId="75E55C36">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4.1.2  依法纳税</w:t>
      </w:r>
    </w:p>
    <w:p w14:paraId="10B95A9B">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承包人应按有关法律规定纳税，应缴纳的税金包括在合同价格内。</w:t>
      </w:r>
    </w:p>
    <w:p w14:paraId="6BC5143F">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4.1.3  完成各项承包工作</w:t>
      </w:r>
    </w:p>
    <w:p w14:paraId="21318636">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承包人应按合同约定以及监理人根据第3.4款作出的指示，实施、完成全部工程，并修补工程中的任何缺陷。除第5.2款约定由发包人提供的材料和工程设备和第6.2款约定由发包人提供的施工设备和临时设施外，承包人应负责提供为完成合同工作所需的劳务、材料、施工设备、工程设备和其他物品，并按照合同约定负责临时设施的设计、建造、运行、维护、管理和拆除工作。</w:t>
      </w:r>
    </w:p>
    <w:p w14:paraId="70183852">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2）承包人还应当依法合规建立施工扬尘综合治理、建筑垃圾、土方和砂石清运与消纳、严禁使用高排放非道路移动机械和行业挥发性有机物治理（如建筑外墙涂装、钢结构等鼓励使用水性漆替代油性漆）等责任制，制定具体的管控机制和实施方案，严格落实。</w:t>
      </w:r>
    </w:p>
    <w:p w14:paraId="2DA305C7">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4.1.4  对施工作业和施工方法的完备性负责</w:t>
      </w:r>
    </w:p>
    <w:p w14:paraId="07432909">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承包人应按合同约定的工作内容和施工进度要求，编制施工组织设计和施工措施计划，并对所有施工作业和施工方法的完备性和安全可靠性负责。</w:t>
      </w:r>
    </w:p>
    <w:p w14:paraId="47515E58">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4.1.5  保证工程施工和人员的安全</w:t>
      </w:r>
    </w:p>
    <w:p w14:paraId="39AF79E5">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承包人应按照第9.2款约定采取施工安全措施，确保工程及其人员、材料、设备和设施的安全，防止因工程施工造成的人身伤害和财产损失。</w:t>
      </w:r>
    </w:p>
    <w:p w14:paraId="1910E2E7">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4.1.6  负责施工场地及其周边环境与生态的保护工作</w:t>
      </w:r>
    </w:p>
    <w:p w14:paraId="0C57715A">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承包人应按照第9.4款约定负责施工场地及其周边环境与生态的保护工作。</w:t>
      </w:r>
    </w:p>
    <w:p w14:paraId="534E4462">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4.1.7  避免施工对公众与他人的利益造成损害</w:t>
      </w:r>
    </w:p>
    <w:p w14:paraId="650D429A">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0CD095D4">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4.1.8  为他人提供方便</w:t>
      </w:r>
    </w:p>
    <w:p w14:paraId="2DD3BB1A">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承包人应当对在施工场地或者附近实施与合同工程有关的其他工作的独立承包人履行管理、协调、配合、照管和服务义务，由此发生的费用被认为已经包括在承包人的签约合同价（投标总报价）中，具体工作内容和要求</w:t>
      </w:r>
      <w:r>
        <w:rPr>
          <w:rFonts w:hint="eastAsia" w:ascii="宋体" w:hAnsi="宋体" w:cs="黑体"/>
          <w:color w:val="auto"/>
          <w:kern w:val="0"/>
          <w:szCs w:val="21"/>
          <w:highlight w:val="none"/>
          <w:shd w:val="clear" w:color="auto" w:fill="FFFFFF"/>
        </w:rPr>
        <w:t>见合同条款专用部分。</w:t>
      </w:r>
    </w:p>
    <w:p w14:paraId="0C9168F3">
      <w:pPr>
        <w:widowControl/>
        <w:snapToGrid w:val="0"/>
        <w:spacing w:line="360" w:lineRule="auto"/>
        <w:ind w:left="210" w:leftChars="100" w:firstLine="321"/>
        <w:jc w:val="left"/>
        <w:rPr>
          <w:rFonts w:ascii="宋体" w:hAnsi="宋体" w:cs="Arial"/>
          <w:color w:val="auto"/>
          <w:szCs w:val="21"/>
          <w:highlight w:val="none"/>
        </w:rPr>
      </w:pPr>
      <w:r>
        <w:rPr>
          <w:rFonts w:hint="eastAsia" w:ascii="宋体" w:hAnsi="宋体" w:cs="宋体"/>
          <w:color w:val="auto"/>
          <w:spacing w:val="2"/>
          <w:kern w:val="0"/>
          <w:szCs w:val="21"/>
          <w:highlight w:val="none"/>
          <w:shd w:val="clear" w:color="auto" w:fill="FFFFFF"/>
        </w:rPr>
        <w:t>（2）承包人还应按照监理人指示为独立承包人以外的他人在施工场地或者附近实施与合同工程有关的其他工作提供可能的条件，可能发生费用由监理人按合同条款通用部分第3.5款商定或者确定。</w:t>
      </w:r>
    </w:p>
    <w:p w14:paraId="3DBF0996">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4.1.9  工程的维护和照管</w:t>
      </w:r>
    </w:p>
    <w:p w14:paraId="6FD89815">
      <w:pPr>
        <w:widowControl/>
        <w:snapToGrid w:val="0"/>
        <w:spacing w:line="360" w:lineRule="auto"/>
        <w:ind w:left="210" w:leftChars="100" w:firstLine="428"/>
        <w:jc w:val="left"/>
        <w:rPr>
          <w:rFonts w:ascii="宋体" w:hAnsi="宋体" w:cs="Arial"/>
          <w:color w:val="auto"/>
          <w:szCs w:val="21"/>
          <w:highlight w:val="none"/>
        </w:rPr>
      </w:pPr>
      <w:r>
        <w:rPr>
          <w:rFonts w:hint="eastAsia" w:ascii="宋体" w:hAnsi="宋体" w:cs="宋体"/>
          <w:color w:val="auto"/>
          <w:spacing w:val="2"/>
          <w:kern w:val="0"/>
          <w:szCs w:val="21"/>
          <w:highlight w:val="none"/>
          <w:shd w:val="clear" w:color="auto" w:fill="FFFFFF"/>
        </w:rPr>
        <w:t>工程接收证书颁发前，承包人应负责照管和维护工程。工程接收证书颁发时尚有部分未竣工工程的，承包人还应负责该未竣工工程的照管和维护工作，直至竣工后移交给发包人为</w:t>
      </w:r>
      <w:r>
        <w:rPr>
          <w:rFonts w:hint="eastAsia" w:ascii="宋体" w:hAnsi="宋体" w:cs="宋体"/>
          <w:color w:val="auto"/>
          <w:kern w:val="0"/>
          <w:szCs w:val="21"/>
          <w:highlight w:val="none"/>
          <w:shd w:val="clear" w:color="auto" w:fill="FFFFFF"/>
        </w:rPr>
        <w:t>止。</w:t>
      </w:r>
    </w:p>
    <w:p w14:paraId="29DBA44F">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 xml:space="preserve">4.1.10  承包人的设计工作 </w:t>
      </w:r>
    </w:p>
    <w:p w14:paraId="7470F580">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根据发包人委托，在其设计资质等级和业务允许的范围内，完成约定的施工图设计或与工程配套的设计工作，经监理人确认后使用，发包人承担由此发生的费用和合理利润。由承包人负责完成的设计文件属于合同条款第1.6.2项约定的承包人提供的文件，承包人应按照合同条款专用部分第1.6.2项约定的期限和数量提交，由此发生的费用被认为已经包括在承包人的签约合同价（投标总报价）中。承包人承担的施工图设计或与工程配套的设计工作内容见合同条款专用部分。</w:t>
      </w:r>
    </w:p>
    <w:p w14:paraId="6C1E3501">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4.1.11  农民工工资保证金</w:t>
      </w:r>
    </w:p>
    <w:p w14:paraId="72B3BDAC">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承包人应在银行设立工资保证金专用账户，专项用于发生欠薪时支付农民工工资的应急保障。账户内资金启用应当经建设主管部门和劳动保障行政部门批准。</w:t>
      </w:r>
    </w:p>
    <w:p w14:paraId="79A9CE38">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4.1.12  其他义务</w:t>
      </w:r>
    </w:p>
    <w:p w14:paraId="61BCA95B">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承包人应履行的其他义务见合同条款专用部分。</w:t>
      </w:r>
    </w:p>
    <w:p w14:paraId="17EC5E4C">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893" w:name="_BookMark_132"/>
      <w:bookmarkEnd w:id="893"/>
      <w:bookmarkStart w:id="894" w:name="_Toc4661463"/>
      <w:bookmarkStart w:id="895" w:name="_Toc11088962"/>
      <w:bookmarkStart w:id="896" w:name="_Toc27859"/>
      <w:bookmarkStart w:id="897" w:name="_Toc14866720"/>
      <w:r>
        <w:rPr>
          <w:rFonts w:hint="eastAsia" w:ascii="宋体" w:hAnsi="宋体" w:cs="宋体"/>
          <w:b w:val="0"/>
          <w:color w:val="auto"/>
          <w:sz w:val="21"/>
          <w:szCs w:val="21"/>
          <w:highlight w:val="none"/>
          <w:shd w:val="clear" w:color="auto" w:fill="FFFFFF"/>
        </w:rPr>
        <w:t>4.2  履约担保</w:t>
      </w:r>
      <w:bookmarkEnd w:id="894"/>
      <w:bookmarkEnd w:id="895"/>
      <w:bookmarkEnd w:id="896"/>
      <w:bookmarkEnd w:id="897"/>
    </w:p>
    <w:p w14:paraId="6BBE2A25">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4.2.1  履约担保的格式和金额</w:t>
      </w:r>
    </w:p>
    <w:p w14:paraId="015BC96B">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合同约定承包人提交履约担保的，承包人应在签订合同前，按照发包人约定的格式或者其他经过发包人认可的格式向发包人递交一份履约担保。经过发包人事先书面认可的其他格式的履约担保，其担保条款的实质性内容应当与发包人合同文件约定的格式内容保持一致。承包人是否提交履约担保及需要提交履约担保的金额见合同条款专用部分。承包人履约担保格式见合同条款专用部分附件五。</w:t>
      </w:r>
    </w:p>
    <w:p w14:paraId="63F8D899">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4.2.2  履约担保的有效期</w:t>
      </w:r>
    </w:p>
    <w:p w14:paraId="7F40AFEC">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履约担保的有效期应当自本合同生效之日起至发包人签认并由监理人向承包人出具工程接收证书之日止。如果承包人无法获得一份不带具体截止日期的担保，履约担保中就应当约定有“变更工程竣工日期的，保证期间按照变更后的竣工日期做相应调整”或类似约定的条款。</w:t>
      </w:r>
    </w:p>
    <w:p w14:paraId="4A875FA7">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4.2.3  履约担保的退还</w:t>
      </w:r>
    </w:p>
    <w:p w14:paraId="0E32A8BB">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履约担保应在监理人向承包人颁发（出具）工程接收证书之日后28天内退还给承包人。发包人不承担承包人与履约担保有关的任何利息或其它类似的费用或者收益。</w:t>
      </w:r>
    </w:p>
    <w:p w14:paraId="73671A31">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4.2.4  通知义务</w:t>
      </w:r>
    </w:p>
    <w:p w14:paraId="7C29AFFA">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不管履约担保条款中如何约定，发包人根据担保条款提出索赔或兑现要求28天前，应通知承包人并说明导致此类索赔或兑现的违约性质或原因。相应地，不管第2.8款约定的支付担保条款中如何约定，承包人根据担保条款提出索赔或兑现要求28天前，也应通知发包人并说明导致此类索赔或兑现的违约性质或原因。但是，本项约定的通知不应理解为是在任何意义上寻求承包人或者发包人的同意。</w:t>
      </w:r>
    </w:p>
    <w:p w14:paraId="44A116EF">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898" w:name="_BookMark_133"/>
      <w:bookmarkEnd w:id="898"/>
      <w:bookmarkStart w:id="899" w:name="_Toc30716"/>
      <w:bookmarkStart w:id="900" w:name="_Toc14866721"/>
      <w:bookmarkStart w:id="901" w:name="_Toc11088963"/>
      <w:bookmarkStart w:id="902" w:name="_Toc4661464"/>
      <w:r>
        <w:rPr>
          <w:rFonts w:hint="eastAsia" w:ascii="宋体" w:hAnsi="宋体" w:cs="宋体"/>
          <w:b w:val="0"/>
          <w:color w:val="auto"/>
          <w:sz w:val="21"/>
          <w:szCs w:val="21"/>
          <w:highlight w:val="none"/>
          <w:shd w:val="clear" w:color="auto" w:fill="FFFFFF"/>
        </w:rPr>
        <w:t>4.3  分包</w:t>
      </w:r>
      <w:bookmarkEnd w:id="899"/>
      <w:bookmarkEnd w:id="900"/>
      <w:bookmarkEnd w:id="901"/>
      <w:bookmarkEnd w:id="902"/>
    </w:p>
    <w:p w14:paraId="1107B888">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4.3.1  承包人不得将其承包的全部工程转包给第三人，或将其承包的全部工程肢解后以分包的名义转包给第三人。</w:t>
      </w:r>
    </w:p>
    <w:p w14:paraId="6CC70227">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4.3.2  承包人不得将工程主体、关键性工作分包给第三人。</w:t>
      </w:r>
    </w:p>
    <w:p w14:paraId="66CBBED3">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4.3.3  未经发包人同意，承包人不得将其自行施工范围工程的其他部分或工作分包给第三人。发包人同意承包人分包的非主体、非关键性工作包括：</w:t>
      </w:r>
    </w:p>
    <w:p w14:paraId="24991D2E">
      <w:pPr>
        <w:widowControl/>
        <w:snapToGrid w:val="0"/>
        <w:spacing w:line="360" w:lineRule="auto"/>
        <w:ind w:left="210" w:leftChars="100" w:firstLine="315"/>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（1）投标函附录约定的分包工程；</w:t>
      </w:r>
    </w:p>
    <w:p w14:paraId="46861CB0">
      <w:pPr>
        <w:widowControl/>
        <w:snapToGrid w:val="0"/>
        <w:spacing w:line="360" w:lineRule="auto"/>
        <w:ind w:left="210" w:leftChars="100" w:firstLine="315"/>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（2）除投标函附录中约定的分包内容外，经过发包人和监理人同意的其他非主体、非关键性工作，但分包人应当经过发包人和监理人审批。发包人和监理人有权拒绝承包人的分包请求和承包人选择的分包人。</w:t>
      </w:r>
    </w:p>
    <w:p w14:paraId="30DBC0CE">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4.3.4  发包人在工程量清单中给定暂估价的专业工程，包括从暂列金额开支的专业工程，达到依法应当招标的规模标准的，以及虽未达到规定的规模标准但合同中约定采用招标方式实施的，应当按第15.8.1项的约定，由发包人和承包人以招标方式确定专业分包人。除项目审批部门有特别核准外，暂估价的专业工程的招标应当采用与施工总承包同样的招标方式。</w:t>
      </w:r>
    </w:p>
    <w:p w14:paraId="148580CC">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4.3.5  在相关分包合同签订并报送有关建设行政主管部门备案后7天内，承包人应当将一份副本提交给监理人，承包人应保障分包工作不得再次分包。</w:t>
      </w:r>
    </w:p>
    <w:p w14:paraId="386E06C8">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4.3.6  分包工程价款由承包人与分包人（包括专业分包人）结算。未经承包人同意，发包人不得以任何形式向分包人（包括专业分包人）支付相关分包合同项下的任何工程款项。因发包人未经承包人同意直接向分包人（包括专业分包人）支付相关分包合同项下的任何工程款项而影响承包人工作的，所造成的承包人费用增加和（或）延误的工期由发包人承担。</w:t>
      </w:r>
    </w:p>
    <w:p w14:paraId="7E0C37A7">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4.3.7  未经发包人和监理人审批同意的分包工程和分包人，发包人有权拒绝验收分包工程和支付相应款项，由此引起的承包人费用增加和（或）延误的工期由承包人承担。</w:t>
      </w:r>
    </w:p>
    <w:p w14:paraId="40DC643A">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4.3.8  分包人的资格能力应与其分包工程的标准和规模相适应。</w:t>
      </w:r>
    </w:p>
    <w:p w14:paraId="3E035967">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4.3.9  发包人同意的分包工程，承包人应向发包人和监理人提供合同副本。</w:t>
      </w:r>
    </w:p>
    <w:p w14:paraId="40304447">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4.3.10  承包人应与分包人就分包工程向发包人承担连带责任。</w:t>
      </w:r>
    </w:p>
    <w:p w14:paraId="5216852C">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903" w:name="_BookMark_134"/>
      <w:bookmarkEnd w:id="903"/>
      <w:bookmarkStart w:id="904" w:name="_Toc11088964"/>
      <w:bookmarkStart w:id="905" w:name="_Toc4661465"/>
      <w:bookmarkStart w:id="906" w:name="_Toc14866722"/>
      <w:bookmarkStart w:id="907" w:name="_Toc16656"/>
      <w:r>
        <w:rPr>
          <w:rFonts w:hint="eastAsia" w:ascii="宋体" w:hAnsi="宋体" w:cs="宋体"/>
          <w:b w:val="0"/>
          <w:color w:val="auto"/>
          <w:sz w:val="21"/>
          <w:szCs w:val="21"/>
          <w:highlight w:val="none"/>
          <w:shd w:val="clear" w:color="auto" w:fill="FFFFFF"/>
        </w:rPr>
        <w:t>4.4  联合体</w:t>
      </w:r>
      <w:bookmarkEnd w:id="904"/>
      <w:bookmarkEnd w:id="905"/>
      <w:bookmarkEnd w:id="906"/>
      <w:bookmarkEnd w:id="907"/>
    </w:p>
    <w:p w14:paraId="056AB60C">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4.4.1  联合体各方应共同与发包人签订合同协议书。联合体各方应为履行合同承担连带责任。</w:t>
      </w:r>
    </w:p>
    <w:p w14:paraId="1BCB47AF">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4.4.2  联合体协议经发包人确认后作为合同附件。在履行合同过程中，未经发包人同意，不得修改联合体协议。</w:t>
      </w:r>
    </w:p>
    <w:p w14:paraId="7EBCFC6C">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4.4.3  联合体牵头人负责与发包人和监理人联系，并接受指示，负责组织联合体各成员全面履行合同。</w:t>
      </w:r>
    </w:p>
    <w:p w14:paraId="2E4EA0DA">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908" w:name="_BookMark_135"/>
      <w:bookmarkEnd w:id="908"/>
      <w:bookmarkStart w:id="909" w:name="_Toc31452"/>
      <w:bookmarkStart w:id="910" w:name="_Toc4661466"/>
      <w:bookmarkStart w:id="911" w:name="_Toc14866723"/>
      <w:bookmarkStart w:id="912" w:name="_Toc11088965"/>
      <w:r>
        <w:rPr>
          <w:rFonts w:hint="eastAsia" w:ascii="宋体" w:hAnsi="宋体" w:cs="宋体"/>
          <w:b w:val="0"/>
          <w:color w:val="auto"/>
          <w:sz w:val="21"/>
          <w:szCs w:val="21"/>
          <w:highlight w:val="none"/>
          <w:shd w:val="clear" w:color="auto" w:fill="FFFFFF"/>
        </w:rPr>
        <w:t>4.5  承包人项目经理</w:t>
      </w:r>
      <w:bookmarkEnd w:id="909"/>
      <w:bookmarkEnd w:id="910"/>
      <w:bookmarkEnd w:id="911"/>
      <w:bookmarkEnd w:id="912"/>
    </w:p>
    <w:p w14:paraId="55C76596">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4.5.1  承包人项目经理必须与承包人投标时所承诺的人员一致，并在根据第11.1.1项确定的开工日期前到任。在监理人向承包人颁发（出具）工程接收证书前，项目经理不得同时兼任其他任何项目的项目经理。未经发包人书面许可，承包人不得更换项目经理。承包人项目经理的姓名、职称、身份证号、执业资格证书号、注册证书号、执业印章号、安全生产考核合格证书号等细节资料应当在合同协议书中载明。承包人更换项目经理应事先征得发包人同意，并应在更换14天前通知发包人和监理人。承包人项目经理短期离开施工场地，应事先征得监理人同意，并委派代表代行其职责。</w:t>
      </w:r>
    </w:p>
    <w:p w14:paraId="2F71F80B">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4.5.2  承包人项目经理应按合同约定以及监理人按第3.4款作出的指示，负责组织合同工程的实施。在情况紧急且无法与监理人取得联系时，可采取保证工程和人员生命财产安全的紧急措施，并在采取措施后24小时内向监理人提交书面报告。</w:t>
      </w:r>
    </w:p>
    <w:p w14:paraId="3B352869">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4.5.3  承包人为履行合同发出的一切函件均应盖有承包人授权的施工场地管理机构章，并由承包人项目经理或其授权代表签字。</w:t>
      </w:r>
    </w:p>
    <w:p w14:paraId="2BCE169E">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4.5.4  承包人项目经理可以授权其下属人员履行其某项职责，但事先应将这些人员的姓名和授权范围通知监理人。</w:t>
      </w:r>
    </w:p>
    <w:p w14:paraId="5FB674DA">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913" w:name="_BookMark_136"/>
      <w:bookmarkEnd w:id="913"/>
      <w:bookmarkStart w:id="914" w:name="_Toc11088966"/>
      <w:bookmarkStart w:id="915" w:name="_Toc20560"/>
      <w:bookmarkStart w:id="916" w:name="_Toc4661467"/>
      <w:bookmarkStart w:id="917" w:name="_Toc14866724"/>
      <w:r>
        <w:rPr>
          <w:rFonts w:hint="eastAsia" w:ascii="宋体" w:hAnsi="宋体" w:cs="宋体"/>
          <w:b w:val="0"/>
          <w:color w:val="auto"/>
          <w:sz w:val="21"/>
          <w:szCs w:val="21"/>
          <w:highlight w:val="none"/>
          <w:shd w:val="clear" w:color="auto" w:fill="FFFFFF"/>
        </w:rPr>
        <w:t>4.6  承包人人员的管理</w:t>
      </w:r>
      <w:bookmarkEnd w:id="914"/>
      <w:bookmarkEnd w:id="915"/>
      <w:bookmarkEnd w:id="916"/>
      <w:bookmarkEnd w:id="917"/>
    </w:p>
    <w:p w14:paraId="43C586AD">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4.6.1  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p>
    <w:p w14:paraId="46ECFE0E">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4.6.2  为完成合同约定的各项工作，承包人应向施工场地派遣或雇佣足够数量的下列人员：</w:t>
      </w:r>
    </w:p>
    <w:p w14:paraId="19A8561C">
      <w:pPr>
        <w:widowControl/>
        <w:snapToGrid w:val="0"/>
        <w:spacing w:line="360" w:lineRule="auto"/>
        <w:ind w:left="210" w:leftChars="100" w:firstLine="315"/>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（1）具有相应资格的专业技工和合格的普工；</w:t>
      </w:r>
    </w:p>
    <w:p w14:paraId="1BE08026">
      <w:pPr>
        <w:widowControl/>
        <w:snapToGrid w:val="0"/>
        <w:spacing w:line="360" w:lineRule="auto"/>
        <w:ind w:left="210" w:leftChars="100" w:firstLine="315"/>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（2）具有相应施工经验的技术人员；</w:t>
      </w:r>
    </w:p>
    <w:p w14:paraId="04508DC6">
      <w:pPr>
        <w:widowControl/>
        <w:snapToGrid w:val="0"/>
        <w:spacing w:line="360" w:lineRule="auto"/>
        <w:ind w:left="210" w:leftChars="100" w:firstLine="315"/>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（3）具有相应岗位资格的各级管理人员。</w:t>
      </w:r>
    </w:p>
    <w:p w14:paraId="00C9B4D6">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4.6.3  承包人安排在施工场地的主要管理人员和技术骨干应相对稳定。承包人更换主要管理人员和技术骨干时，应取得监理人的同意。</w:t>
      </w:r>
    </w:p>
    <w:p w14:paraId="7F5DD2B0">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4.6.4  特殊岗位的工作人员均应持有相应的资格证明，监理人有权随时检查。监理人认为有必要时，可进行现场考核。</w:t>
      </w:r>
    </w:p>
    <w:p w14:paraId="1B19BAC7">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918" w:name="_BookMark_137"/>
      <w:bookmarkEnd w:id="918"/>
      <w:bookmarkStart w:id="919" w:name="_Toc14866725"/>
      <w:bookmarkStart w:id="920" w:name="_Toc16795"/>
      <w:bookmarkStart w:id="921" w:name="_Toc4661468"/>
      <w:bookmarkStart w:id="922" w:name="_Toc11088967"/>
      <w:r>
        <w:rPr>
          <w:rFonts w:hint="eastAsia" w:ascii="宋体" w:hAnsi="宋体" w:cs="宋体"/>
          <w:b w:val="0"/>
          <w:color w:val="auto"/>
          <w:sz w:val="21"/>
          <w:szCs w:val="21"/>
          <w:highlight w:val="none"/>
          <w:shd w:val="clear" w:color="auto" w:fill="FFFFFF"/>
        </w:rPr>
        <w:t>4.7  撤换承包人项目经理和其他人员</w:t>
      </w:r>
      <w:bookmarkEnd w:id="919"/>
      <w:bookmarkEnd w:id="920"/>
      <w:bookmarkEnd w:id="921"/>
      <w:bookmarkEnd w:id="922"/>
    </w:p>
    <w:p w14:paraId="163AD520">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承包人应对其项目经理和其他人员进行有效管理。监理人要求撤换不能胜任本职工作、行为不端或玩忽职守的承包人项目经理和其他人员的，承包人应予以撤换。</w:t>
      </w:r>
    </w:p>
    <w:p w14:paraId="46FE1C6B">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923" w:name="_BookMark_138"/>
      <w:bookmarkEnd w:id="923"/>
      <w:bookmarkStart w:id="924" w:name="_Toc11088968"/>
      <w:bookmarkStart w:id="925" w:name="_Toc4661469"/>
      <w:bookmarkStart w:id="926" w:name="_Toc14866726"/>
      <w:bookmarkStart w:id="927" w:name="_Toc27193"/>
      <w:r>
        <w:rPr>
          <w:rFonts w:hint="eastAsia" w:ascii="宋体" w:hAnsi="宋体" w:cs="宋体"/>
          <w:b w:val="0"/>
          <w:color w:val="auto"/>
          <w:sz w:val="21"/>
          <w:szCs w:val="21"/>
          <w:highlight w:val="none"/>
          <w:shd w:val="clear" w:color="auto" w:fill="FFFFFF"/>
        </w:rPr>
        <w:t>4.8  保障承包人人员的合法权益</w:t>
      </w:r>
      <w:bookmarkEnd w:id="924"/>
      <w:bookmarkEnd w:id="925"/>
      <w:bookmarkEnd w:id="926"/>
      <w:bookmarkEnd w:id="927"/>
    </w:p>
    <w:p w14:paraId="7D89DEB2">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4.8.1  承包人应与其雇佣的人员签订劳动合同，并按时发放工资。</w:t>
      </w:r>
    </w:p>
    <w:p w14:paraId="59C8D2F2">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4.8.2  承包人应按劳动法的规定安排工作时间，保证其雇佣人员享有休息和休假的权利。因工程施工的特殊需要占用休假日或延长工作时间的，应不超过法律规定的限度，并按法律规定给予补休或付酬。</w:t>
      </w:r>
    </w:p>
    <w:p w14:paraId="205F1C09">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4.8.3  承包人应为其雇佣人员提供必要的食宿条件，以及符合环境保护和卫生要求的生活环境，在远离城镇的施工场地，还应配备必要的伤病防治和急救的医务人员与医疗设施。</w:t>
      </w:r>
    </w:p>
    <w:p w14:paraId="1EB485F1">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4.8.4  承包人应按国家有关劳动保护的规定，采取有效的防止粉尘、降低噪声、控制有害气体和保障高温、高寒、高空作业安全等劳动保护措施。其雇佣人员在施工中受到伤害的，承包人应立即采取有效措施进行抢救和治疗。</w:t>
      </w:r>
    </w:p>
    <w:p w14:paraId="612837AA">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4.8.5  承包人应按有关法律规定和合同约定，为其雇佣人员办理保险。</w:t>
      </w:r>
    </w:p>
    <w:p w14:paraId="289F25E1">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4.8.6  承包人应负责处理其雇佣人员因工伤亡事故的善后事宜。</w:t>
      </w:r>
    </w:p>
    <w:p w14:paraId="4F1B8AF3">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928" w:name="_BookMark_139"/>
      <w:bookmarkEnd w:id="928"/>
      <w:bookmarkStart w:id="929" w:name="_Toc18064"/>
      <w:bookmarkStart w:id="930" w:name="_Toc14866727"/>
      <w:bookmarkStart w:id="931" w:name="_Toc4661470"/>
      <w:bookmarkStart w:id="932" w:name="_Toc11088969"/>
      <w:r>
        <w:rPr>
          <w:rFonts w:hint="eastAsia" w:ascii="宋体" w:hAnsi="宋体" w:cs="宋体"/>
          <w:b w:val="0"/>
          <w:color w:val="auto"/>
          <w:sz w:val="21"/>
          <w:szCs w:val="21"/>
          <w:highlight w:val="none"/>
          <w:shd w:val="clear" w:color="auto" w:fill="FFFFFF"/>
        </w:rPr>
        <w:t>4.9  工程价款应专款专用</w:t>
      </w:r>
      <w:bookmarkEnd w:id="929"/>
      <w:bookmarkEnd w:id="930"/>
      <w:bookmarkEnd w:id="931"/>
      <w:bookmarkEnd w:id="932"/>
    </w:p>
    <w:p w14:paraId="6AAB7EA2">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发包人按合同约定支付给承包人的各项价款应专用于合同工程。</w:t>
      </w:r>
    </w:p>
    <w:p w14:paraId="12521B31">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933" w:name="_BookMark_140"/>
      <w:bookmarkEnd w:id="933"/>
      <w:bookmarkStart w:id="934" w:name="_Toc4661471"/>
      <w:bookmarkStart w:id="935" w:name="_Toc14866728"/>
      <w:bookmarkStart w:id="936" w:name="_Toc11088970"/>
      <w:bookmarkStart w:id="937" w:name="_Toc3044"/>
      <w:r>
        <w:rPr>
          <w:rFonts w:hint="eastAsia" w:ascii="宋体" w:hAnsi="宋体" w:cs="宋体"/>
          <w:b w:val="0"/>
          <w:color w:val="auto"/>
          <w:sz w:val="21"/>
          <w:szCs w:val="21"/>
          <w:highlight w:val="none"/>
          <w:shd w:val="clear" w:color="auto" w:fill="FFFFFF"/>
        </w:rPr>
        <w:t>4.10  承包人现场查勘</w:t>
      </w:r>
      <w:bookmarkEnd w:id="934"/>
      <w:bookmarkEnd w:id="935"/>
      <w:bookmarkEnd w:id="936"/>
      <w:bookmarkEnd w:id="937"/>
    </w:p>
    <w:p w14:paraId="470AC4C3">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4.10.1  发包人应将其持有的现场地质勘探资料、水文气象资料提供给承包人，并对其准确性负责。但承包人应对其阅读上述有关资料后所作出的解释和推断负责。</w:t>
      </w:r>
    </w:p>
    <w:p w14:paraId="1E72F4E7">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4.10.2  承包人应对施工场地和周围环境进行查勘，并收集有关地质、水文、气象条件、交通条件、风俗习惯以及其他为完成合同工作有关的当地资料。在全部合同工作中，应视为承包人已充分估计了应承担的责任和风险。</w:t>
      </w:r>
    </w:p>
    <w:p w14:paraId="3A2389EF">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938" w:name="_BookMark_141"/>
      <w:bookmarkEnd w:id="938"/>
      <w:bookmarkStart w:id="939" w:name="_Toc4661472"/>
      <w:bookmarkStart w:id="940" w:name="_Toc22030"/>
      <w:bookmarkStart w:id="941" w:name="_Toc11088971"/>
      <w:bookmarkStart w:id="942" w:name="_Toc14866729"/>
      <w:r>
        <w:rPr>
          <w:rFonts w:hint="eastAsia" w:ascii="宋体" w:hAnsi="宋体" w:cs="宋体"/>
          <w:b w:val="0"/>
          <w:color w:val="auto"/>
          <w:sz w:val="21"/>
          <w:szCs w:val="21"/>
          <w:highlight w:val="none"/>
          <w:shd w:val="clear" w:color="auto" w:fill="FFFFFF"/>
        </w:rPr>
        <w:t>4.11  不利物质条件</w:t>
      </w:r>
      <w:bookmarkEnd w:id="939"/>
      <w:bookmarkEnd w:id="940"/>
      <w:bookmarkEnd w:id="941"/>
      <w:bookmarkEnd w:id="942"/>
    </w:p>
    <w:p w14:paraId="5D400441">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4.11.1  不利物质条件一般是指承包人在施工场地遇到的不可预见的自然物质条件、非自然的物质障碍和污染物，包括地下和水文条件，但不包括气候条件。不利物质条件的具体范围见合同条款专用部分。</w:t>
      </w:r>
    </w:p>
    <w:p w14:paraId="11040ABF">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4.11.2  承包人遇到不利物质条件时，应采取适应不利物质条件的合理措施继续施工，并及时通知监理人。监理人应当及时发出指示，指示构成变更的，按第15条约定办理。监理人没有发出指示的，承包人因采取合理措施增加的费用和（或）工期延误，由发包人承担。</w:t>
      </w:r>
    </w:p>
    <w:p w14:paraId="3B248271">
      <w:pPr>
        <w:pStyle w:val="3"/>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943" w:name="_BookMark_142"/>
      <w:bookmarkEnd w:id="943"/>
      <w:bookmarkStart w:id="944" w:name="_Toc28046"/>
      <w:bookmarkStart w:id="945" w:name="_Toc11088972"/>
      <w:bookmarkStart w:id="946" w:name="_Toc4661473"/>
      <w:bookmarkStart w:id="947" w:name="_Toc14866730"/>
      <w:r>
        <w:rPr>
          <w:rFonts w:hint="eastAsia" w:ascii="宋体" w:hAnsi="宋体"/>
          <w:b w:val="0"/>
          <w:color w:val="auto"/>
          <w:sz w:val="21"/>
          <w:szCs w:val="21"/>
          <w:highlight w:val="none"/>
          <w:shd w:val="clear" w:color="auto" w:fill="FFFFFF"/>
        </w:rPr>
        <w:t>5.材料和工程设备</w:t>
      </w:r>
      <w:bookmarkEnd w:id="944"/>
      <w:bookmarkEnd w:id="945"/>
      <w:bookmarkEnd w:id="946"/>
      <w:bookmarkEnd w:id="947"/>
    </w:p>
    <w:p w14:paraId="3FE65608">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948" w:name="_BookMark_143"/>
      <w:bookmarkEnd w:id="948"/>
      <w:bookmarkStart w:id="949" w:name="_Toc14279"/>
      <w:bookmarkStart w:id="950" w:name="_Toc11088973"/>
      <w:bookmarkStart w:id="951" w:name="_Toc14866731"/>
      <w:bookmarkStart w:id="952" w:name="_Toc4661474"/>
      <w:r>
        <w:rPr>
          <w:rFonts w:hint="eastAsia" w:ascii="宋体" w:hAnsi="宋体" w:cs="宋体"/>
          <w:b w:val="0"/>
          <w:color w:val="auto"/>
          <w:sz w:val="21"/>
          <w:szCs w:val="21"/>
          <w:highlight w:val="none"/>
          <w:shd w:val="clear" w:color="auto" w:fill="FFFFFF"/>
        </w:rPr>
        <w:t>5.1  承包人提供的材料和工程设备</w:t>
      </w:r>
      <w:bookmarkEnd w:id="949"/>
      <w:bookmarkEnd w:id="950"/>
      <w:bookmarkEnd w:id="951"/>
      <w:bookmarkEnd w:id="952"/>
    </w:p>
    <w:p w14:paraId="6DBE9E5E">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5.1.1  除第5.2款约定由发包人提供的材料和工程设备外，由承包人提供的材料和工程设备均由承包人负责采购、运输和保管。但是，发包人在工程量清单中给定暂估价的材料和工程设备，包括从暂列金额开支的材料和工程设备，其中属于依法必须招标的范围并达到规定的规模标准的，以及虽不属于依法必须招标的范围但合同中约定采用招标方式采购的，应当按第15.8.1项的约定，由发包人和承包人以招标方式确定专项供应商。承包人负责提供的主要材料和工程设备清单见合同条款专用部分“附件三：承包人提供的材料和工程设备一览表”</w:t>
      </w:r>
      <w:r>
        <w:rPr>
          <w:rFonts w:hint="eastAsia" w:ascii="宋体" w:hAnsi="宋体" w:cs="黑体"/>
          <w:color w:val="auto"/>
          <w:kern w:val="0"/>
          <w:szCs w:val="21"/>
          <w:highlight w:val="none"/>
          <w:shd w:val="clear" w:color="auto" w:fill="FFFFFF"/>
        </w:rPr>
        <w:t>。</w:t>
      </w:r>
    </w:p>
    <w:p w14:paraId="3E5589BA">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5.1.2  承包人应在合同约定的期限内，将各项材料和工程设备的供货人和品种、规格、数量及供货时间等报送监理人审批。承包人应向监理人提交其负责提供的材料和工程设备的质量证明文件，并满足合同约定的质量标准。承包人将其提供的各项材料和工程设备的供货人和品种、规格、数量及供货时间等报送监理人审批的期限见合同条款专用部分。</w:t>
      </w:r>
    </w:p>
    <w:p w14:paraId="7750E5B5">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5.1.3  对承包人提供的材料和工程设备，承包人应会同监理人进行检验和交货验收，查验材料合格证明和产品合格证书，并按照合同约定和监理人指示，进行材料的抽样检验和工程设备的检验测试，检验和测试结果应提交监理人，所需费用由承包人承担。</w:t>
      </w:r>
    </w:p>
    <w:p w14:paraId="1923B672">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953" w:name="_BookMark_144"/>
      <w:bookmarkEnd w:id="953"/>
      <w:bookmarkStart w:id="954" w:name="_Toc4661475"/>
      <w:bookmarkStart w:id="955" w:name="_Toc14866732"/>
      <w:bookmarkStart w:id="956" w:name="_Toc11088974"/>
      <w:bookmarkStart w:id="957" w:name="_Toc3808"/>
      <w:r>
        <w:rPr>
          <w:rFonts w:hint="eastAsia" w:ascii="宋体" w:hAnsi="宋体" w:cs="宋体"/>
          <w:b w:val="0"/>
          <w:bCs w:val="0"/>
          <w:color w:val="auto"/>
          <w:sz w:val="21"/>
          <w:szCs w:val="21"/>
          <w:highlight w:val="none"/>
          <w:shd w:val="clear" w:color="auto" w:fill="FFFFFF"/>
        </w:rPr>
        <w:t>5.2  发包人提供的材料和工程设备</w:t>
      </w:r>
      <w:bookmarkEnd w:id="954"/>
      <w:bookmarkEnd w:id="955"/>
      <w:bookmarkEnd w:id="956"/>
      <w:bookmarkEnd w:id="957"/>
    </w:p>
    <w:p w14:paraId="298BF9EC">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5.2.1  发包人负责提供的材料和工程设备的名称、规格、数量、价格、交货方式、交货地点和计划交货日期等见合同条款专用部分“附件四：发包人提供的材料和工程设备一览表”。</w:t>
      </w:r>
    </w:p>
    <w:p w14:paraId="559BDF52">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5.2.2  承包人应根据合同进度计划的安排，向监理人报送要求发包人交货的日期计划。发包人应按照监理人与合同双方当事人商定的交货日期，向承包人提交材料和工程设备。</w:t>
      </w:r>
    </w:p>
    <w:p w14:paraId="54A804C2">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5.2.3  发包人应在材料和工程设备到货7天前通知承包人，承包人应会同监理人在约定的时间内，赴交货地点共同进行验收。由发包人提供的材料和工程设备验收后，由承包人负责接收、运输和保管。</w:t>
      </w:r>
    </w:p>
    <w:p w14:paraId="5D85B077">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 xml:space="preserve">5.2.4  发包人要求向承包人提前交货的，承包人不得拒绝，但发包人应承担承包人由此增加的费用。 </w:t>
      </w:r>
    </w:p>
    <w:p w14:paraId="2B33B5EC">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 xml:space="preserve">5.2.5  承包人要求更改交货日期或地点的，应事先报请监理人批准。由于承包人要求更改交货时间或地点所增加的费用和（或）工期延误由承包人承担。 </w:t>
      </w:r>
    </w:p>
    <w:p w14:paraId="4DD83286">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5.2.6  发包人提供的材料和工程设备的规格、数量或质量不符合合同要求，或由于发包人原因发生交货日期延误及交货地点变更等情况的，发包人应承担由此增加的费用和（或）工期延误，并向承包人支付合理利润。</w:t>
      </w:r>
    </w:p>
    <w:p w14:paraId="5ABE006A">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958" w:name="_BookMark_145"/>
      <w:bookmarkEnd w:id="958"/>
      <w:bookmarkStart w:id="959" w:name="_Toc28793"/>
      <w:bookmarkStart w:id="960" w:name="_Toc14866733"/>
      <w:bookmarkStart w:id="961" w:name="_Toc4661476"/>
      <w:bookmarkStart w:id="962" w:name="_Toc11088975"/>
      <w:r>
        <w:rPr>
          <w:rFonts w:hint="eastAsia" w:ascii="宋体" w:hAnsi="宋体" w:cs="宋体"/>
          <w:b w:val="0"/>
          <w:bCs w:val="0"/>
          <w:color w:val="auto"/>
          <w:sz w:val="21"/>
          <w:szCs w:val="21"/>
          <w:highlight w:val="none"/>
          <w:shd w:val="clear" w:color="auto" w:fill="FFFFFF"/>
        </w:rPr>
        <w:t>5.3  材料和工程设备专用于合同工程</w:t>
      </w:r>
      <w:bookmarkEnd w:id="959"/>
      <w:bookmarkEnd w:id="960"/>
      <w:bookmarkEnd w:id="961"/>
      <w:bookmarkEnd w:id="962"/>
    </w:p>
    <w:p w14:paraId="0EE048F8">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5.3.1  运入施工场地的材料、工程设备，包括备品备件、安装专用工器具与随机资料，必须专用于合同工程，未经监理人同意，承包人不得运出施工场地或挪作他用。</w:t>
      </w:r>
    </w:p>
    <w:p w14:paraId="5A69B8E1">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5.3.2  随同工程设备运入施工场地的备品备件、专用工器具与随机资料，应由承包人会同监理人按供货人的装箱单清点后共同封存，未经监理人同意不得启用。承包人因合同工作需要使用上述物品时，应向监理人提出申请。</w:t>
      </w:r>
    </w:p>
    <w:p w14:paraId="416E4E55">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963" w:name="_BookMark_146"/>
      <w:bookmarkEnd w:id="963"/>
      <w:bookmarkStart w:id="964" w:name="_Toc15989"/>
      <w:bookmarkStart w:id="965" w:name="_Toc14866734"/>
      <w:bookmarkStart w:id="966" w:name="_Toc4661477"/>
      <w:bookmarkStart w:id="967" w:name="_Toc11088976"/>
      <w:r>
        <w:rPr>
          <w:rFonts w:hint="eastAsia" w:ascii="宋体" w:hAnsi="宋体" w:cs="宋体"/>
          <w:b w:val="0"/>
          <w:bCs w:val="0"/>
          <w:color w:val="auto"/>
          <w:sz w:val="21"/>
          <w:szCs w:val="21"/>
          <w:highlight w:val="none"/>
          <w:shd w:val="clear" w:color="auto" w:fill="FFFFFF"/>
        </w:rPr>
        <w:t>5.4  禁止使用不合格的材料和工程设备</w:t>
      </w:r>
      <w:bookmarkEnd w:id="964"/>
      <w:bookmarkEnd w:id="965"/>
      <w:bookmarkEnd w:id="966"/>
      <w:bookmarkEnd w:id="967"/>
    </w:p>
    <w:p w14:paraId="0E6DC62D">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5.4.1  监理人有权拒绝承包人提供的不合格材料或工程设备，并要求承包人立即进行更换。监理人应在更换后再次进行检查和检验，由此增加的费用和（或）工期延误由承包人承担。</w:t>
      </w:r>
    </w:p>
    <w:p w14:paraId="71AB189D">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5.4.2  监理人发现承包人使用了不合格的材料和工程设备，应即时发出指示要求承包人立即改正，并禁止在工程中继续使用不合格的材料和工程设备。</w:t>
      </w:r>
    </w:p>
    <w:p w14:paraId="3B3018F0">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5.4.3  发包人提供的材料或工程设备不符合合同要求的，承包人有权拒绝，并可要求发包人更换，由此增加的费用和（或）工期延误由发包人承担。</w:t>
      </w:r>
    </w:p>
    <w:p w14:paraId="46313AB0">
      <w:pPr>
        <w:pStyle w:val="3"/>
        <w:keepNext w:val="0"/>
        <w:keepLines w:val="0"/>
        <w:widowControl/>
        <w:snapToGrid w:val="0"/>
        <w:spacing w:before="0" w:after="0" w:line="360" w:lineRule="auto"/>
        <w:ind w:left="210" w:leftChars="100"/>
        <w:jc w:val="left"/>
        <w:rPr>
          <w:rFonts w:ascii="宋体" w:hAnsi="宋体"/>
          <w:b w:val="0"/>
          <w:bCs w:val="0"/>
          <w:color w:val="auto"/>
          <w:sz w:val="21"/>
          <w:szCs w:val="21"/>
          <w:highlight w:val="none"/>
          <w:shd w:val="clear" w:color="auto" w:fill="FFFFFF"/>
        </w:rPr>
      </w:pPr>
      <w:bookmarkStart w:id="968" w:name="_BookMark_147"/>
      <w:bookmarkEnd w:id="968"/>
      <w:bookmarkStart w:id="969" w:name="_Toc11088977"/>
      <w:bookmarkStart w:id="970" w:name="_Toc4661478"/>
      <w:bookmarkStart w:id="971" w:name="_Toc17884"/>
      <w:bookmarkStart w:id="972" w:name="_Toc14866735"/>
      <w:r>
        <w:rPr>
          <w:rFonts w:hint="eastAsia" w:ascii="宋体" w:hAnsi="宋体"/>
          <w:b w:val="0"/>
          <w:bCs w:val="0"/>
          <w:color w:val="auto"/>
          <w:sz w:val="21"/>
          <w:szCs w:val="21"/>
          <w:highlight w:val="none"/>
          <w:shd w:val="clear" w:color="auto" w:fill="FFFFFF"/>
        </w:rPr>
        <w:t>6.施工设备和临时设施</w:t>
      </w:r>
      <w:bookmarkEnd w:id="969"/>
      <w:bookmarkEnd w:id="970"/>
      <w:bookmarkEnd w:id="971"/>
      <w:bookmarkEnd w:id="972"/>
    </w:p>
    <w:p w14:paraId="25AEA894">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973" w:name="_BookMark_148"/>
      <w:bookmarkEnd w:id="973"/>
      <w:bookmarkStart w:id="974" w:name="_Toc14866736"/>
      <w:bookmarkStart w:id="975" w:name="_Toc11088978"/>
      <w:bookmarkStart w:id="976" w:name="_Toc4661479"/>
      <w:bookmarkStart w:id="977" w:name="_Toc16003"/>
      <w:r>
        <w:rPr>
          <w:rFonts w:hint="eastAsia" w:ascii="宋体" w:hAnsi="宋体" w:cs="宋体"/>
          <w:b w:val="0"/>
          <w:bCs w:val="0"/>
          <w:color w:val="auto"/>
          <w:sz w:val="21"/>
          <w:szCs w:val="21"/>
          <w:highlight w:val="none"/>
          <w:shd w:val="clear" w:color="auto" w:fill="FFFFFF"/>
        </w:rPr>
        <w:t>6.1  承包人提供的施工设备和临时设施</w:t>
      </w:r>
      <w:bookmarkEnd w:id="974"/>
      <w:bookmarkEnd w:id="975"/>
      <w:bookmarkEnd w:id="976"/>
      <w:bookmarkEnd w:id="977"/>
    </w:p>
    <w:p w14:paraId="0216CEE9">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6.1.1  承包人应按合同进度计划的要求，及时配置施工设备和修建临时设施。进入施工场地的承包人设备需经监理人核查后才能投入使用。承包人更换合同约定的承包人设备的，应报监理人批准。</w:t>
      </w:r>
    </w:p>
    <w:p w14:paraId="74ADC28F">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6.1.2  除合同另有约定外，承包人应承担自行修建临时设施的费用，需要临时占地的，应由发包人办理申请手续并承担相应费用。承包人自行修建临时设施的范围以及所需临时占地见合同条款专用部分。</w:t>
      </w:r>
    </w:p>
    <w:p w14:paraId="5C995F77">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978" w:name="_BookMark_149"/>
      <w:bookmarkEnd w:id="978"/>
      <w:bookmarkStart w:id="979" w:name="_Toc4661480"/>
      <w:bookmarkStart w:id="980" w:name="_Toc11088979"/>
      <w:bookmarkStart w:id="981" w:name="_Toc14866737"/>
      <w:bookmarkStart w:id="982" w:name="_Toc16170"/>
      <w:r>
        <w:rPr>
          <w:rFonts w:hint="eastAsia" w:ascii="宋体" w:hAnsi="宋体" w:cs="宋体"/>
          <w:b w:val="0"/>
          <w:bCs w:val="0"/>
          <w:color w:val="auto"/>
          <w:sz w:val="21"/>
          <w:szCs w:val="21"/>
          <w:highlight w:val="none"/>
          <w:shd w:val="clear" w:color="auto" w:fill="FFFFFF"/>
        </w:rPr>
        <w:t>6.2  发包人提供的施工设备和临时设施</w:t>
      </w:r>
      <w:bookmarkEnd w:id="979"/>
      <w:bookmarkEnd w:id="980"/>
      <w:bookmarkEnd w:id="981"/>
      <w:bookmarkEnd w:id="982"/>
    </w:p>
    <w:p w14:paraId="1916CD42">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发包人提供的施工设备或临时设施，以及相关运行、维护、拆除、清运费用的承担人见合同条款专用部分。</w:t>
      </w:r>
    </w:p>
    <w:p w14:paraId="7E860FCD">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983" w:name="_BookMark_150"/>
      <w:bookmarkEnd w:id="983"/>
      <w:bookmarkStart w:id="984" w:name="_Toc30673"/>
      <w:bookmarkStart w:id="985" w:name="_Toc14866738"/>
      <w:bookmarkStart w:id="986" w:name="_Toc4661481"/>
      <w:bookmarkStart w:id="987" w:name="_Toc11088980"/>
      <w:r>
        <w:rPr>
          <w:rFonts w:hint="eastAsia" w:ascii="宋体" w:hAnsi="宋体" w:cs="宋体"/>
          <w:b w:val="0"/>
          <w:bCs w:val="0"/>
          <w:color w:val="auto"/>
          <w:sz w:val="21"/>
          <w:szCs w:val="21"/>
          <w:highlight w:val="none"/>
          <w:shd w:val="clear" w:color="auto" w:fill="FFFFFF"/>
        </w:rPr>
        <w:t>6.3  要求承包人增加或更换施工设备</w:t>
      </w:r>
      <w:bookmarkEnd w:id="984"/>
      <w:bookmarkEnd w:id="985"/>
      <w:bookmarkEnd w:id="986"/>
      <w:bookmarkEnd w:id="987"/>
    </w:p>
    <w:p w14:paraId="6026E6F5">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承包人使用的施工设备不能满足合同进度计划和（或）质量要求时，监理人有权要求承包人增加或更换施工设备，承包人应及时增加或更换，由此增加的费用和（或）工期延误由承包人承担。</w:t>
      </w:r>
    </w:p>
    <w:p w14:paraId="1F41E915">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988" w:name="_BookMark_151"/>
      <w:bookmarkEnd w:id="988"/>
      <w:bookmarkStart w:id="989" w:name="_Toc11088981"/>
      <w:bookmarkStart w:id="990" w:name="_Toc4661482"/>
      <w:bookmarkStart w:id="991" w:name="_Toc28344"/>
      <w:bookmarkStart w:id="992" w:name="_Toc14866739"/>
      <w:r>
        <w:rPr>
          <w:rFonts w:hint="eastAsia" w:ascii="宋体" w:hAnsi="宋体" w:cs="宋体"/>
          <w:b w:val="0"/>
          <w:bCs w:val="0"/>
          <w:color w:val="auto"/>
          <w:sz w:val="21"/>
          <w:szCs w:val="21"/>
          <w:highlight w:val="none"/>
          <w:shd w:val="clear" w:color="auto" w:fill="FFFFFF"/>
        </w:rPr>
        <w:t>6.4  施工设备和临时设施专用于合同工程</w:t>
      </w:r>
      <w:bookmarkEnd w:id="989"/>
      <w:bookmarkEnd w:id="990"/>
      <w:bookmarkEnd w:id="991"/>
      <w:bookmarkEnd w:id="992"/>
    </w:p>
    <w:p w14:paraId="597C944D">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6.4.1  除为第4.1.8项约定的其他独立承包人和监理人指示的他人提供条件外,承包人运入施工场地的所有施工设备以及在施工场地建设的临时设施仅限于用于合同工程。未经监理人同意，不得将上述施工设备和临时设施中的任何部分运出施工场地或挪作他用。</w:t>
      </w:r>
    </w:p>
    <w:p w14:paraId="2507A4C4">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6.4.2  经监理人同意，承包人可根据合同进度计划撤走闲置的施工设备。</w:t>
      </w:r>
    </w:p>
    <w:p w14:paraId="0D7820E7">
      <w:pPr>
        <w:pStyle w:val="3"/>
        <w:keepNext w:val="0"/>
        <w:keepLines w:val="0"/>
        <w:widowControl/>
        <w:snapToGrid w:val="0"/>
        <w:spacing w:before="0" w:after="0" w:line="360" w:lineRule="auto"/>
        <w:ind w:left="210" w:leftChars="100"/>
        <w:jc w:val="left"/>
        <w:rPr>
          <w:rFonts w:ascii="宋体" w:hAnsi="宋体"/>
          <w:b w:val="0"/>
          <w:bCs w:val="0"/>
          <w:color w:val="auto"/>
          <w:sz w:val="21"/>
          <w:szCs w:val="21"/>
          <w:highlight w:val="none"/>
          <w:shd w:val="clear" w:color="auto" w:fill="FFFFFF"/>
        </w:rPr>
      </w:pPr>
      <w:bookmarkStart w:id="993" w:name="_BookMark_152"/>
      <w:bookmarkEnd w:id="993"/>
      <w:bookmarkStart w:id="994" w:name="_Toc30051"/>
      <w:bookmarkStart w:id="995" w:name="_Toc14866740"/>
      <w:bookmarkStart w:id="996" w:name="_Toc4661483"/>
      <w:bookmarkStart w:id="997" w:name="_Toc11088982"/>
      <w:r>
        <w:rPr>
          <w:rFonts w:hint="eastAsia" w:ascii="宋体" w:hAnsi="宋体"/>
          <w:b w:val="0"/>
          <w:bCs w:val="0"/>
          <w:color w:val="auto"/>
          <w:sz w:val="21"/>
          <w:szCs w:val="21"/>
          <w:highlight w:val="none"/>
          <w:shd w:val="clear" w:color="auto" w:fill="FFFFFF"/>
        </w:rPr>
        <w:t>7.交通运输</w:t>
      </w:r>
      <w:bookmarkEnd w:id="994"/>
      <w:bookmarkEnd w:id="995"/>
      <w:bookmarkEnd w:id="996"/>
      <w:bookmarkEnd w:id="997"/>
    </w:p>
    <w:p w14:paraId="2AD33A37">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998" w:name="_BookMark_153"/>
      <w:bookmarkEnd w:id="998"/>
      <w:bookmarkStart w:id="999" w:name="_Toc30066"/>
      <w:bookmarkStart w:id="1000" w:name="_Toc4661484"/>
      <w:bookmarkStart w:id="1001" w:name="_Toc14866741"/>
      <w:bookmarkStart w:id="1002" w:name="_Toc11088983"/>
      <w:r>
        <w:rPr>
          <w:rFonts w:hint="eastAsia" w:ascii="宋体" w:hAnsi="宋体" w:cs="宋体"/>
          <w:b w:val="0"/>
          <w:bCs w:val="0"/>
          <w:color w:val="auto"/>
          <w:sz w:val="21"/>
          <w:szCs w:val="21"/>
          <w:highlight w:val="none"/>
          <w:shd w:val="clear" w:color="auto" w:fill="FFFFFF"/>
        </w:rPr>
        <w:t>7.1  道路通行权和场外设施</w:t>
      </w:r>
      <w:bookmarkEnd w:id="999"/>
      <w:bookmarkEnd w:id="1000"/>
      <w:bookmarkEnd w:id="1001"/>
      <w:bookmarkEnd w:id="1002"/>
    </w:p>
    <w:p w14:paraId="777D7248">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除合同条款专用部分另有约定外，发包人应根据合同工程的施工需要，负责办理取得出入施工场地的专用和临时道路的通行权，以及取得为工程建设所需修建场外设施的权利，并承担有关费用。承包人应协助发包人办理上述手续。</w:t>
      </w:r>
    </w:p>
    <w:p w14:paraId="0E1CEEEB">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003" w:name="_BookMark_154"/>
      <w:bookmarkEnd w:id="1003"/>
      <w:bookmarkStart w:id="1004" w:name="_Toc4661485"/>
      <w:bookmarkStart w:id="1005" w:name="_Toc30533"/>
      <w:bookmarkStart w:id="1006" w:name="_Toc11088984"/>
      <w:bookmarkStart w:id="1007" w:name="_Toc14866742"/>
      <w:r>
        <w:rPr>
          <w:rFonts w:hint="eastAsia" w:ascii="宋体" w:hAnsi="宋体" w:cs="宋体"/>
          <w:b w:val="0"/>
          <w:bCs w:val="0"/>
          <w:color w:val="auto"/>
          <w:sz w:val="21"/>
          <w:szCs w:val="21"/>
          <w:highlight w:val="none"/>
          <w:shd w:val="clear" w:color="auto" w:fill="FFFFFF"/>
        </w:rPr>
        <w:t>7.2  场内施工道路</w:t>
      </w:r>
      <w:bookmarkEnd w:id="1004"/>
      <w:bookmarkEnd w:id="1005"/>
      <w:bookmarkEnd w:id="1006"/>
      <w:bookmarkEnd w:id="1007"/>
    </w:p>
    <w:p w14:paraId="4BEE2B46">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7.2.1  除合同条款专用部分另有约定外，承包人应负责修建、维修、养护和管理施工所需的临时道路和交通设施，包括维修、养护和管理发包人提供的道路和交通设施，并承担相应费用。</w:t>
      </w:r>
    </w:p>
    <w:p w14:paraId="691250B9">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7.2.2  发包人和监理人有权无偿使用承包人修建的临时道路和交通设施，不需要交纳任何费用。</w:t>
      </w:r>
    </w:p>
    <w:p w14:paraId="572E366C">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008" w:name="_BookMark_155"/>
      <w:bookmarkEnd w:id="1008"/>
      <w:bookmarkStart w:id="1009" w:name="_Toc11088985"/>
      <w:bookmarkStart w:id="1010" w:name="_Toc4661486"/>
      <w:bookmarkStart w:id="1011" w:name="_Toc14866743"/>
      <w:bookmarkStart w:id="1012" w:name="_Toc4622"/>
      <w:r>
        <w:rPr>
          <w:rFonts w:hint="eastAsia" w:ascii="宋体" w:hAnsi="宋体" w:cs="宋体"/>
          <w:b w:val="0"/>
          <w:bCs w:val="0"/>
          <w:color w:val="auto"/>
          <w:sz w:val="21"/>
          <w:szCs w:val="21"/>
          <w:highlight w:val="none"/>
          <w:shd w:val="clear" w:color="auto" w:fill="FFFFFF"/>
        </w:rPr>
        <w:t>7.3  场外交通</w:t>
      </w:r>
      <w:bookmarkEnd w:id="1009"/>
      <w:bookmarkEnd w:id="1010"/>
      <w:bookmarkEnd w:id="1011"/>
      <w:bookmarkEnd w:id="1012"/>
    </w:p>
    <w:p w14:paraId="210D75E9">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7.3.1  承包人车辆外出行驶所需的场外公共道路的通行费、养路费和税款等由承包人承担。</w:t>
      </w:r>
    </w:p>
    <w:p w14:paraId="69A04573">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7.3.2  承包人应遵守有关交通法规，严格按照道路和桥梁的限制荷重安全行驶，并服从交通管理部门的检查和监督。</w:t>
      </w:r>
    </w:p>
    <w:p w14:paraId="180F9475">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013" w:name="_BookMark_156"/>
      <w:bookmarkEnd w:id="1013"/>
      <w:bookmarkStart w:id="1014" w:name="_Toc4661487"/>
      <w:bookmarkStart w:id="1015" w:name="_Toc11088986"/>
      <w:bookmarkStart w:id="1016" w:name="_Toc14866744"/>
      <w:bookmarkStart w:id="1017" w:name="_Toc12211"/>
      <w:r>
        <w:rPr>
          <w:rFonts w:hint="eastAsia" w:ascii="宋体" w:hAnsi="宋体" w:cs="宋体"/>
          <w:b w:val="0"/>
          <w:bCs w:val="0"/>
          <w:color w:val="auto"/>
          <w:sz w:val="21"/>
          <w:szCs w:val="21"/>
          <w:highlight w:val="none"/>
          <w:shd w:val="clear" w:color="auto" w:fill="FFFFFF"/>
        </w:rPr>
        <w:t>7.4  超大件和超重件的运输</w:t>
      </w:r>
      <w:bookmarkEnd w:id="1014"/>
      <w:bookmarkEnd w:id="1015"/>
      <w:bookmarkEnd w:id="1016"/>
      <w:bookmarkEnd w:id="1017"/>
    </w:p>
    <w:p w14:paraId="6FF29898">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由承包人负责运输的超大件或超重件，应由承包人负责向交通管理部门办理申请手续，发包人给予协助。运输超大件或超重件所需的道路和桥梁临时加固改造费用和其他有关费用，由承包人承担，但合同条款专用部分另有约定除外。</w:t>
      </w:r>
    </w:p>
    <w:p w14:paraId="03E22E61">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018" w:name="_BookMark_157"/>
      <w:bookmarkEnd w:id="1018"/>
      <w:bookmarkStart w:id="1019" w:name="_Toc32049"/>
      <w:bookmarkStart w:id="1020" w:name="_Toc14866745"/>
      <w:bookmarkStart w:id="1021" w:name="_Toc11088987"/>
      <w:bookmarkStart w:id="1022" w:name="_Toc4661488"/>
      <w:r>
        <w:rPr>
          <w:rFonts w:hint="eastAsia" w:ascii="宋体" w:hAnsi="宋体" w:cs="宋体"/>
          <w:b w:val="0"/>
          <w:bCs w:val="0"/>
          <w:color w:val="auto"/>
          <w:sz w:val="21"/>
          <w:szCs w:val="21"/>
          <w:highlight w:val="none"/>
          <w:shd w:val="clear" w:color="auto" w:fill="FFFFFF"/>
        </w:rPr>
        <w:t>7.5  道路和桥梁的损坏责任</w:t>
      </w:r>
      <w:bookmarkEnd w:id="1019"/>
      <w:bookmarkEnd w:id="1020"/>
      <w:bookmarkEnd w:id="1021"/>
      <w:bookmarkEnd w:id="1022"/>
    </w:p>
    <w:p w14:paraId="41F9C0FD">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因承包人运输造成施工场地内外公共道路和桥梁损坏的，由承包人承担修复损坏的全部费用和可能引起的赔偿。</w:t>
      </w:r>
    </w:p>
    <w:p w14:paraId="3B845583">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023" w:name="_BookMark_158"/>
      <w:bookmarkEnd w:id="1023"/>
      <w:bookmarkStart w:id="1024" w:name="_Toc4133"/>
      <w:bookmarkStart w:id="1025" w:name="_Toc4661489"/>
      <w:bookmarkStart w:id="1026" w:name="_Toc14866746"/>
      <w:bookmarkStart w:id="1027" w:name="_Toc11088988"/>
      <w:r>
        <w:rPr>
          <w:rFonts w:hint="eastAsia" w:ascii="宋体" w:hAnsi="宋体" w:cs="宋体"/>
          <w:b w:val="0"/>
          <w:bCs w:val="0"/>
          <w:color w:val="auto"/>
          <w:sz w:val="21"/>
          <w:szCs w:val="21"/>
          <w:highlight w:val="none"/>
          <w:shd w:val="clear" w:color="auto" w:fill="FFFFFF"/>
        </w:rPr>
        <w:t>7.6  水路和航空运输</w:t>
      </w:r>
      <w:bookmarkEnd w:id="1024"/>
      <w:bookmarkEnd w:id="1025"/>
      <w:bookmarkEnd w:id="1026"/>
      <w:bookmarkEnd w:id="1027"/>
    </w:p>
    <w:p w14:paraId="3C3DCA84">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本条上述各款的内容适用于水路运输和航空运输，其中“道路”一词的涵义包括河道、航线、船闸、机场、码头、堤防以及水路或航空运输中其他相似结构物；“车辆”一词的涵义包括船舶和飞机等。</w:t>
      </w:r>
    </w:p>
    <w:p w14:paraId="266075AE">
      <w:pPr>
        <w:pStyle w:val="3"/>
        <w:keepNext w:val="0"/>
        <w:keepLines w:val="0"/>
        <w:widowControl/>
        <w:snapToGrid w:val="0"/>
        <w:spacing w:before="0" w:after="0" w:line="360" w:lineRule="auto"/>
        <w:ind w:left="210" w:leftChars="100"/>
        <w:jc w:val="left"/>
        <w:rPr>
          <w:rFonts w:ascii="宋体" w:hAnsi="宋体"/>
          <w:b w:val="0"/>
          <w:bCs w:val="0"/>
          <w:color w:val="auto"/>
          <w:sz w:val="21"/>
          <w:szCs w:val="21"/>
          <w:highlight w:val="none"/>
          <w:shd w:val="clear" w:color="auto" w:fill="FFFFFF"/>
        </w:rPr>
      </w:pPr>
      <w:bookmarkStart w:id="1028" w:name="_BookMark_159"/>
      <w:bookmarkEnd w:id="1028"/>
      <w:bookmarkStart w:id="1029" w:name="_Toc11088989"/>
      <w:bookmarkStart w:id="1030" w:name="_Toc22770"/>
      <w:bookmarkStart w:id="1031" w:name="_Toc14866747"/>
      <w:bookmarkStart w:id="1032" w:name="_Toc4661490"/>
      <w:r>
        <w:rPr>
          <w:rFonts w:hint="eastAsia" w:ascii="宋体" w:hAnsi="宋体"/>
          <w:b w:val="0"/>
          <w:bCs w:val="0"/>
          <w:color w:val="auto"/>
          <w:sz w:val="21"/>
          <w:szCs w:val="21"/>
          <w:highlight w:val="none"/>
          <w:shd w:val="clear" w:color="auto" w:fill="FFFFFF"/>
        </w:rPr>
        <w:t>8.测量放线</w:t>
      </w:r>
      <w:bookmarkEnd w:id="1029"/>
      <w:bookmarkEnd w:id="1030"/>
      <w:bookmarkEnd w:id="1031"/>
      <w:bookmarkEnd w:id="1032"/>
    </w:p>
    <w:p w14:paraId="0E2B9E80">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033" w:name="_BookMark_160"/>
      <w:bookmarkEnd w:id="1033"/>
      <w:bookmarkStart w:id="1034" w:name="_Toc4661491"/>
      <w:bookmarkStart w:id="1035" w:name="_Toc23995"/>
      <w:bookmarkStart w:id="1036" w:name="_Toc14866748"/>
      <w:bookmarkStart w:id="1037" w:name="_Toc11088990"/>
      <w:r>
        <w:rPr>
          <w:rFonts w:hint="eastAsia" w:ascii="宋体" w:hAnsi="宋体" w:cs="宋体"/>
          <w:b w:val="0"/>
          <w:bCs w:val="0"/>
          <w:color w:val="auto"/>
          <w:sz w:val="21"/>
          <w:szCs w:val="21"/>
          <w:highlight w:val="none"/>
          <w:shd w:val="clear" w:color="auto" w:fill="FFFFFF"/>
        </w:rPr>
        <w:t>8.1  施工控制网</w:t>
      </w:r>
      <w:bookmarkEnd w:id="1034"/>
      <w:bookmarkEnd w:id="1035"/>
      <w:bookmarkEnd w:id="1036"/>
      <w:bookmarkEnd w:id="1037"/>
    </w:p>
    <w:p w14:paraId="325D89A8">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8.1.1  发包人应在合同约定的期限内，通过监理人向承包人提供测量基准点、基准线和水准点及其书面资料。向承包人提供测量基准点、基准线和水准点及其书面资料的期限见合同条款专用部分。</w:t>
      </w:r>
    </w:p>
    <w:p w14:paraId="7523F061">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8.1.2承包人应根据国家测绘基准、测绘系统和工程测量技术规范，按上述基准点（线）以及合同工程精度要求，测设施工控制网，承包人测设施工控制网的其他要求见合同条款专用部分。并将施工控制网资料在约定期限内报送监理人审批，其报送监理人审批的期限见合同条款专用部分。</w:t>
      </w:r>
    </w:p>
    <w:p w14:paraId="3F1C7D44">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8.1.3  承包人应负责管理施工控制网点。施工控制网点丢失或损坏的，承包人应及时修复，并承担施工控制网点的管理与修复费用。工程竣工后将施工控制网点移交发包人。</w:t>
      </w:r>
    </w:p>
    <w:p w14:paraId="1058D9CA">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038" w:name="_BookMark_161"/>
      <w:bookmarkEnd w:id="1038"/>
      <w:bookmarkStart w:id="1039" w:name="_Toc17733"/>
      <w:bookmarkStart w:id="1040" w:name="_Toc14866749"/>
      <w:bookmarkStart w:id="1041" w:name="_Toc11088991"/>
      <w:bookmarkStart w:id="1042" w:name="_Toc4661492"/>
      <w:r>
        <w:rPr>
          <w:rFonts w:hint="eastAsia" w:ascii="宋体" w:hAnsi="宋体" w:cs="宋体"/>
          <w:b w:val="0"/>
          <w:bCs w:val="0"/>
          <w:color w:val="auto"/>
          <w:sz w:val="21"/>
          <w:szCs w:val="21"/>
          <w:highlight w:val="none"/>
          <w:shd w:val="clear" w:color="auto" w:fill="FFFFFF"/>
        </w:rPr>
        <w:t>8.2  施工测量</w:t>
      </w:r>
      <w:bookmarkEnd w:id="1039"/>
      <w:bookmarkEnd w:id="1040"/>
      <w:bookmarkEnd w:id="1041"/>
      <w:bookmarkEnd w:id="1042"/>
    </w:p>
    <w:p w14:paraId="1D088717">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8.2.1  承包人应负责施工过程中的全部施工测量放线工作，并配置合格的人员、仪器、设备和其他物品。</w:t>
      </w:r>
    </w:p>
    <w:p w14:paraId="4AE5AF04">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8.2.2  监理人可以指示承包人进行抽样复测，当复测中发现错误或出现超过合同约定的误差时，承包人应按监理人指示进行修正或补测，并承担相应的复测费用。</w:t>
      </w:r>
    </w:p>
    <w:p w14:paraId="3997C2D2">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043" w:name="_BookMark_162"/>
      <w:bookmarkEnd w:id="1043"/>
      <w:bookmarkStart w:id="1044" w:name="_Toc11088992"/>
      <w:bookmarkStart w:id="1045" w:name="_Toc4661493"/>
      <w:bookmarkStart w:id="1046" w:name="_Toc12965"/>
      <w:bookmarkStart w:id="1047" w:name="_Toc14866750"/>
      <w:r>
        <w:rPr>
          <w:rFonts w:hint="eastAsia" w:ascii="宋体" w:hAnsi="宋体" w:cs="宋体"/>
          <w:b w:val="0"/>
          <w:bCs w:val="0"/>
          <w:color w:val="auto"/>
          <w:sz w:val="21"/>
          <w:szCs w:val="21"/>
          <w:highlight w:val="none"/>
          <w:shd w:val="clear" w:color="auto" w:fill="FFFFFF"/>
        </w:rPr>
        <w:t>8.3  基准资料错误的责任</w:t>
      </w:r>
      <w:bookmarkEnd w:id="1044"/>
      <w:bookmarkEnd w:id="1045"/>
      <w:bookmarkEnd w:id="1046"/>
      <w:bookmarkEnd w:id="1047"/>
    </w:p>
    <w:p w14:paraId="3E432C55">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p>
    <w:p w14:paraId="19F83B5C">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048" w:name="_BookMark_163"/>
      <w:bookmarkEnd w:id="1048"/>
      <w:bookmarkStart w:id="1049" w:name="_Toc14866751"/>
      <w:bookmarkStart w:id="1050" w:name="_Toc4661494"/>
      <w:bookmarkStart w:id="1051" w:name="_Toc11088993"/>
      <w:bookmarkStart w:id="1052" w:name="_Toc11642"/>
      <w:r>
        <w:rPr>
          <w:rFonts w:hint="eastAsia" w:ascii="宋体" w:hAnsi="宋体" w:cs="宋体"/>
          <w:b w:val="0"/>
          <w:bCs w:val="0"/>
          <w:color w:val="auto"/>
          <w:sz w:val="21"/>
          <w:szCs w:val="21"/>
          <w:highlight w:val="none"/>
          <w:shd w:val="clear" w:color="auto" w:fill="FFFFFF"/>
        </w:rPr>
        <w:t>8.4  监理人使用施工控制网</w:t>
      </w:r>
      <w:bookmarkEnd w:id="1049"/>
      <w:bookmarkEnd w:id="1050"/>
      <w:bookmarkEnd w:id="1051"/>
      <w:bookmarkEnd w:id="1052"/>
    </w:p>
    <w:p w14:paraId="1E5C7389">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监理人需要使用施工控制网的，承包人应提供必要的协助，发包人不再为此支付费用。</w:t>
      </w:r>
    </w:p>
    <w:p w14:paraId="19912A7D">
      <w:pPr>
        <w:pStyle w:val="3"/>
        <w:keepNext w:val="0"/>
        <w:keepLines w:val="0"/>
        <w:widowControl/>
        <w:snapToGrid w:val="0"/>
        <w:spacing w:before="0" w:after="0" w:line="360" w:lineRule="auto"/>
        <w:ind w:left="210" w:leftChars="100"/>
        <w:jc w:val="left"/>
        <w:rPr>
          <w:rFonts w:ascii="宋体" w:hAnsi="宋体"/>
          <w:b w:val="0"/>
          <w:bCs w:val="0"/>
          <w:color w:val="auto"/>
          <w:sz w:val="21"/>
          <w:szCs w:val="21"/>
          <w:highlight w:val="none"/>
          <w:shd w:val="clear" w:color="auto" w:fill="FFFFFF"/>
        </w:rPr>
      </w:pPr>
      <w:bookmarkStart w:id="1053" w:name="_BookMark_164"/>
      <w:bookmarkEnd w:id="1053"/>
      <w:bookmarkStart w:id="1054" w:name="_Toc11088994"/>
      <w:bookmarkStart w:id="1055" w:name="_Toc4661495"/>
      <w:bookmarkStart w:id="1056" w:name="_Toc14866752"/>
      <w:bookmarkStart w:id="1057" w:name="_Toc10064"/>
      <w:r>
        <w:rPr>
          <w:rFonts w:hint="eastAsia" w:ascii="宋体" w:hAnsi="宋体"/>
          <w:b w:val="0"/>
          <w:bCs w:val="0"/>
          <w:color w:val="auto"/>
          <w:sz w:val="21"/>
          <w:szCs w:val="21"/>
          <w:highlight w:val="none"/>
          <w:shd w:val="clear" w:color="auto" w:fill="FFFFFF"/>
        </w:rPr>
        <w:t>9.施工安全、治安保卫和环境保护</w:t>
      </w:r>
      <w:bookmarkEnd w:id="1054"/>
      <w:bookmarkEnd w:id="1055"/>
      <w:bookmarkEnd w:id="1056"/>
      <w:bookmarkEnd w:id="1057"/>
    </w:p>
    <w:p w14:paraId="5F8882FA">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058" w:name="_BookMark_165"/>
      <w:bookmarkEnd w:id="1058"/>
      <w:bookmarkStart w:id="1059" w:name="_Toc4661496"/>
      <w:bookmarkStart w:id="1060" w:name="_Toc11088995"/>
      <w:bookmarkStart w:id="1061" w:name="_Toc14866753"/>
      <w:bookmarkStart w:id="1062" w:name="_Toc8505"/>
      <w:r>
        <w:rPr>
          <w:rFonts w:hint="eastAsia" w:ascii="宋体" w:hAnsi="宋体" w:cs="宋体"/>
          <w:b w:val="0"/>
          <w:bCs w:val="0"/>
          <w:color w:val="auto"/>
          <w:sz w:val="21"/>
          <w:szCs w:val="21"/>
          <w:highlight w:val="none"/>
          <w:shd w:val="clear" w:color="auto" w:fill="FFFFFF"/>
        </w:rPr>
        <w:t>9.1  发包人的施工安全责任</w:t>
      </w:r>
      <w:bookmarkEnd w:id="1059"/>
      <w:bookmarkEnd w:id="1060"/>
      <w:bookmarkEnd w:id="1061"/>
      <w:bookmarkEnd w:id="1062"/>
    </w:p>
    <w:p w14:paraId="293916D4">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9.1.1  发包人应按合同约定履行安全职责，授权监理人按合同约定的安全工作内容监督、检查承包人安全工作的实施，组织承包人和有关单位进行安全检查。</w:t>
      </w:r>
    </w:p>
    <w:p w14:paraId="37087598">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9.1.2  发包人应对其现场机构雇佣的全部人员的工伤事故承担责任，但由于承包人原因造成发包人人员工伤的，应由承包人承担责任。</w:t>
      </w:r>
    </w:p>
    <w:p w14:paraId="48D03157">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9.1.3  发包人应负责赔偿以下各种情况造成的第三者人身伤亡和财产损失：</w:t>
      </w:r>
    </w:p>
    <w:p w14:paraId="4019C2B5">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（1）工程或工程的任何部分对土地的占用所造成的第三者财产损失；</w:t>
      </w:r>
    </w:p>
    <w:p w14:paraId="42781DA9">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（2）由于发包人原因在施工场地及其毗邻地带造成的第三者人身伤亡和财产损失。</w:t>
      </w:r>
    </w:p>
    <w:p w14:paraId="144DB2B7">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063" w:name="_BookMark_166"/>
      <w:bookmarkEnd w:id="1063"/>
      <w:bookmarkStart w:id="1064" w:name="_Toc14866754"/>
      <w:bookmarkStart w:id="1065" w:name="_Toc11088996"/>
      <w:bookmarkStart w:id="1066" w:name="_Toc4661497"/>
      <w:bookmarkStart w:id="1067" w:name="_Toc18924"/>
      <w:r>
        <w:rPr>
          <w:rFonts w:hint="eastAsia" w:ascii="宋体" w:hAnsi="宋体" w:cs="宋体"/>
          <w:b w:val="0"/>
          <w:bCs w:val="0"/>
          <w:color w:val="auto"/>
          <w:sz w:val="21"/>
          <w:szCs w:val="21"/>
          <w:highlight w:val="none"/>
          <w:shd w:val="clear" w:color="auto" w:fill="FFFFFF"/>
        </w:rPr>
        <w:t>9.2  承包人的施工安全责任</w:t>
      </w:r>
      <w:bookmarkEnd w:id="1064"/>
      <w:bookmarkEnd w:id="1065"/>
      <w:bookmarkEnd w:id="1066"/>
      <w:bookmarkEnd w:id="1067"/>
    </w:p>
    <w:p w14:paraId="7B60FC6C">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9.2.1  承包人应按合同约定履行安全职责,执行监理人有关安全工作的指示,并在合同条款专用部分约定的期限内，按合同约定的安全工作内容，编制施工安全措施计划报送监理人审批。监理人应在合同条款专用部分约定的期限内完成批复。</w:t>
      </w:r>
    </w:p>
    <w:p w14:paraId="5D8D2D4B">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9.2.2  承包人应加强施工作业安全管理，特别应加强易燃、易爆材料、火工器材、有毒与腐蚀性材料、挥发性有机物和其他危险品的管理，以及对爆破作业和地下工程施工等危险作业的管理。</w:t>
      </w:r>
    </w:p>
    <w:p w14:paraId="16DAC5A5">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9.2.3  承包人应严格按照国家安全标准制定施工安全操作规程，配备必要的安全生产和劳动保护设施，加强对承包人人员的安全教育，并发放安全工作手册和劳动保护用具。</w:t>
      </w:r>
    </w:p>
    <w:p w14:paraId="5FC248EB">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9.2.4  承包人应按监理人的指示制定应对灾害的紧急预案，报送监理人审批。承包人还应按预案做好安全检查，配置必要的救助物资和器材，切实保护好有关人员的人身和财产安全。</w:t>
      </w:r>
    </w:p>
    <w:p w14:paraId="7FA97264">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9.2.5  合同约定的安全作业环境及安全施工措施所需费用应遵守有关规定，并包括在相关工作的合同价格中。因采取合同未约定的安全作业环境及安全施工措施增加的费用，由监理人按第3.5款商定或确定。</w:t>
      </w:r>
    </w:p>
    <w:p w14:paraId="19377D2C">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9.2.6  承包人应对其履行合同所雇佣的全部人员，包括分包人人员的工伤事故承担责任，但由于发包人原因造成承包人人员工伤事故的，应由发包人承担责任。</w:t>
      </w:r>
    </w:p>
    <w:p w14:paraId="2CCA4450">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9.2.7  由于承包人原因在施工场地内及其毗邻地带造成的第三者人员伤亡和财产损失，由承包人负责赔偿。</w:t>
      </w:r>
    </w:p>
    <w:p w14:paraId="70501EFC">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068" w:name="_BookMark_167"/>
      <w:bookmarkEnd w:id="1068"/>
      <w:bookmarkStart w:id="1069" w:name="_Toc4661498"/>
      <w:bookmarkStart w:id="1070" w:name="_Toc26234"/>
      <w:bookmarkStart w:id="1071" w:name="_Toc11088997"/>
      <w:bookmarkStart w:id="1072" w:name="_Toc14866755"/>
      <w:r>
        <w:rPr>
          <w:rFonts w:hint="eastAsia" w:ascii="宋体" w:hAnsi="宋体" w:cs="宋体"/>
          <w:b w:val="0"/>
          <w:bCs w:val="0"/>
          <w:color w:val="auto"/>
          <w:sz w:val="21"/>
          <w:szCs w:val="21"/>
          <w:highlight w:val="none"/>
          <w:shd w:val="clear" w:color="auto" w:fill="FFFFFF"/>
        </w:rPr>
        <w:t>9.3  治安保卫</w:t>
      </w:r>
      <w:bookmarkEnd w:id="1069"/>
      <w:bookmarkEnd w:id="1070"/>
      <w:bookmarkEnd w:id="1071"/>
      <w:bookmarkEnd w:id="1072"/>
    </w:p>
    <w:p w14:paraId="4937A1B5">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9.3.1  发包人应与当地公安部门协商，在现场建立治安管理机构或联防组织，负责统一管理施工场地的治安保卫事项，履行合同工程的治安保卫职责。</w:t>
      </w:r>
    </w:p>
    <w:p w14:paraId="010FA8B6">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9.3.2  发包人和承包人除应协助现场治安管理机构或联防组织维护施工场地的社会治安外，还应做好包括生活区在内的各自管辖区的治安保卫工作。</w:t>
      </w:r>
    </w:p>
    <w:p w14:paraId="0D1D1E97">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9.3.3  在工程开工前应当明确责任人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制定施工场地治安管理计划和突发治安事件紧急预案的责任人见合同条款专用部分。</w:t>
      </w:r>
    </w:p>
    <w:p w14:paraId="44D09F26">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073" w:name="_BookMark_168"/>
      <w:bookmarkEnd w:id="1073"/>
      <w:bookmarkStart w:id="1074" w:name="_Toc14866756"/>
      <w:bookmarkStart w:id="1075" w:name="_Toc4661499"/>
      <w:bookmarkStart w:id="1076" w:name="_Toc11088998"/>
      <w:bookmarkStart w:id="1077" w:name="_Toc32524"/>
      <w:r>
        <w:rPr>
          <w:rFonts w:hint="eastAsia" w:ascii="宋体" w:hAnsi="宋体" w:cs="宋体"/>
          <w:b w:val="0"/>
          <w:bCs w:val="0"/>
          <w:color w:val="auto"/>
          <w:sz w:val="21"/>
          <w:szCs w:val="21"/>
          <w:highlight w:val="none"/>
          <w:shd w:val="clear" w:color="auto" w:fill="FFFFFF"/>
        </w:rPr>
        <w:t>9.4  环境保护</w:t>
      </w:r>
      <w:bookmarkEnd w:id="1074"/>
      <w:bookmarkEnd w:id="1075"/>
      <w:bookmarkEnd w:id="1076"/>
      <w:bookmarkEnd w:id="1077"/>
    </w:p>
    <w:p w14:paraId="64F53906">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9.4.1  承包人在施工过程中，应遵守有关环境保护的法律，履行合同约定的环境保护义务，并对违反法律和合同约定义务所造成的环境破坏、人身伤害和财产损失负责。</w:t>
      </w:r>
    </w:p>
    <w:p w14:paraId="3CE9432A">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9.4.2  承包人应建立施工扬尘治理、建筑垃圾、土方和砂石清运与消纳、严禁使用高排放非道路移动机械和行业挥发性有机物治理（如建筑外墙涂装、钢结构等鼓励使用水性漆替代油性漆）等责任制，针对工程项目特点制定具体的实施方案，并严格实施。如扬尘治理，承包人应在建筑工地公示施工扬尘治理措施、责任人、主管部门等信息，并及时向当地主管部门报送施工扬尘治理措施落实情况。</w:t>
      </w:r>
    </w:p>
    <w:p w14:paraId="6FE6090E">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9.4.3  承包人应在合同条款专用部分约定的时限内，按合同约定的环保工作内容，编制施工环保措施计划（包含第9.4.2项约定的实施方案内容），报送监理人审批。监理人在合同条款专用部分约定的期限内给予批复。</w:t>
      </w:r>
    </w:p>
    <w:p w14:paraId="4C7270AB">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9.4.4  承包人应按照批准的施工环保措施计划有序地堆放和处理施工废弃物，避免对环境造成破坏。因承包人任意堆放或弃置施工废弃物造成妨碍公共交通、影响城镇居民生活、降低河流行洪能力、危及居民安全、破坏和污染环境，或者影响其他承包人施工等后果的，承包人应承担责任。</w:t>
      </w:r>
    </w:p>
    <w:p w14:paraId="6CC79D97">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9.4.5  承包人应按合同约定采取有效措施，对施工开挖的边坡及时进行支护,维护排水设施，并进行</w:t>
      </w:r>
      <w:r>
        <w:rPr>
          <w:rFonts w:hint="eastAsia" w:ascii="宋体" w:hAnsi="宋体" w:cs="宋体"/>
          <w:color w:val="auto"/>
          <w:kern w:val="0"/>
          <w:szCs w:val="21"/>
          <w:highlight w:val="none"/>
          <w:shd w:val="clear" w:color="auto" w:fill="FFFFFF"/>
          <w:lang w:eastAsia="zh-CN"/>
        </w:rPr>
        <w:t>水土保持</w:t>
      </w:r>
      <w:r>
        <w:rPr>
          <w:rFonts w:hint="eastAsia" w:ascii="宋体" w:hAnsi="宋体" w:cs="宋体"/>
          <w:color w:val="auto"/>
          <w:kern w:val="0"/>
          <w:szCs w:val="21"/>
          <w:highlight w:val="none"/>
          <w:shd w:val="clear" w:color="auto" w:fill="FFFFFF"/>
        </w:rPr>
        <w:t>，避免因施工造成的地质灾害。</w:t>
      </w:r>
    </w:p>
    <w:p w14:paraId="13E6D432">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9.4.6  承包人应按国家饮用水管理标准定期对饮用水源进行监测，防止施工活动污染饮用水源。</w:t>
      </w:r>
    </w:p>
    <w:p w14:paraId="2E3A7DE6">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9.4.7  承包人应按合同约定，加强对噪声、粉尘、废气、废水和废油的控制，努力降低噪声，控制粉尘和废气浓度，做好废水和废油的治理和排放。</w:t>
      </w:r>
    </w:p>
    <w:p w14:paraId="1D537D20">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078" w:name="_BookMark_169"/>
      <w:bookmarkEnd w:id="1078"/>
      <w:bookmarkStart w:id="1079" w:name="_Toc11088999"/>
      <w:bookmarkStart w:id="1080" w:name="_Toc4661500"/>
      <w:bookmarkStart w:id="1081" w:name="_Toc5139"/>
      <w:bookmarkStart w:id="1082" w:name="_Toc14866757"/>
      <w:r>
        <w:rPr>
          <w:rFonts w:hint="eastAsia" w:ascii="宋体" w:hAnsi="宋体" w:cs="宋体"/>
          <w:b w:val="0"/>
          <w:bCs w:val="0"/>
          <w:color w:val="auto"/>
          <w:sz w:val="21"/>
          <w:szCs w:val="21"/>
          <w:highlight w:val="none"/>
          <w:shd w:val="clear" w:color="auto" w:fill="FFFFFF"/>
        </w:rPr>
        <w:t>9.5  事故处理</w:t>
      </w:r>
      <w:bookmarkEnd w:id="1079"/>
      <w:bookmarkEnd w:id="1080"/>
      <w:bookmarkEnd w:id="1081"/>
      <w:bookmarkEnd w:id="1082"/>
    </w:p>
    <w:p w14:paraId="7CC349A9">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3531E470">
      <w:pPr>
        <w:pStyle w:val="3"/>
        <w:keepNext w:val="0"/>
        <w:keepLines w:val="0"/>
        <w:widowControl/>
        <w:snapToGrid w:val="0"/>
        <w:spacing w:before="0" w:after="0" w:line="360" w:lineRule="auto"/>
        <w:ind w:left="210" w:leftChars="100"/>
        <w:jc w:val="left"/>
        <w:rPr>
          <w:rFonts w:ascii="宋体" w:hAnsi="宋体"/>
          <w:b w:val="0"/>
          <w:bCs w:val="0"/>
          <w:color w:val="auto"/>
          <w:sz w:val="21"/>
          <w:szCs w:val="21"/>
          <w:highlight w:val="none"/>
          <w:shd w:val="clear" w:color="auto" w:fill="FFFFFF"/>
        </w:rPr>
      </w:pPr>
      <w:bookmarkStart w:id="1083" w:name="_BookMark_170"/>
      <w:bookmarkEnd w:id="1083"/>
      <w:bookmarkStart w:id="1084" w:name="_Toc11089000"/>
      <w:bookmarkStart w:id="1085" w:name="_Toc4661501"/>
      <w:bookmarkStart w:id="1086" w:name="_Toc14866758"/>
      <w:bookmarkStart w:id="1087" w:name="_Toc31865"/>
      <w:r>
        <w:rPr>
          <w:rFonts w:hint="eastAsia" w:ascii="宋体" w:hAnsi="宋体"/>
          <w:b w:val="0"/>
          <w:bCs w:val="0"/>
          <w:color w:val="auto"/>
          <w:sz w:val="21"/>
          <w:szCs w:val="21"/>
          <w:highlight w:val="none"/>
          <w:shd w:val="clear" w:color="auto" w:fill="FFFFFF"/>
        </w:rPr>
        <w:t>10.进度计划</w:t>
      </w:r>
      <w:bookmarkEnd w:id="1084"/>
      <w:bookmarkEnd w:id="1085"/>
      <w:bookmarkEnd w:id="1086"/>
      <w:bookmarkEnd w:id="1087"/>
    </w:p>
    <w:p w14:paraId="0F639DA1">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088" w:name="_BookMark_171"/>
      <w:bookmarkEnd w:id="1088"/>
      <w:bookmarkStart w:id="1089" w:name="_Toc11089001"/>
      <w:bookmarkStart w:id="1090" w:name="_Toc4661502"/>
      <w:bookmarkStart w:id="1091" w:name="_Toc16845"/>
      <w:bookmarkStart w:id="1092" w:name="_Toc14866759"/>
      <w:r>
        <w:rPr>
          <w:rFonts w:hint="eastAsia" w:ascii="宋体" w:hAnsi="宋体" w:cs="宋体"/>
          <w:b w:val="0"/>
          <w:bCs w:val="0"/>
          <w:color w:val="auto"/>
          <w:sz w:val="21"/>
          <w:szCs w:val="21"/>
          <w:highlight w:val="none"/>
          <w:shd w:val="clear" w:color="auto" w:fill="FFFFFF"/>
        </w:rPr>
        <w:t>10.1  合同进度计划</w:t>
      </w:r>
      <w:bookmarkEnd w:id="1089"/>
      <w:bookmarkEnd w:id="1090"/>
      <w:bookmarkEnd w:id="1091"/>
      <w:bookmarkEnd w:id="1092"/>
    </w:p>
    <w:p w14:paraId="662C0422">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10.1.1  承包人应当在收到监理人按照第11.1.1项发出的开工通知后7天内，编制详细的施工进度计划和施工方案说明报送监理人，施工进度计划中应载明要求发包人组织设计人进行阶段性工程设计交底的时间。监理人应在收到承包人报送的相关进度计划和施工方案说明后14天内批复或提出修改意见，否则该进度计划视为已得到批准。经监理人批准的施工进度计划称合同进度计划，是控制合同工程进度的依据。承包人编制施工进度计划和施工方案说明的内容见合同条款专用部分。</w:t>
      </w:r>
    </w:p>
    <w:p w14:paraId="2B86184C">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10.1.2  承包人还应根据合同进度计划，按照第10.1.1项相关约定编制更为详细的分阶段或分项进度计划，报监理人审批。承包人编制分阶段或分项施工进度计划和施工方案说明的内容及时限要求见合同条款专用部分。</w:t>
      </w:r>
    </w:p>
    <w:p w14:paraId="2748A94A">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10.1.3  群体工程中单位工程分期进行施工的，承包人应当按照发包人提供图纸及有关资料的时间要求，编制单位工程进度计划和施工方案说明。群体工程中有关编制进度计划和施工方案说明的要求见合同条款专用部分。</w:t>
      </w:r>
    </w:p>
    <w:p w14:paraId="769C75F4">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093" w:name="_BookMark_172"/>
      <w:bookmarkEnd w:id="1093"/>
      <w:bookmarkStart w:id="1094" w:name="_Toc4661503"/>
      <w:bookmarkStart w:id="1095" w:name="_Toc11089002"/>
      <w:bookmarkStart w:id="1096" w:name="_Toc22380"/>
      <w:bookmarkStart w:id="1097" w:name="_Toc14866760"/>
      <w:r>
        <w:rPr>
          <w:rFonts w:hint="eastAsia" w:ascii="宋体" w:hAnsi="宋体" w:cs="宋体"/>
          <w:b w:val="0"/>
          <w:bCs w:val="0"/>
          <w:color w:val="auto"/>
          <w:sz w:val="21"/>
          <w:szCs w:val="21"/>
          <w:highlight w:val="none"/>
          <w:shd w:val="clear" w:color="auto" w:fill="FFFFFF"/>
        </w:rPr>
        <w:t>10.2  合同进度计划的修订</w:t>
      </w:r>
      <w:bookmarkEnd w:id="1094"/>
      <w:bookmarkEnd w:id="1095"/>
      <w:bookmarkEnd w:id="1096"/>
      <w:bookmarkEnd w:id="1097"/>
    </w:p>
    <w:p w14:paraId="3CE687C5">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10.2.1  不论何种原因造成工程的实际进度与第10.1款的合同进度计划不符时，承包人可以在合同条款专用部分约定的期限内向监理人提交修订合同进度计划的申请报告，并附有关措施和相关资料，报监理人审批；</w:t>
      </w:r>
    </w:p>
    <w:p w14:paraId="32C8B105">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10.2.2  监理人也可以直接向承包人作出修订合同进度计划的指示，承包人应按该指示修订合同进度计划，报监理人审批。监理人应在合同条款专用部分约定的期限内完成批复。监理人在批复前应获得发包人同意。</w:t>
      </w:r>
    </w:p>
    <w:p w14:paraId="17129660">
      <w:pPr>
        <w:pStyle w:val="3"/>
        <w:keepNext w:val="0"/>
        <w:keepLines w:val="0"/>
        <w:widowControl/>
        <w:snapToGrid w:val="0"/>
        <w:spacing w:before="0" w:after="0" w:line="360" w:lineRule="auto"/>
        <w:ind w:left="210" w:leftChars="100"/>
        <w:jc w:val="left"/>
        <w:rPr>
          <w:rFonts w:ascii="宋体" w:hAnsi="宋体"/>
          <w:b w:val="0"/>
          <w:bCs w:val="0"/>
          <w:color w:val="auto"/>
          <w:sz w:val="21"/>
          <w:szCs w:val="21"/>
          <w:highlight w:val="none"/>
          <w:shd w:val="clear" w:color="auto" w:fill="FFFFFF"/>
        </w:rPr>
      </w:pPr>
      <w:bookmarkStart w:id="1098" w:name="_BookMark_173"/>
      <w:bookmarkEnd w:id="1098"/>
      <w:bookmarkStart w:id="1099" w:name="_Toc14866761"/>
      <w:bookmarkStart w:id="1100" w:name="_Toc4661504"/>
      <w:bookmarkStart w:id="1101" w:name="_Toc555"/>
      <w:bookmarkStart w:id="1102" w:name="_Toc11089003"/>
      <w:r>
        <w:rPr>
          <w:rFonts w:hint="eastAsia" w:ascii="宋体" w:hAnsi="宋体"/>
          <w:b w:val="0"/>
          <w:bCs w:val="0"/>
          <w:color w:val="auto"/>
          <w:sz w:val="21"/>
          <w:szCs w:val="21"/>
          <w:highlight w:val="none"/>
          <w:shd w:val="clear" w:color="auto" w:fill="FFFFFF"/>
        </w:rPr>
        <w:t>11.开工和竣工</w:t>
      </w:r>
      <w:bookmarkEnd w:id="1099"/>
      <w:bookmarkEnd w:id="1100"/>
      <w:bookmarkEnd w:id="1101"/>
      <w:bookmarkEnd w:id="1102"/>
    </w:p>
    <w:p w14:paraId="17C3F8AC">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103" w:name="_BookMark_174"/>
      <w:bookmarkEnd w:id="1103"/>
      <w:bookmarkStart w:id="1104" w:name="_Toc11089004"/>
      <w:bookmarkStart w:id="1105" w:name="_Toc4661505"/>
      <w:bookmarkStart w:id="1106" w:name="_Toc14866762"/>
      <w:bookmarkStart w:id="1107" w:name="_Toc10700"/>
      <w:r>
        <w:rPr>
          <w:rFonts w:hint="eastAsia" w:ascii="宋体" w:hAnsi="宋体" w:cs="宋体"/>
          <w:b w:val="0"/>
          <w:bCs w:val="0"/>
          <w:color w:val="auto"/>
          <w:sz w:val="21"/>
          <w:szCs w:val="21"/>
          <w:highlight w:val="none"/>
          <w:shd w:val="clear" w:color="auto" w:fill="FFFFFF"/>
        </w:rPr>
        <w:t>11.1  开工</w:t>
      </w:r>
      <w:bookmarkEnd w:id="1104"/>
      <w:bookmarkEnd w:id="1105"/>
      <w:bookmarkEnd w:id="1106"/>
      <w:bookmarkEnd w:id="1107"/>
    </w:p>
    <w:p w14:paraId="77A42C8A">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11.1.1  监理人应在开工日期7天前向承包人发出开工通知。监理人在发出开工通知前应获得发包人同意。工期自监理人发出的开工通知中载明的开工日期起计算。承包人应在开工日期后尽快施工。</w:t>
      </w:r>
    </w:p>
    <w:p w14:paraId="5D92591A">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11.1.2  承包人应按第10.1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p>
    <w:p w14:paraId="0824390F">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108" w:name="_BookMark_175"/>
      <w:bookmarkEnd w:id="1108"/>
      <w:bookmarkStart w:id="1109" w:name="_Toc11089005"/>
      <w:bookmarkStart w:id="1110" w:name="_Toc15165"/>
      <w:bookmarkStart w:id="1111" w:name="_Toc4661506"/>
      <w:bookmarkStart w:id="1112" w:name="_Toc14866763"/>
      <w:r>
        <w:rPr>
          <w:rFonts w:hint="eastAsia" w:ascii="宋体" w:hAnsi="宋体" w:cs="宋体"/>
          <w:b w:val="0"/>
          <w:bCs w:val="0"/>
          <w:color w:val="auto"/>
          <w:sz w:val="21"/>
          <w:szCs w:val="21"/>
          <w:highlight w:val="none"/>
          <w:shd w:val="clear" w:color="auto" w:fill="FFFFFF"/>
        </w:rPr>
        <w:t>11.2  竣工</w:t>
      </w:r>
      <w:bookmarkEnd w:id="1109"/>
      <w:bookmarkEnd w:id="1110"/>
      <w:bookmarkEnd w:id="1111"/>
      <w:bookmarkEnd w:id="1112"/>
    </w:p>
    <w:p w14:paraId="1DE78C79">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承包人应在第1.1.4.3目约定的期限内完成合同工程。实际竣工日期在接收证书中写明。</w:t>
      </w:r>
    </w:p>
    <w:p w14:paraId="477846B2">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113" w:name="_BookMark_176"/>
      <w:bookmarkEnd w:id="1113"/>
      <w:bookmarkStart w:id="1114" w:name="_Toc11811"/>
      <w:bookmarkStart w:id="1115" w:name="_Toc4661507"/>
      <w:bookmarkStart w:id="1116" w:name="_Toc14866764"/>
      <w:bookmarkStart w:id="1117" w:name="_Toc11089006"/>
      <w:r>
        <w:rPr>
          <w:rFonts w:hint="eastAsia" w:ascii="宋体" w:hAnsi="宋体" w:cs="宋体"/>
          <w:b w:val="0"/>
          <w:bCs w:val="0"/>
          <w:color w:val="auto"/>
          <w:sz w:val="21"/>
          <w:szCs w:val="21"/>
          <w:highlight w:val="none"/>
          <w:shd w:val="clear" w:color="auto" w:fill="FFFFFF"/>
        </w:rPr>
        <w:t>11.3  发包人的工期延误</w:t>
      </w:r>
      <w:bookmarkEnd w:id="1114"/>
      <w:bookmarkEnd w:id="1115"/>
      <w:bookmarkEnd w:id="1116"/>
      <w:bookmarkEnd w:id="1117"/>
    </w:p>
    <w:p w14:paraId="2FA28DFB">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在履行合同过程中，由于发包人的下列原因造成承包人关键线路工期延误的，承包人有权要求发包人延长工期和（或）增加费用，并支付合理利润。需要修订合同进度计划的，按照第10.2款的约定办理。</w:t>
      </w:r>
    </w:p>
    <w:p w14:paraId="51C5A43B">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（1）增加合同工作内容；</w:t>
      </w:r>
    </w:p>
    <w:p w14:paraId="53B05ECD">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（2）改变合同中任何一项工作的质量要求或其他特性；</w:t>
      </w:r>
    </w:p>
    <w:p w14:paraId="6F2C9E58">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（3）发包人迟延提供材料、工程设备或变更交货地点的；</w:t>
      </w:r>
    </w:p>
    <w:p w14:paraId="1C0D4011">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（4）因发包人原因导致的暂停施工；</w:t>
      </w:r>
    </w:p>
    <w:p w14:paraId="66E47835">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（5）提供图纸延误；</w:t>
      </w:r>
    </w:p>
    <w:p w14:paraId="4AE4C3D2">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（6）未按合同约定及时支付预付款、进度款；</w:t>
      </w:r>
    </w:p>
    <w:p w14:paraId="4B19BF2C">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 xml:space="preserve">（7）因发包人原因不能按照监理人发出的开工通知中载明的开工日期开工； </w:t>
      </w:r>
    </w:p>
    <w:p w14:paraId="58750040">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（8）发包人造成工期延误的其他原因见合同条款专用部分。</w:t>
      </w:r>
    </w:p>
    <w:p w14:paraId="5403C04B">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118" w:name="_BookMark_177"/>
      <w:bookmarkEnd w:id="1118"/>
      <w:bookmarkStart w:id="1119" w:name="_Toc24372"/>
      <w:bookmarkStart w:id="1120" w:name="_Toc11089007"/>
      <w:bookmarkStart w:id="1121" w:name="_Toc14866765"/>
      <w:bookmarkStart w:id="1122" w:name="_Toc4661508"/>
      <w:r>
        <w:rPr>
          <w:rFonts w:hint="eastAsia" w:ascii="宋体" w:hAnsi="宋体" w:cs="宋体"/>
          <w:b w:val="0"/>
          <w:bCs w:val="0"/>
          <w:color w:val="auto"/>
          <w:sz w:val="21"/>
          <w:szCs w:val="21"/>
          <w:highlight w:val="none"/>
          <w:shd w:val="clear" w:color="auto" w:fill="FFFFFF"/>
        </w:rPr>
        <w:t>11.4  异常恶劣的气候条件</w:t>
      </w:r>
      <w:bookmarkEnd w:id="1119"/>
      <w:bookmarkEnd w:id="1120"/>
      <w:bookmarkEnd w:id="1121"/>
      <w:bookmarkEnd w:id="1122"/>
    </w:p>
    <w:p w14:paraId="060481F7">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由于出现异常恶劣气候的条件导致工期延误的，承包人有权要求发包人延长工期。异常恶劣的气候条件的范围和标准见合同条款专用部分。</w:t>
      </w:r>
    </w:p>
    <w:p w14:paraId="73B9E827">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123" w:name="_BookMark_178"/>
      <w:bookmarkEnd w:id="1123"/>
      <w:bookmarkStart w:id="1124" w:name="_Toc11089008"/>
      <w:bookmarkStart w:id="1125" w:name="_Toc4661509"/>
      <w:bookmarkStart w:id="1126" w:name="_Toc28770"/>
      <w:bookmarkStart w:id="1127" w:name="_Toc14866766"/>
      <w:r>
        <w:rPr>
          <w:rFonts w:hint="eastAsia" w:ascii="宋体" w:hAnsi="宋体" w:cs="宋体"/>
          <w:b w:val="0"/>
          <w:bCs w:val="0"/>
          <w:color w:val="auto"/>
          <w:sz w:val="21"/>
          <w:szCs w:val="21"/>
          <w:highlight w:val="none"/>
          <w:shd w:val="clear" w:color="auto" w:fill="FFFFFF"/>
        </w:rPr>
        <w:t>11.5  承包人的工期延误</w:t>
      </w:r>
      <w:bookmarkEnd w:id="1124"/>
      <w:bookmarkEnd w:id="1125"/>
      <w:bookmarkEnd w:id="1126"/>
      <w:bookmarkEnd w:id="1127"/>
    </w:p>
    <w:p w14:paraId="1F42E637">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11.5.1  由于承包人原因，未能按合同进度计划完成工作，或监理人认为承包人施工进度不能满足合同工期要求的，承包人应采取措施加快进度，并承担加快进度所增加的费用。</w:t>
      </w:r>
    </w:p>
    <w:p w14:paraId="3B8F7C8B">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11.5.2  由于承包人原因造成不能按期竣工的，按照合同约定的竣工日期（包括按合同工期延长）后7天内，监理人应当按第23.4.1项的约定书面通知承包人,说明发包人有权得到逾期竣工违约金，逾期竣工违约金计算标准和计算方法见合同条款专用部分。但最终逾期竣工违约金的金额不应超过合同约定的逾期竣工违约金最高限额。逾期竣工违约金最高限额见合同条款专用部分。</w:t>
      </w:r>
    </w:p>
    <w:p w14:paraId="01D2D223">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监理人未在规定的期限内发出本款约定的书面通知的，发包人丧失主张逾期竣工违约金的权利。</w:t>
      </w:r>
    </w:p>
    <w:p w14:paraId="6804E9BD">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11.5.3  承包人支付逾期竣工违约金，不免除承包人完成工程及修补缺陷的义务。</w:t>
      </w:r>
    </w:p>
    <w:p w14:paraId="7FE5CCC6">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128" w:name="_BookMark_179"/>
      <w:bookmarkEnd w:id="1128"/>
      <w:bookmarkStart w:id="1129" w:name="_Toc4661510"/>
      <w:bookmarkStart w:id="1130" w:name="_Toc11089009"/>
      <w:bookmarkStart w:id="1131" w:name="_Toc14866767"/>
      <w:bookmarkStart w:id="1132" w:name="_Toc19106"/>
      <w:r>
        <w:rPr>
          <w:rFonts w:hint="eastAsia" w:ascii="宋体" w:hAnsi="宋体" w:cs="宋体"/>
          <w:b w:val="0"/>
          <w:bCs w:val="0"/>
          <w:color w:val="auto"/>
          <w:sz w:val="21"/>
          <w:szCs w:val="21"/>
          <w:highlight w:val="none"/>
          <w:shd w:val="clear" w:color="auto" w:fill="FFFFFF"/>
        </w:rPr>
        <w:t>11.6  工期提前</w:t>
      </w:r>
      <w:bookmarkEnd w:id="1129"/>
      <w:bookmarkEnd w:id="1130"/>
      <w:bookmarkEnd w:id="1131"/>
      <w:bookmarkEnd w:id="1132"/>
    </w:p>
    <w:p w14:paraId="65BAC773">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发包人要求承包人提前竣工，或承包人提出提前竣工的建议能够给发包人带来效益的，应由监理人与承包人</w:t>
      </w:r>
      <w:r>
        <w:rPr>
          <w:rFonts w:hint="eastAsia" w:ascii="宋体" w:hAnsi="宋体" w:cs="宋体"/>
          <w:color w:val="auto"/>
          <w:kern w:val="0"/>
          <w:szCs w:val="21"/>
          <w:highlight w:val="none"/>
          <w:shd w:val="clear" w:color="auto" w:fill="FFFFFF"/>
          <w:lang w:eastAsia="zh-CN"/>
        </w:rPr>
        <w:t>协商</w:t>
      </w:r>
      <w:r>
        <w:rPr>
          <w:rFonts w:hint="eastAsia" w:ascii="宋体" w:hAnsi="宋体" w:cs="宋体"/>
          <w:color w:val="auto"/>
          <w:kern w:val="0"/>
          <w:szCs w:val="21"/>
          <w:highlight w:val="none"/>
          <w:shd w:val="clear" w:color="auto" w:fill="FFFFFF"/>
        </w:rPr>
        <w:t>采取加快工程进度的措施和修订合同进度计划。发包人应承担承包人由此增加的费用，并向承包人支付相应的奖金。提前竣工的奖励办法见合同条款专用部分。</w:t>
      </w:r>
    </w:p>
    <w:p w14:paraId="6E737AA7">
      <w:pPr>
        <w:pStyle w:val="3"/>
        <w:keepNext w:val="0"/>
        <w:keepLines w:val="0"/>
        <w:widowControl/>
        <w:snapToGrid w:val="0"/>
        <w:spacing w:before="0" w:after="0" w:line="360" w:lineRule="auto"/>
        <w:ind w:left="210" w:leftChars="100"/>
        <w:jc w:val="left"/>
        <w:rPr>
          <w:rFonts w:ascii="宋体" w:hAnsi="宋体"/>
          <w:b w:val="0"/>
          <w:bCs w:val="0"/>
          <w:color w:val="auto"/>
          <w:sz w:val="21"/>
          <w:szCs w:val="21"/>
          <w:highlight w:val="none"/>
          <w:shd w:val="clear" w:color="auto" w:fill="FFFFFF"/>
        </w:rPr>
      </w:pPr>
      <w:bookmarkStart w:id="1133" w:name="_BookMark_180"/>
      <w:bookmarkEnd w:id="1133"/>
      <w:bookmarkStart w:id="1134" w:name="_Toc25012"/>
      <w:bookmarkStart w:id="1135" w:name="_Toc14866768"/>
      <w:bookmarkStart w:id="1136" w:name="_Toc4661511"/>
      <w:bookmarkStart w:id="1137" w:name="_Toc11089010"/>
      <w:r>
        <w:rPr>
          <w:rFonts w:hint="eastAsia" w:ascii="宋体" w:hAnsi="宋体"/>
          <w:b w:val="0"/>
          <w:bCs w:val="0"/>
          <w:color w:val="auto"/>
          <w:sz w:val="21"/>
          <w:szCs w:val="21"/>
          <w:highlight w:val="none"/>
          <w:shd w:val="clear" w:color="auto" w:fill="FFFFFF"/>
        </w:rPr>
        <w:t>12.暂停施工</w:t>
      </w:r>
      <w:bookmarkEnd w:id="1134"/>
      <w:bookmarkEnd w:id="1135"/>
      <w:bookmarkEnd w:id="1136"/>
      <w:bookmarkEnd w:id="1137"/>
    </w:p>
    <w:p w14:paraId="461A9BD6">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138" w:name="_BookMark_181"/>
      <w:bookmarkEnd w:id="1138"/>
      <w:bookmarkStart w:id="1139" w:name="_Toc4661512"/>
      <w:bookmarkStart w:id="1140" w:name="_Toc32122"/>
      <w:bookmarkStart w:id="1141" w:name="_Toc11089011"/>
      <w:bookmarkStart w:id="1142" w:name="_Toc14866769"/>
      <w:r>
        <w:rPr>
          <w:rFonts w:hint="eastAsia" w:ascii="宋体" w:hAnsi="宋体" w:cs="宋体"/>
          <w:b w:val="0"/>
          <w:bCs w:val="0"/>
          <w:color w:val="auto"/>
          <w:sz w:val="21"/>
          <w:szCs w:val="21"/>
          <w:highlight w:val="none"/>
          <w:shd w:val="clear" w:color="auto" w:fill="FFFFFF"/>
        </w:rPr>
        <w:t>12.1  承包人暂停施工的责任</w:t>
      </w:r>
      <w:bookmarkEnd w:id="1139"/>
      <w:bookmarkEnd w:id="1140"/>
      <w:bookmarkEnd w:id="1141"/>
      <w:bookmarkEnd w:id="1142"/>
    </w:p>
    <w:p w14:paraId="4E657F60">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因下列情形暂停施工增加的费用和（或）工期延误由承包人承担：</w:t>
      </w:r>
    </w:p>
    <w:p w14:paraId="7AEC273D">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（1）承包人违约引起的暂停施工；</w:t>
      </w:r>
    </w:p>
    <w:p w14:paraId="4A49903E">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（2）由于承包人原因为工程合理施工和安全保障所必需的暂停施工；</w:t>
      </w:r>
    </w:p>
    <w:p w14:paraId="19B3B029">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（3）承包人擅自暂停施工；</w:t>
      </w:r>
    </w:p>
    <w:p w14:paraId="1480834D">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（4）承包人承担暂停施工责任的其他情形见合同条款专用部分。</w:t>
      </w:r>
    </w:p>
    <w:p w14:paraId="76159E80">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143" w:name="_BookMark_182"/>
      <w:bookmarkEnd w:id="1143"/>
      <w:bookmarkStart w:id="1144" w:name="_Toc11089012"/>
      <w:bookmarkStart w:id="1145" w:name="_Toc14866770"/>
      <w:bookmarkStart w:id="1146" w:name="_Toc4661513"/>
      <w:bookmarkStart w:id="1147" w:name="_Toc20455"/>
      <w:r>
        <w:rPr>
          <w:rFonts w:hint="eastAsia" w:ascii="宋体" w:hAnsi="宋体" w:cs="宋体"/>
          <w:b w:val="0"/>
          <w:bCs w:val="0"/>
          <w:color w:val="auto"/>
          <w:sz w:val="21"/>
          <w:szCs w:val="21"/>
          <w:highlight w:val="none"/>
          <w:shd w:val="clear" w:color="auto" w:fill="FFFFFF"/>
        </w:rPr>
        <w:t>12.2  发包人暂停施工的责任</w:t>
      </w:r>
      <w:bookmarkEnd w:id="1144"/>
      <w:bookmarkEnd w:id="1145"/>
      <w:bookmarkEnd w:id="1146"/>
      <w:bookmarkEnd w:id="1147"/>
    </w:p>
    <w:p w14:paraId="3FEDCD80">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由于发包人原因引起的暂停施工造成工期延误的，承包人有权要求发包人延长工期和（或）增加费用，并支付合理利润。</w:t>
      </w:r>
    </w:p>
    <w:p w14:paraId="79462B8D">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148" w:name="_BookMark_183"/>
      <w:bookmarkEnd w:id="1148"/>
      <w:bookmarkStart w:id="1149" w:name="_Toc19790"/>
      <w:bookmarkStart w:id="1150" w:name="_Toc11089013"/>
      <w:bookmarkStart w:id="1151" w:name="_Toc14866771"/>
      <w:bookmarkStart w:id="1152" w:name="_Toc4661514"/>
      <w:r>
        <w:rPr>
          <w:rFonts w:hint="eastAsia" w:ascii="宋体" w:hAnsi="宋体" w:cs="宋体"/>
          <w:b w:val="0"/>
          <w:bCs w:val="0"/>
          <w:color w:val="auto"/>
          <w:sz w:val="21"/>
          <w:szCs w:val="21"/>
          <w:highlight w:val="none"/>
          <w:shd w:val="clear" w:color="auto" w:fill="FFFFFF"/>
        </w:rPr>
        <w:t>12.3  监理人暂停施工指示</w:t>
      </w:r>
      <w:bookmarkEnd w:id="1149"/>
      <w:bookmarkEnd w:id="1150"/>
      <w:bookmarkEnd w:id="1151"/>
      <w:bookmarkEnd w:id="1152"/>
    </w:p>
    <w:p w14:paraId="526584CA">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12.3.1  监理人认为有必要时，可向承包人作出暂停施工的指示，承包人应按监理人指示暂停施工。不论由于何种原因引起的暂停施工，暂停施工期间承包人应负责妥善保护工程并提供安全保障。</w:t>
      </w:r>
    </w:p>
    <w:p w14:paraId="46CC5765">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12.3.2  由于发包人的原因发生暂停施工的紧急情况，且监理人未及时下达暂停施工指示的，承包人可先暂停施工，并及时向监理人提出暂停施工的书面请求。监理人应在接到书面请求后的24小时内予以答复，逾期未答复的，视为同意承包人的暂停施工请求。</w:t>
      </w:r>
    </w:p>
    <w:p w14:paraId="322037CC">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153" w:name="_BookMark_184"/>
      <w:bookmarkEnd w:id="1153"/>
      <w:bookmarkStart w:id="1154" w:name="_Toc11089014"/>
      <w:bookmarkStart w:id="1155" w:name="_Toc1343"/>
      <w:bookmarkStart w:id="1156" w:name="_Toc14866772"/>
      <w:bookmarkStart w:id="1157" w:name="_Toc4661515"/>
      <w:r>
        <w:rPr>
          <w:rFonts w:hint="eastAsia" w:ascii="宋体" w:hAnsi="宋体" w:cs="宋体"/>
          <w:b w:val="0"/>
          <w:bCs w:val="0"/>
          <w:color w:val="auto"/>
          <w:sz w:val="21"/>
          <w:szCs w:val="21"/>
          <w:highlight w:val="none"/>
          <w:shd w:val="clear" w:color="auto" w:fill="FFFFFF"/>
        </w:rPr>
        <w:t>12.4  暂停施工后的复工</w:t>
      </w:r>
      <w:bookmarkEnd w:id="1154"/>
      <w:bookmarkEnd w:id="1155"/>
      <w:bookmarkEnd w:id="1156"/>
      <w:bookmarkEnd w:id="1157"/>
    </w:p>
    <w:p w14:paraId="04632BCB">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12.4.1  暂停施工后，监理人应与发包人和承包人协商，采取有效措施积极消除暂停施工的影响。当工程具备复工条件时，监理人应立即向承包人发出复工通知。承包人收到复工通知后，应在监理人指定的期限内复工。</w:t>
      </w:r>
    </w:p>
    <w:p w14:paraId="4602C128">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12.4.2  承包人无故拖延和拒绝复工的，由此增加的费用和工期延误由承包人承担；因发包人原因无法按时复工的，承包人有权要求发包人延长工期和（或）增加费用，并支付合理利润。</w:t>
      </w:r>
    </w:p>
    <w:p w14:paraId="21226A5B">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12.4.3  根据第12.4.1款的约定，监理人发出复工通知后，监理人应和承包人一起对受到暂停施工影响的工程、材料和工程设备进行检查。承包人负责修复在暂停施工期间发生在工程、材料和工程设备上的任何损蚀、缺陷或损失，修复费用由承担暂停施工责任的责任人承担。</w:t>
      </w:r>
    </w:p>
    <w:p w14:paraId="7B875C33">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12.4.4  暂停施工持续56天以上，按合同约定由承包人提供的材料和工程设备，由于暂停施工原因导致承包人在暂停施工前已经订购但被暂停运至施工现场的，发包人应按照承包人订购合同的约定支付相应的订购款项。</w:t>
      </w:r>
    </w:p>
    <w:p w14:paraId="173FBB92">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158" w:name="_BookMark_185"/>
      <w:bookmarkEnd w:id="1158"/>
      <w:bookmarkStart w:id="1159" w:name="_Toc14866773"/>
      <w:bookmarkStart w:id="1160" w:name="_Toc11089015"/>
      <w:bookmarkStart w:id="1161" w:name="_Toc25193"/>
      <w:bookmarkStart w:id="1162" w:name="_Toc4661516"/>
      <w:r>
        <w:rPr>
          <w:rFonts w:hint="eastAsia" w:ascii="宋体" w:hAnsi="宋体" w:cs="宋体"/>
          <w:b w:val="0"/>
          <w:bCs w:val="0"/>
          <w:color w:val="auto"/>
          <w:sz w:val="21"/>
          <w:szCs w:val="21"/>
          <w:highlight w:val="none"/>
          <w:shd w:val="clear" w:color="auto" w:fill="FFFFFF"/>
        </w:rPr>
        <w:t>12.5  暂停施工持续56天以上</w:t>
      </w:r>
      <w:bookmarkEnd w:id="1159"/>
      <w:bookmarkEnd w:id="1160"/>
      <w:bookmarkEnd w:id="1161"/>
      <w:bookmarkEnd w:id="1162"/>
    </w:p>
    <w:p w14:paraId="0B0C38B6">
      <w:pPr>
        <w:widowControl/>
        <w:snapToGrid w:val="0"/>
        <w:spacing w:line="360" w:lineRule="auto"/>
        <w:ind w:left="210" w:leftChars="100" w:firstLine="412"/>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12.5.1  监理人发出暂停施工指示后56天内未向承包人发出复工通知，除了该项停工属于第12.1款的情况外，承包人可向监理人提交书面通知，要求监理人在收到书面通知后28天内准许已暂停施工的工程或其中一部分工程继续施工。如监理人逾期不予批准，则承包人可以通知监理人，将工程受影响的部分视为按第15.1（1）项的可取消工作。如暂停施工影响到整个工程，可视为发包人违约，应按第22.2款的规定办理。</w:t>
      </w:r>
    </w:p>
    <w:p w14:paraId="0D340ED5">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12.5.2  由于承包人责任引起的暂停施工，如承包人在收到监理人暂停施工指示后56天内不认真采取有效的复工措施，造成工期延误，可视为承包人违约，应按第22.1款的规定办理。</w:t>
      </w:r>
    </w:p>
    <w:p w14:paraId="44B10D96">
      <w:pPr>
        <w:pStyle w:val="3"/>
        <w:keepNext w:val="0"/>
        <w:keepLines w:val="0"/>
        <w:widowControl/>
        <w:snapToGrid w:val="0"/>
        <w:spacing w:before="0" w:after="0" w:line="360" w:lineRule="auto"/>
        <w:ind w:left="210" w:leftChars="100"/>
        <w:jc w:val="left"/>
        <w:rPr>
          <w:rFonts w:ascii="宋体" w:hAnsi="宋体"/>
          <w:b w:val="0"/>
          <w:bCs w:val="0"/>
          <w:color w:val="auto"/>
          <w:sz w:val="21"/>
          <w:szCs w:val="21"/>
          <w:highlight w:val="none"/>
          <w:shd w:val="clear" w:color="auto" w:fill="FFFFFF"/>
        </w:rPr>
      </w:pPr>
      <w:bookmarkStart w:id="1163" w:name="_BookMark_186"/>
      <w:bookmarkEnd w:id="1163"/>
      <w:bookmarkStart w:id="1164" w:name="_Toc4661517"/>
      <w:bookmarkStart w:id="1165" w:name="_Toc11089016"/>
      <w:bookmarkStart w:id="1166" w:name="_Toc14866774"/>
      <w:bookmarkStart w:id="1167" w:name="_Toc15272"/>
      <w:r>
        <w:rPr>
          <w:rFonts w:hint="eastAsia" w:ascii="宋体" w:hAnsi="宋体"/>
          <w:b w:val="0"/>
          <w:bCs w:val="0"/>
          <w:color w:val="auto"/>
          <w:sz w:val="21"/>
          <w:szCs w:val="21"/>
          <w:highlight w:val="none"/>
          <w:shd w:val="clear" w:color="auto" w:fill="FFFFFF"/>
        </w:rPr>
        <w:t>13.工程质量</w:t>
      </w:r>
      <w:bookmarkEnd w:id="1164"/>
      <w:bookmarkEnd w:id="1165"/>
      <w:bookmarkEnd w:id="1166"/>
      <w:bookmarkEnd w:id="1167"/>
    </w:p>
    <w:p w14:paraId="636ACBDD">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168" w:name="_BookMark_187"/>
      <w:bookmarkEnd w:id="1168"/>
      <w:bookmarkStart w:id="1169" w:name="_Toc7849"/>
      <w:bookmarkStart w:id="1170" w:name="_Toc4661518"/>
      <w:bookmarkStart w:id="1171" w:name="_Toc11089017"/>
      <w:bookmarkStart w:id="1172" w:name="_Toc14866775"/>
      <w:r>
        <w:rPr>
          <w:rFonts w:hint="eastAsia" w:ascii="宋体" w:hAnsi="宋体" w:cs="宋体"/>
          <w:b w:val="0"/>
          <w:bCs w:val="0"/>
          <w:color w:val="auto"/>
          <w:sz w:val="21"/>
          <w:szCs w:val="21"/>
          <w:highlight w:val="none"/>
          <w:shd w:val="clear" w:color="auto" w:fill="FFFFFF"/>
        </w:rPr>
        <w:t>13.1  工程质量要求</w:t>
      </w:r>
      <w:bookmarkEnd w:id="1169"/>
      <w:bookmarkEnd w:id="1170"/>
      <w:bookmarkEnd w:id="1171"/>
      <w:bookmarkEnd w:id="1172"/>
    </w:p>
    <w:p w14:paraId="1ADA86B9">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13.1.1  工程质量验收按合同约定验收标准执行。</w:t>
      </w:r>
    </w:p>
    <w:p w14:paraId="351F64CF">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13.1.2  因承包人原因造成工程质量达不到合同约定验收标准的，监理人有权要求承包人返工直至符合合同要求为止，由此造成的费用增加和（或）工期延误由承包人承担。</w:t>
      </w:r>
    </w:p>
    <w:p w14:paraId="15C8D6EC">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13.1.3  因发包人原因造成工程质量达不到合同约定验收标准的，发包人应承担由于承包人返工造成的费用增加和（或）工期延误，并支付承包人合理利润。</w:t>
      </w:r>
    </w:p>
    <w:p w14:paraId="1E35A8B4">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173" w:name="_BookMark_188"/>
      <w:bookmarkEnd w:id="1173"/>
      <w:bookmarkStart w:id="1174" w:name="_Toc9883"/>
      <w:bookmarkStart w:id="1175" w:name="_Toc11089018"/>
      <w:bookmarkStart w:id="1176" w:name="_Toc4661519"/>
      <w:bookmarkStart w:id="1177" w:name="_Toc14866776"/>
      <w:r>
        <w:rPr>
          <w:rFonts w:hint="eastAsia" w:ascii="宋体" w:hAnsi="宋体" w:cs="宋体"/>
          <w:b w:val="0"/>
          <w:bCs w:val="0"/>
          <w:color w:val="auto"/>
          <w:sz w:val="21"/>
          <w:szCs w:val="21"/>
          <w:highlight w:val="none"/>
          <w:shd w:val="clear" w:color="auto" w:fill="FFFFFF"/>
        </w:rPr>
        <w:t>13.2  承包人的质量管理</w:t>
      </w:r>
      <w:bookmarkEnd w:id="1174"/>
      <w:bookmarkEnd w:id="1175"/>
      <w:bookmarkEnd w:id="1176"/>
      <w:bookmarkEnd w:id="1177"/>
    </w:p>
    <w:p w14:paraId="215885E3">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13.2.1  承包人应在施工场地设置专门的质量检查机构，配备专职质量检查人员，建立完善的质量检查制度。承包人应在合同条款专用部分约定的期限内，提交工程质量保证措施文件，包括质量检查机构的组织和岗位责任、质检人员的组成、质量检查程序和实施细则等，报送监理人审批。监理人应在合同条款专用部分约定的期限内完成审批。</w:t>
      </w:r>
    </w:p>
    <w:p w14:paraId="5F79F3A4">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13.2.2  承包人应加强对施工人员的质量教育和技术培训，定期考核施工人员的劳动技能，严格执行规范和操作规程。</w:t>
      </w:r>
    </w:p>
    <w:p w14:paraId="261B01F8">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178" w:name="_BookMark_189"/>
      <w:bookmarkEnd w:id="1178"/>
      <w:bookmarkStart w:id="1179" w:name="_Toc4661520"/>
      <w:bookmarkStart w:id="1180" w:name="_Toc17487"/>
      <w:bookmarkStart w:id="1181" w:name="_Toc14866777"/>
      <w:bookmarkStart w:id="1182" w:name="_Toc11089019"/>
      <w:r>
        <w:rPr>
          <w:rFonts w:hint="eastAsia" w:ascii="宋体" w:hAnsi="宋体" w:cs="宋体"/>
          <w:b w:val="0"/>
          <w:bCs w:val="0"/>
          <w:color w:val="auto"/>
          <w:sz w:val="21"/>
          <w:szCs w:val="21"/>
          <w:highlight w:val="none"/>
          <w:shd w:val="clear" w:color="auto" w:fill="FFFFFF"/>
        </w:rPr>
        <w:t>13.3  承包人的质量检查</w:t>
      </w:r>
      <w:bookmarkEnd w:id="1179"/>
      <w:bookmarkEnd w:id="1180"/>
      <w:bookmarkEnd w:id="1181"/>
      <w:bookmarkEnd w:id="1182"/>
    </w:p>
    <w:p w14:paraId="45A8C95E">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承包人应按合同条款专用部分的约定对材料、工程设备以及工程的所有部位及其施工工艺进行全过程的质量检查和检验，并作详细记录，编制工程质量报表，报送监理人审查。监理人应在合同条款专用部分约定的期限内完成审查。</w:t>
      </w:r>
    </w:p>
    <w:p w14:paraId="700837C6">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183" w:name="_BookMark_190"/>
      <w:bookmarkEnd w:id="1183"/>
      <w:bookmarkStart w:id="1184" w:name="_Toc4661521"/>
      <w:bookmarkStart w:id="1185" w:name="_Toc12615"/>
      <w:bookmarkStart w:id="1186" w:name="_Toc11089020"/>
      <w:bookmarkStart w:id="1187" w:name="_Toc14866778"/>
      <w:r>
        <w:rPr>
          <w:rFonts w:hint="eastAsia" w:ascii="宋体" w:hAnsi="宋体" w:cs="宋体"/>
          <w:b w:val="0"/>
          <w:bCs w:val="0"/>
          <w:color w:val="auto"/>
          <w:sz w:val="21"/>
          <w:szCs w:val="21"/>
          <w:highlight w:val="none"/>
          <w:shd w:val="clear" w:color="auto" w:fill="FFFFFF"/>
        </w:rPr>
        <w:t>13.4  监理人的质量检查</w:t>
      </w:r>
      <w:bookmarkEnd w:id="1184"/>
      <w:bookmarkEnd w:id="1185"/>
      <w:bookmarkEnd w:id="1186"/>
      <w:bookmarkEnd w:id="1187"/>
    </w:p>
    <w:p w14:paraId="7A00FA40">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监理人可以进行察看和查阅施工原始记录的其他地方见合同条款专用部分。</w:t>
      </w:r>
    </w:p>
    <w:p w14:paraId="0545689A">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188" w:name="_BookMark_191"/>
      <w:bookmarkEnd w:id="1188"/>
      <w:bookmarkStart w:id="1189" w:name="_Toc4661522"/>
      <w:bookmarkStart w:id="1190" w:name="_Toc14866779"/>
      <w:bookmarkStart w:id="1191" w:name="_Toc9241"/>
      <w:bookmarkStart w:id="1192" w:name="_Toc11089021"/>
      <w:r>
        <w:rPr>
          <w:rFonts w:hint="eastAsia" w:ascii="宋体" w:hAnsi="宋体" w:cs="宋体"/>
          <w:b w:val="0"/>
          <w:bCs w:val="0"/>
          <w:color w:val="auto"/>
          <w:sz w:val="21"/>
          <w:szCs w:val="21"/>
          <w:highlight w:val="none"/>
          <w:shd w:val="clear" w:color="auto" w:fill="FFFFFF"/>
        </w:rPr>
        <w:t>13.5  工程隐蔽部位覆盖前的检查</w:t>
      </w:r>
      <w:bookmarkEnd w:id="1189"/>
      <w:bookmarkEnd w:id="1190"/>
      <w:bookmarkEnd w:id="1191"/>
      <w:bookmarkEnd w:id="1192"/>
    </w:p>
    <w:p w14:paraId="775C8B3C">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13.5.1  通知监理人检查</w:t>
      </w:r>
    </w:p>
    <w:p w14:paraId="1EC3A82E">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经承包人自检确认的工程隐蔽部位具备覆盖条件后，承包人应通知监理人在合同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监理人对工程隐蔽部位进行检查的期限见合同条款专用部分。</w:t>
      </w:r>
    </w:p>
    <w:p w14:paraId="58DAD9A3">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13.5.2  监理人未到场检查</w:t>
      </w:r>
    </w:p>
    <w:p w14:paraId="715FE718">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监理人未按第13.5.1项约定的时间进行检查的，除监理人另有指示外，承包人可自行完成覆盖工作，并作相应记录报送监理人，监理人应签字确认。监理人事后对检查记录有疑问的，可按第13.5.3项的约定重新检查。</w:t>
      </w:r>
    </w:p>
    <w:p w14:paraId="32D61739">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13.5.3  监理人重新检查</w:t>
      </w:r>
    </w:p>
    <w:p w14:paraId="20572BEC">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p>
    <w:p w14:paraId="7206D83C">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13.5.4  承包人私自覆盖</w:t>
      </w:r>
    </w:p>
    <w:p w14:paraId="49CE5EE4">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承包人未通知监理人到场检查，私自将工程隐蔽部位覆盖的，监理人有权指示承包人钻孔探测或揭开检查，由此增加的费用和（或）工期延误由承包人承担。</w:t>
      </w:r>
    </w:p>
    <w:p w14:paraId="1EA6221B">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193" w:name="_BookMark_192"/>
      <w:bookmarkEnd w:id="1193"/>
      <w:bookmarkStart w:id="1194" w:name="_Toc14866780"/>
      <w:bookmarkStart w:id="1195" w:name="_Toc11089022"/>
      <w:bookmarkStart w:id="1196" w:name="_Toc4661523"/>
      <w:bookmarkStart w:id="1197" w:name="_Toc15014"/>
      <w:r>
        <w:rPr>
          <w:rFonts w:hint="eastAsia" w:ascii="宋体" w:hAnsi="宋体" w:cs="宋体"/>
          <w:b w:val="0"/>
          <w:bCs w:val="0"/>
          <w:color w:val="auto"/>
          <w:sz w:val="21"/>
          <w:szCs w:val="21"/>
          <w:highlight w:val="none"/>
          <w:shd w:val="clear" w:color="auto" w:fill="FFFFFF"/>
        </w:rPr>
        <w:t>13.6  清除不合格工程</w:t>
      </w:r>
      <w:bookmarkEnd w:id="1194"/>
      <w:bookmarkEnd w:id="1195"/>
      <w:bookmarkEnd w:id="1196"/>
      <w:bookmarkEnd w:id="1197"/>
    </w:p>
    <w:p w14:paraId="4D296340">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13.6.1  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p>
    <w:p w14:paraId="61FA9C4F">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13.6.2  由于发包人提供的材料或工程设备不合格造成的工程不合格，需要承包人采取措施补救的，发包人应承担由此增加的费用和（或）工期延误，并支付承包人合理利润。</w:t>
      </w:r>
    </w:p>
    <w:p w14:paraId="6CE88D04">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198" w:name="_BookMark_193"/>
      <w:bookmarkEnd w:id="1198"/>
      <w:bookmarkStart w:id="1199" w:name="_Toc4661524"/>
      <w:bookmarkStart w:id="1200" w:name="_Toc11089023"/>
      <w:bookmarkStart w:id="1201" w:name="_Toc14866781"/>
      <w:bookmarkStart w:id="1202" w:name="_Toc5475"/>
      <w:r>
        <w:rPr>
          <w:rFonts w:hint="eastAsia" w:ascii="宋体" w:hAnsi="宋体" w:cs="宋体"/>
          <w:b w:val="0"/>
          <w:bCs w:val="0"/>
          <w:color w:val="auto"/>
          <w:sz w:val="21"/>
          <w:szCs w:val="21"/>
          <w:highlight w:val="none"/>
          <w:shd w:val="clear" w:color="auto" w:fill="FFFFFF"/>
        </w:rPr>
        <w:t>13.7  质量争议</w:t>
      </w:r>
      <w:bookmarkEnd w:id="1199"/>
      <w:bookmarkEnd w:id="1200"/>
      <w:bookmarkEnd w:id="1201"/>
      <w:bookmarkEnd w:id="1202"/>
    </w:p>
    <w:p w14:paraId="538A1DDE">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发包人和承包人对工程质量有争议的，除可按第24条办理外，监理人可提请合同双方委托有相应资质的工程质量检测机构进行鉴定，所需费用及因此造成的损失，由责任人承担，双方均有责任，由双方根据其责任分别承担。经检测，质量确有缺陷的，已竣工验收或已竣工未验收但实际投入使用的工程，其处理按工程保修书的约定执行；已竣工未验收且未实际投入使用的工程以及停工、停建的工程，根据检测结果确定解决方案，或按工程质量监督机构的处理决定执行。</w:t>
      </w:r>
    </w:p>
    <w:p w14:paraId="3D62B759">
      <w:pPr>
        <w:pStyle w:val="3"/>
        <w:keepNext w:val="0"/>
        <w:keepLines w:val="0"/>
        <w:widowControl/>
        <w:snapToGrid w:val="0"/>
        <w:spacing w:before="0" w:after="0" w:line="360" w:lineRule="auto"/>
        <w:ind w:left="210" w:leftChars="100"/>
        <w:jc w:val="left"/>
        <w:rPr>
          <w:rFonts w:ascii="宋体" w:hAnsi="宋体"/>
          <w:b w:val="0"/>
          <w:bCs w:val="0"/>
          <w:color w:val="auto"/>
          <w:sz w:val="21"/>
          <w:szCs w:val="21"/>
          <w:highlight w:val="none"/>
          <w:shd w:val="clear" w:color="auto" w:fill="FFFFFF"/>
        </w:rPr>
      </w:pPr>
      <w:bookmarkStart w:id="1203" w:name="_BookMark_194"/>
      <w:bookmarkEnd w:id="1203"/>
      <w:bookmarkStart w:id="1204" w:name="_Toc11089024"/>
      <w:bookmarkStart w:id="1205" w:name="_Toc14866782"/>
      <w:bookmarkStart w:id="1206" w:name="_Toc10162"/>
      <w:bookmarkStart w:id="1207" w:name="_Toc4661525"/>
      <w:r>
        <w:rPr>
          <w:rFonts w:hint="eastAsia" w:ascii="宋体" w:hAnsi="宋体"/>
          <w:b w:val="0"/>
          <w:bCs w:val="0"/>
          <w:color w:val="auto"/>
          <w:sz w:val="21"/>
          <w:szCs w:val="21"/>
          <w:highlight w:val="none"/>
          <w:shd w:val="clear" w:color="auto" w:fill="FFFFFF"/>
        </w:rPr>
        <w:t>14.试验和检验</w:t>
      </w:r>
      <w:bookmarkEnd w:id="1204"/>
      <w:bookmarkEnd w:id="1205"/>
      <w:bookmarkEnd w:id="1206"/>
      <w:bookmarkEnd w:id="1207"/>
    </w:p>
    <w:p w14:paraId="438CE6F4">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208" w:name="_BookMark_195"/>
      <w:bookmarkEnd w:id="1208"/>
      <w:bookmarkStart w:id="1209" w:name="_Toc14866783"/>
      <w:bookmarkStart w:id="1210" w:name="_Toc11089025"/>
      <w:bookmarkStart w:id="1211" w:name="_Toc20517"/>
      <w:bookmarkStart w:id="1212" w:name="_Toc4661526"/>
      <w:r>
        <w:rPr>
          <w:rFonts w:hint="eastAsia" w:ascii="宋体" w:hAnsi="宋体" w:cs="宋体"/>
          <w:b w:val="0"/>
          <w:bCs w:val="0"/>
          <w:color w:val="auto"/>
          <w:sz w:val="21"/>
          <w:szCs w:val="21"/>
          <w:highlight w:val="none"/>
          <w:shd w:val="clear" w:color="auto" w:fill="FFFFFF"/>
        </w:rPr>
        <w:t>14.1  材料、工程设备和工程的试验和检验</w:t>
      </w:r>
      <w:bookmarkEnd w:id="1209"/>
      <w:bookmarkEnd w:id="1210"/>
      <w:bookmarkEnd w:id="1211"/>
      <w:bookmarkEnd w:id="1212"/>
    </w:p>
    <w:p w14:paraId="14FBF840">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14.1.1  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4DFD74B1">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14.1.2  监理人未按合同约定派员参加试验和检验的，除监理人另有指示外，承包人可自行试验和检验，并应立即将试验和检验结果报送监理人，监理人应签字确认。</w:t>
      </w:r>
    </w:p>
    <w:p w14:paraId="379CF84A">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14.1.3  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p>
    <w:p w14:paraId="70709685">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213" w:name="_BookMark_196"/>
      <w:bookmarkEnd w:id="1213"/>
      <w:bookmarkStart w:id="1214" w:name="_Toc9177"/>
      <w:bookmarkStart w:id="1215" w:name="_Toc14866784"/>
      <w:bookmarkStart w:id="1216" w:name="_Toc11089026"/>
      <w:bookmarkStart w:id="1217" w:name="_Toc4661527"/>
      <w:r>
        <w:rPr>
          <w:rFonts w:hint="eastAsia" w:ascii="宋体" w:hAnsi="宋体" w:cs="宋体"/>
          <w:b w:val="0"/>
          <w:bCs w:val="0"/>
          <w:color w:val="auto"/>
          <w:sz w:val="21"/>
          <w:szCs w:val="21"/>
          <w:highlight w:val="none"/>
          <w:shd w:val="clear" w:color="auto" w:fill="FFFFFF"/>
        </w:rPr>
        <w:t>14.2  现场材料试验</w:t>
      </w:r>
      <w:bookmarkEnd w:id="1214"/>
      <w:bookmarkEnd w:id="1215"/>
      <w:bookmarkEnd w:id="1216"/>
      <w:bookmarkEnd w:id="1217"/>
    </w:p>
    <w:p w14:paraId="0A49C37E">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14.2.1  承包人根据合同约定或监理人指示进行的现场材料试验，应由承包人提供试验场所、试验人员、试验设备器材以及其他必要的试验条件。</w:t>
      </w:r>
    </w:p>
    <w:p w14:paraId="4DD8B9F7">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14.2.2  监理人在必要时可以使用承包人的试验场所、试验设备器材以及其他试验条件，进行以工程质量检查为目的的复核性材料试验，承包人应予以协助。</w:t>
      </w:r>
    </w:p>
    <w:p w14:paraId="06F609BF">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218" w:name="_BookMark_197"/>
      <w:bookmarkEnd w:id="1218"/>
      <w:bookmarkStart w:id="1219" w:name="_Toc11089027"/>
      <w:bookmarkStart w:id="1220" w:name="_Toc4661528"/>
      <w:bookmarkStart w:id="1221" w:name="_Toc14866785"/>
      <w:bookmarkStart w:id="1222" w:name="_Toc16389"/>
      <w:r>
        <w:rPr>
          <w:rFonts w:hint="eastAsia" w:ascii="宋体" w:hAnsi="宋体" w:cs="宋体"/>
          <w:b w:val="0"/>
          <w:bCs w:val="0"/>
          <w:color w:val="auto"/>
          <w:sz w:val="21"/>
          <w:szCs w:val="21"/>
          <w:highlight w:val="none"/>
          <w:shd w:val="clear" w:color="auto" w:fill="FFFFFF"/>
        </w:rPr>
        <w:t>14.3  现场工艺试验</w:t>
      </w:r>
      <w:bookmarkEnd w:id="1219"/>
      <w:bookmarkEnd w:id="1220"/>
      <w:bookmarkEnd w:id="1221"/>
      <w:bookmarkEnd w:id="1222"/>
    </w:p>
    <w:p w14:paraId="1240B787">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承包人应按合同约定或监理人指示进行现场工艺试验。对大型的现场工艺试验，监理人认为必要时，应由承包人根据监理人提出的工艺试验要求，编制工艺试验措施计划，报送监理人审批。</w:t>
      </w:r>
    </w:p>
    <w:p w14:paraId="5BB3C379">
      <w:pPr>
        <w:pStyle w:val="3"/>
        <w:keepNext w:val="0"/>
        <w:keepLines w:val="0"/>
        <w:widowControl/>
        <w:snapToGrid w:val="0"/>
        <w:spacing w:before="0" w:after="0" w:line="360" w:lineRule="auto"/>
        <w:ind w:left="210" w:leftChars="100"/>
        <w:jc w:val="left"/>
        <w:rPr>
          <w:rFonts w:ascii="宋体" w:hAnsi="宋体"/>
          <w:b w:val="0"/>
          <w:bCs w:val="0"/>
          <w:color w:val="auto"/>
          <w:sz w:val="21"/>
          <w:szCs w:val="21"/>
          <w:highlight w:val="none"/>
          <w:shd w:val="clear" w:color="auto" w:fill="FFFFFF"/>
        </w:rPr>
      </w:pPr>
      <w:bookmarkStart w:id="1223" w:name="_BookMark_198"/>
      <w:bookmarkEnd w:id="1223"/>
      <w:bookmarkStart w:id="1224" w:name="_Toc11089028"/>
      <w:bookmarkStart w:id="1225" w:name="_Toc14866786"/>
      <w:bookmarkStart w:id="1226" w:name="_Toc27221"/>
      <w:bookmarkStart w:id="1227" w:name="_Toc4661529"/>
      <w:r>
        <w:rPr>
          <w:rFonts w:hint="eastAsia" w:ascii="宋体" w:hAnsi="宋体"/>
          <w:b w:val="0"/>
          <w:bCs w:val="0"/>
          <w:color w:val="auto"/>
          <w:sz w:val="21"/>
          <w:szCs w:val="21"/>
          <w:highlight w:val="none"/>
          <w:shd w:val="clear" w:color="auto" w:fill="FFFFFF"/>
        </w:rPr>
        <w:t>15.变更</w:t>
      </w:r>
      <w:bookmarkEnd w:id="1224"/>
      <w:bookmarkEnd w:id="1225"/>
      <w:bookmarkEnd w:id="1226"/>
      <w:bookmarkEnd w:id="1227"/>
    </w:p>
    <w:p w14:paraId="4E2ED864">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228" w:name="_BookMark_199"/>
      <w:bookmarkEnd w:id="1228"/>
      <w:bookmarkStart w:id="1229" w:name="_Toc14866787"/>
      <w:bookmarkStart w:id="1230" w:name="_Toc24793"/>
      <w:bookmarkStart w:id="1231" w:name="_Toc11089029"/>
      <w:bookmarkStart w:id="1232" w:name="_Toc4661530"/>
      <w:r>
        <w:rPr>
          <w:rFonts w:hint="eastAsia" w:ascii="宋体" w:hAnsi="宋体" w:cs="宋体"/>
          <w:b w:val="0"/>
          <w:bCs w:val="0"/>
          <w:color w:val="auto"/>
          <w:sz w:val="21"/>
          <w:szCs w:val="21"/>
          <w:highlight w:val="none"/>
          <w:shd w:val="clear" w:color="auto" w:fill="FFFFFF"/>
        </w:rPr>
        <w:t>15.1  变更的范围和内容</w:t>
      </w:r>
      <w:bookmarkEnd w:id="1229"/>
      <w:bookmarkEnd w:id="1230"/>
      <w:bookmarkEnd w:id="1231"/>
      <w:bookmarkEnd w:id="1232"/>
    </w:p>
    <w:p w14:paraId="363E820E">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15.1.1  在履行合同中发生以下情形之一，应按照本条规定进行变更。</w:t>
      </w:r>
    </w:p>
    <w:p w14:paraId="5F0089B4">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（1）取消合同中任何一项工作，但被取消的工作不能转由发包人或其他人实施；</w:t>
      </w:r>
    </w:p>
    <w:p w14:paraId="1F136E98">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（2）改变合同中任何一项工作的质量或其他特性；</w:t>
      </w:r>
    </w:p>
    <w:p w14:paraId="287ADE93">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（3）改变合同工程的基线、标高、位置或尺寸；</w:t>
      </w:r>
    </w:p>
    <w:p w14:paraId="1CC43AEE">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（4）改变合同中任何一项工作的施工时间或改变已批准的施工工艺或顺序；</w:t>
      </w:r>
    </w:p>
    <w:p w14:paraId="7F5788B9">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（5）为完成工程需要追加的额外工作；</w:t>
      </w:r>
    </w:p>
    <w:p w14:paraId="038B0E1D">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（6）变更的其他情形见合同条款专用部分。</w:t>
      </w:r>
    </w:p>
    <w:p w14:paraId="5B2A0007">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15.1.2  发包人违背第15.1（1）目的约定，将被取消的合同中的工作转由发包人或其他人实施的，承包人可向监理人发出通知，要求发包人采取有效措施纠正违约行为，发包人在监理人收到承包人通知后28天内仍不纠正违约行为的，应当赔偿承包人损失（包括合理的利润）并承担由此引起的其他责任。承包人应当按第23.1（1）项的约定，在上述28天期限到期后的28天内，向监理人递交索赔意向通知书,并按第23.1（2）项的约定，及时向监理人递交正式索赔通知书，说明有权得到的损失赔偿金额并附必要的记录和证明材料。发包人支付给承包人的损失赔偿金额应当包括被取消工作的合同价值中所包含的承包人管理费、利润以及相应的税金和规费。</w:t>
      </w:r>
    </w:p>
    <w:p w14:paraId="0E15622F">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233" w:name="_BookMark_200"/>
      <w:bookmarkEnd w:id="1233"/>
      <w:bookmarkStart w:id="1234" w:name="_Toc11089030"/>
      <w:bookmarkStart w:id="1235" w:name="_Toc4661531"/>
      <w:bookmarkStart w:id="1236" w:name="_Toc14866788"/>
      <w:bookmarkStart w:id="1237" w:name="_Toc1824"/>
      <w:r>
        <w:rPr>
          <w:rFonts w:hint="eastAsia" w:ascii="宋体" w:hAnsi="宋体" w:cs="宋体"/>
          <w:b w:val="0"/>
          <w:bCs w:val="0"/>
          <w:color w:val="auto"/>
          <w:sz w:val="21"/>
          <w:szCs w:val="21"/>
          <w:highlight w:val="none"/>
          <w:shd w:val="clear" w:color="auto" w:fill="FFFFFF"/>
        </w:rPr>
        <w:t>15.2  变更权</w:t>
      </w:r>
      <w:bookmarkEnd w:id="1234"/>
      <w:bookmarkEnd w:id="1235"/>
      <w:bookmarkEnd w:id="1236"/>
      <w:bookmarkEnd w:id="1237"/>
    </w:p>
    <w:p w14:paraId="195F01CF">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在履行合同过程中，经发包人同意，监理人可按第15.3款约定的变更程序向承包人作出变更指示，承包人应遵照执行。没有监理人的变更指示，承包人不得擅自变更。</w:t>
      </w:r>
    </w:p>
    <w:p w14:paraId="0FB1C232">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238" w:name="_BookMark_201"/>
      <w:bookmarkEnd w:id="1238"/>
      <w:bookmarkStart w:id="1239" w:name="_Toc4661532"/>
      <w:bookmarkStart w:id="1240" w:name="_Toc30791"/>
      <w:bookmarkStart w:id="1241" w:name="_Toc14866789"/>
      <w:bookmarkStart w:id="1242" w:name="_Toc11089031"/>
      <w:r>
        <w:rPr>
          <w:rFonts w:hint="eastAsia" w:ascii="宋体" w:hAnsi="宋体" w:cs="宋体"/>
          <w:b w:val="0"/>
          <w:bCs w:val="0"/>
          <w:color w:val="auto"/>
          <w:sz w:val="21"/>
          <w:szCs w:val="21"/>
          <w:highlight w:val="none"/>
          <w:shd w:val="clear" w:color="auto" w:fill="FFFFFF"/>
        </w:rPr>
        <w:t>15.3  变更程序</w:t>
      </w:r>
      <w:bookmarkEnd w:id="1239"/>
      <w:bookmarkEnd w:id="1240"/>
      <w:bookmarkEnd w:id="1241"/>
      <w:bookmarkEnd w:id="1242"/>
    </w:p>
    <w:p w14:paraId="583517EE">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15.3.1  变更的提出</w:t>
      </w:r>
    </w:p>
    <w:p w14:paraId="1698A12D">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 xml:space="preserve">（1）在合同履行过程中，可能发生第15.1.1项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 </w:t>
      </w:r>
    </w:p>
    <w:p w14:paraId="480D9E4F">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（2）在合同履行过程中，发生第15.1.1项约定情形的，监理人应按照第15.3.3项约定向承包人发出变更指示。</w:t>
      </w:r>
    </w:p>
    <w:p w14:paraId="78B02C02">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3）承包人收到监理人按合同约定发出的图纸和文件，经检查认为其中存在第15.1.1项约定情形的，可向监理人提出书面变更建议。变更建议应阐明要求变更的依据，并附必要的图纸和说明。监理人收到承包人书面建议后，应与发包人共同研究，确认存在变更的，应在收到承包人书面建议后的14天内作出变更指示。经研究后不同意作为变更的，应由监理人书面答复承包人。</w:t>
      </w:r>
    </w:p>
    <w:p w14:paraId="573E88AA">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（4）若承包人收到监理人的变更意向书后认为难以实施此项变更，应立即通知监理人，说明原因并附详细依据。监理人与承包人和发包人协商后确定撤销、改变或不改变原变更意向书。</w:t>
      </w:r>
    </w:p>
    <w:p w14:paraId="55DBD97D">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15.3.2  变更估价</w:t>
      </w:r>
    </w:p>
    <w:p w14:paraId="3B185CB9">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除合同条款专用部分对期限另有约定外，承包人应在收到变更指示或变更意向书后的14天内，向监理人提交变更报价书，报价内容应根据第15.4款约定的估价原则，详细开列变更工作的价格组成及其依据，并附必要的施工方法说明和有关图纸。承包人提交变更报价书的期限见合同条款专用部分。</w:t>
      </w:r>
    </w:p>
    <w:p w14:paraId="7E9C7E2E">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（2）变更工作影响工期的，承包人应提出调整工期的具体细节。监理人认为有必要时，可要求承包人提交要求提前或延长工期的施工进度计划，及相应施工措施等详细资料。</w:t>
      </w:r>
    </w:p>
    <w:p w14:paraId="3230E19D">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（3）除合同条款专用部分对期限另有约定外，监理人收到承包人变更报价书后的14天内，根据第15.4款约定的估价原则，按照第3.5款商定或确定变更价格。监理人商定或确定变更价格的期限见合同条款专用部分。</w:t>
      </w:r>
    </w:p>
    <w:p w14:paraId="15BE51AA">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（4）收到变更指示后，如承包人未在规定的期限内提交变更报价书的，监理人可自行决定是否调整合同价款以及如果监理人决定调整合同价款时，相应调整的具体金额。</w:t>
      </w:r>
    </w:p>
    <w:p w14:paraId="4323DFD6">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15.3.3  变更指示</w:t>
      </w:r>
    </w:p>
    <w:p w14:paraId="00354888">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（1）变更指示只能由监理人发出。</w:t>
      </w:r>
    </w:p>
    <w:p w14:paraId="0A489B76">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（2）变更指示应说明变更的目的、范围、变更内容以及变更的工程量及其进度和技术要求，并附有关图纸和文件。承包人收到变更指示后，应按变更指示进行变更工作。</w:t>
      </w:r>
    </w:p>
    <w:p w14:paraId="5714A6FC">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243" w:name="_BookMark_202"/>
      <w:bookmarkEnd w:id="1243"/>
      <w:bookmarkStart w:id="1244" w:name="_Toc13455"/>
      <w:bookmarkStart w:id="1245" w:name="_Toc4661533"/>
      <w:bookmarkStart w:id="1246" w:name="_Toc14866790"/>
      <w:bookmarkStart w:id="1247" w:name="_Toc11089032"/>
      <w:r>
        <w:rPr>
          <w:rFonts w:hint="eastAsia" w:ascii="宋体" w:hAnsi="宋体" w:cs="宋体"/>
          <w:b w:val="0"/>
          <w:bCs w:val="0"/>
          <w:color w:val="auto"/>
          <w:sz w:val="21"/>
          <w:szCs w:val="21"/>
          <w:highlight w:val="none"/>
          <w:shd w:val="clear" w:color="auto" w:fill="FFFFFF"/>
        </w:rPr>
        <w:t>15.4  变更的估价原则</w:t>
      </w:r>
      <w:bookmarkEnd w:id="1244"/>
      <w:bookmarkEnd w:id="1245"/>
      <w:bookmarkEnd w:id="1246"/>
      <w:bookmarkEnd w:id="1247"/>
    </w:p>
    <w:p w14:paraId="6DFBA00B">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因工程量清单漏项（仅适用于合同协议书约定采用单价合同形式时）或变更引起的价格调整按照本款约定处理。</w:t>
      </w:r>
    </w:p>
    <w:p w14:paraId="4BA1BBB1">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15.4.1  已标价工程量清单中有适用于变更工作的子目的，采用该子目的单价。</w:t>
      </w:r>
    </w:p>
    <w:p w14:paraId="55A13185">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15.4.2  已标价工程量清单中无适用于变更工作的子目，但有类似子目的，可在合理范围内参照类似子目的单价，由监理人按第3.5款商定或确定变更工作的单价。</w:t>
      </w:r>
    </w:p>
    <w:p w14:paraId="73F01AB2">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15.4.3  已标价工程量清单中无适用或类似子目的单价，可按照成本加利润的原则，由监理人按第3.5款商定或确定变更工作的单价。</w:t>
      </w:r>
    </w:p>
    <w:p w14:paraId="0083597E">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15.4.4  因工程量清单漏项（仅适用于合同协议书约定采用单价合同形式时）或变更引起措施项目发生变化，原措施项目费中已有的措施项目，采用原措施项目费的组价方法变更；原措施项目费中没有的措施项目，由承包人根据措施项目变更情况，提出适当的措施项目费变更，由监理人按第3.5款商定或确定变更措施项目的费用。</w:t>
      </w:r>
    </w:p>
    <w:p w14:paraId="7A7824A4">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15.4.5  合同协议书约定采用单价合同形式时，因非承包人原因引起已标价工程量清单中列明的工程量发生增减，超过合同约定范围且导致分部分项工程费总额变化超过一定幅度时，可以调整单价，否则不因已标价工程量清单中列明工程量的增减而调整单价。其调整的原则见合同条款专用部分。</w:t>
      </w:r>
    </w:p>
    <w:p w14:paraId="4E583306">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15.4.6  因变更引起价格调整的其他处理方式见合同条款专用部分。</w:t>
      </w:r>
    </w:p>
    <w:p w14:paraId="15A152D1">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248" w:name="_BookMark_203"/>
      <w:bookmarkEnd w:id="1248"/>
      <w:bookmarkStart w:id="1249" w:name="_Toc23916"/>
      <w:bookmarkStart w:id="1250" w:name="_Toc11089033"/>
      <w:bookmarkStart w:id="1251" w:name="_Toc4661534"/>
      <w:bookmarkStart w:id="1252" w:name="_Toc14866791"/>
      <w:r>
        <w:rPr>
          <w:rFonts w:hint="eastAsia" w:ascii="宋体" w:hAnsi="宋体" w:cs="宋体"/>
          <w:b w:val="0"/>
          <w:bCs w:val="0"/>
          <w:color w:val="auto"/>
          <w:sz w:val="21"/>
          <w:szCs w:val="21"/>
          <w:highlight w:val="none"/>
          <w:shd w:val="clear" w:color="auto" w:fill="FFFFFF"/>
        </w:rPr>
        <w:t>15.5  承包人的合理化建议</w:t>
      </w:r>
      <w:bookmarkEnd w:id="1249"/>
      <w:bookmarkEnd w:id="1250"/>
      <w:bookmarkEnd w:id="1251"/>
      <w:bookmarkEnd w:id="1252"/>
    </w:p>
    <w:p w14:paraId="5A62B4E9">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15.5.1  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p>
    <w:p w14:paraId="4F82B157">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15.5.2  承包人提出的合理化建议降低了合同价格、缩短了工期或者提高了工程经济效益的，发包人可按国家有关规定给予奖励。对承包人提出合理化建议的奖励方法见合同条款专用部分。</w:t>
      </w:r>
    </w:p>
    <w:p w14:paraId="40A3090C">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253" w:name="_BookMark_204"/>
      <w:bookmarkEnd w:id="1253"/>
      <w:bookmarkStart w:id="1254" w:name="_Toc14866792"/>
      <w:bookmarkStart w:id="1255" w:name="_Toc11089034"/>
      <w:bookmarkStart w:id="1256" w:name="_Toc25320"/>
      <w:bookmarkStart w:id="1257" w:name="_Toc4661535"/>
      <w:r>
        <w:rPr>
          <w:rFonts w:hint="eastAsia" w:ascii="宋体" w:hAnsi="宋体" w:cs="宋体"/>
          <w:b w:val="0"/>
          <w:bCs w:val="0"/>
          <w:color w:val="auto"/>
          <w:sz w:val="21"/>
          <w:szCs w:val="21"/>
          <w:highlight w:val="none"/>
          <w:shd w:val="clear" w:color="auto" w:fill="FFFFFF"/>
        </w:rPr>
        <w:t>15.6  暂列金额</w:t>
      </w:r>
      <w:bookmarkEnd w:id="1254"/>
      <w:bookmarkEnd w:id="1255"/>
      <w:bookmarkEnd w:id="1256"/>
      <w:bookmarkEnd w:id="1257"/>
    </w:p>
    <w:p w14:paraId="7AC45885">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暂列金额只能按照监理人的指示使用，并对合同价格进行相应调整。</w:t>
      </w:r>
    </w:p>
    <w:p w14:paraId="2CD24CDF">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258" w:name="_BookMark_205"/>
      <w:bookmarkEnd w:id="1258"/>
      <w:bookmarkStart w:id="1259" w:name="_Toc18093"/>
      <w:bookmarkStart w:id="1260" w:name="_Toc4661536"/>
      <w:bookmarkStart w:id="1261" w:name="_Toc11089035"/>
      <w:bookmarkStart w:id="1262" w:name="_Toc14866793"/>
      <w:r>
        <w:rPr>
          <w:rFonts w:hint="eastAsia" w:ascii="宋体" w:hAnsi="宋体" w:cs="宋体"/>
          <w:b w:val="0"/>
          <w:bCs w:val="0"/>
          <w:color w:val="auto"/>
          <w:sz w:val="21"/>
          <w:szCs w:val="21"/>
          <w:highlight w:val="none"/>
          <w:shd w:val="clear" w:color="auto" w:fill="FFFFFF"/>
        </w:rPr>
        <w:t>15.7  计日工</w:t>
      </w:r>
      <w:bookmarkEnd w:id="1259"/>
      <w:bookmarkEnd w:id="1260"/>
      <w:bookmarkEnd w:id="1261"/>
      <w:bookmarkEnd w:id="1262"/>
    </w:p>
    <w:p w14:paraId="32649AF9">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15.7.1  发包人认为有必要时，由监理人通知承包人以计日工方式实施变更的零星工作。其价款按列入已标价工程量清单中的计日工计价子目及其单价进行计算。</w:t>
      </w:r>
    </w:p>
    <w:p w14:paraId="193505F2">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15.7.2  采用计日工计价的任何一项变更工作，应从暂列金额中支付，承包人应在该项变更的实施过程中，每天提交以下报表和有关凭证报送监理人审批：</w:t>
      </w:r>
    </w:p>
    <w:p w14:paraId="2E599382">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（1）工作名称、内容和数量；</w:t>
      </w:r>
    </w:p>
    <w:p w14:paraId="004CF40E">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（2）投入该工作所有人员的姓名、工种、级别和耗用工时；</w:t>
      </w:r>
    </w:p>
    <w:p w14:paraId="649F057C">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（3）投入该工作的材料类别和数量；</w:t>
      </w:r>
    </w:p>
    <w:p w14:paraId="6A7CEBC8">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（4）投入该工作的施工设备型号、台数和耗用台时；</w:t>
      </w:r>
    </w:p>
    <w:p w14:paraId="5787443C">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（5）监理人要求提交的其他资料和凭证。</w:t>
      </w:r>
    </w:p>
    <w:p w14:paraId="6AC25C64">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15.7.3  计日工由承包人汇总后，按第17.3.2项的约定列入进度付款申请单，由监理人复核并经发包人同意后列入进度付款。</w:t>
      </w:r>
    </w:p>
    <w:p w14:paraId="27589D17">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263" w:name="_BookMark_206"/>
      <w:bookmarkEnd w:id="1263"/>
      <w:bookmarkStart w:id="1264" w:name="_Toc14866794"/>
      <w:bookmarkStart w:id="1265" w:name="_Toc8547"/>
      <w:bookmarkStart w:id="1266" w:name="_Toc11089036"/>
      <w:bookmarkStart w:id="1267" w:name="_Toc4661537"/>
      <w:r>
        <w:rPr>
          <w:rFonts w:hint="eastAsia" w:ascii="宋体" w:hAnsi="宋体" w:cs="宋体"/>
          <w:b w:val="0"/>
          <w:bCs w:val="0"/>
          <w:color w:val="auto"/>
          <w:sz w:val="21"/>
          <w:szCs w:val="21"/>
          <w:highlight w:val="none"/>
          <w:shd w:val="clear" w:color="auto" w:fill="FFFFFF"/>
        </w:rPr>
        <w:t>15.8  暂估价</w:t>
      </w:r>
      <w:bookmarkEnd w:id="1264"/>
      <w:bookmarkEnd w:id="1265"/>
      <w:bookmarkEnd w:id="1266"/>
      <w:bookmarkEnd w:id="1267"/>
    </w:p>
    <w:p w14:paraId="71642915">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 xml:space="preserve">15.8.1  发包人在工程量清单中给定暂估价的材料和工程设备及专业工程属于依法必须招标的范围并达到规定的规模标准的，由发包人和承包人采用招标方式选择专项供应商或专业分包人。发包人和承包人的权利义务关系约定如下： </w:t>
      </w:r>
    </w:p>
    <w:p w14:paraId="69DBEAA9">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（1）由承包人作为招标人，依法组织招标工作并接受有管辖权的建设工程招标投标行政监督部门的监督。</w:t>
      </w:r>
    </w:p>
    <w:p w14:paraId="749A6435">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（2）与组织招标工作有关的费用应当被认为已经包括在承包人的签约合同价（投标总报价）中。</w:t>
      </w:r>
    </w:p>
    <w:p w14:paraId="7999F7D8">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（3）中标金额与工程量清单中所列的暂估价的金额差以及相应的税金等其他费用列入合同价格。</w:t>
      </w:r>
    </w:p>
    <w:p w14:paraId="4444E12F">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4）在任何招标工作启动前，承包人应当按照合同条款专用部分约定期限编制招标工作计划并通过监理人报请发包人审批，招标工作计划应当包括招标工作的时间安排、拟采用的招标方式、拟采用的资格审查方法、主要招标过程文件的编制内容、对投标人的资格条件要求、评标标准和方法、评标委员会组成、是否编制招标控制价和（或）标底以及招标控制价和（或）标底编制原则。发包人应当在监理人收到承包人报送的招标工作计划后应当在合同条款专用部分约定期限内给予批准或者提出修改意见。承包人应当严格按照经过发包人批准的招标工作计划开展招标工作。</w:t>
      </w:r>
    </w:p>
    <w:p w14:paraId="5F7C8930">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5）承包人应当在发出招标公告（或者资格预审公告或者投标邀请书）、资格预审文件和招标文件前按照合同条款专用部分约定期限，分别将相关文件通过监理人报请发包人审批，发包人应当在监理人收到承包人报送的相关文件后应当在合同条款专用部分约定期限内给予批准或者提出修改意见，经发包人批准的相关文件，由承包人负责誊清整理并准备出开展实际招标工作所需要的份数，通过监理人报发包人核查并加盖发包人印章，发包人在相关文件上加盖印章只表明相关文件经过发包人审核批准。最终发出的文件应当分别报送一份给发包人和监理人备查。</w:t>
      </w:r>
    </w:p>
    <w:p w14:paraId="73A7EB1C">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（6）如果发、承包任何一方委派评标代表，评标委员会应当由七人以上单数构成。除发包人或者承包人自愿放弃委派评标代表的权利外，招标人评标代表应当分别由发包人和承包人等额委派。</w:t>
      </w:r>
    </w:p>
    <w:p w14:paraId="23B61CA6">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7）设有标底的，承包人应当在开标前提前48小时将标底报发包人审核认可，发包人应当在收到承包人报送的标底后24小时内给予批准或者提出修改意见。承包人和发包人应当共同制定标底保密措施，不得提前泄露标底。标底的最终审核和决定权属于发包人。</w:t>
      </w:r>
    </w:p>
    <w:p w14:paraId="3D736757">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8）设有招标控制价的，承包人应当在招标文件发出前提前7天将招标控制价报发包人审核认可，发包人应当在收到承包人报送的招标控制价后72小时内给予认可或者提出修改意见。招标控制价的最终审核和决定权属于发包人，未经发包人认可，承包人不得发出招标文件。</w:t>
      </w:r>
    </w:p>
    <w:p w14:paraId="2E207153">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9）承包人在收到相关招标项目评标委员会提交的评标报告后，应当在24小时内通过监理人转报发包人核查，发包人应当在监理人收到承包人报送的评标报告后48小时内核查完毕，评标报告经过发包人核查认可后，承包人才可以开始后续程序，依法确定中标人并发出中标通知书。</w:t>
      </w:r>
    </w:p>
    <w:p w14:paraId="6112D171">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10）承包人与专业分包人或者专项供应商订立合同前应当按照合同条款专用部分约定期限，将准备用于正式签订的合同文件通过监理人报发包人审核，发包人应当在监理人收到相关文件后在合同条款专用部分约定期限内给予批准或者提出修改意见，承包人应当按照发包人批准的合同文件签订相关合同，合同订立后，在合同条款专用部分约定期限内，承包人应当将其中的两份副本报送监理人，其中一份由监理人报发包人留存。</w:t>
      </w:r>
    </w:p>
    <w:p w14:paraId="281BEB9E">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（11）发包人对承包人报送文件进行审批或提出的修改意见应当合理，并符合现行有关法律法规的规定。</w:t>
      </w:r>
    </w:p>
    <w:p w14:paraId="38E10CC9">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12）承包人违背本项上述约定的程序或者未履行本项上述约定的报批手续的，发包人有权拒绝对相关专业工程或者涉及相关专项供应的材料和工程设备的工程进行验收和拨付相应工程款项，所造成的费用增加和（或）工期延误由承包人承担。发包人未按本项上述约定履行审批手续的，所造成的费用增加和（或）工期延误由发包人承担。</w:t>
      </w:r>
    </w:p>
    <w:p w14:paraId="094D15B3">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15.8.2  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以及相应的税金等其他费用列入合同价格。</w:t>
      </w:r>
    </w:p>
    <w:p w14:paraId="1BF1B9DE">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15.8.3  发包人在工程量清单中给定暂估价的专业工程不属于依法必须招标的范围或未达到规定的规模标准的，由监理人按照第15.4款进行估价，但合同条款专用部分另有约定的除外。经估价的专业工程与工程量清单中所列的暂估价的金额差以及相应的税金等其他费用列入合同价格。</w:t>
      </w:r>
    </w:p>
    <w:p w14:paraId="0341876A">
      <w:pPr>
        <w:pStyle w:val="3"/>
        <w:keepNext w:val="0"/>
        <w:keepLines w:val="0"/>
        <w:widowControl/>
        <w:snapToGrid w:val="0"/>
        <w:spacing w:before="0" w:after="0" w:line="360" w:lineRule="auto"/>
        <w:ind w:left="210" w:leftChars="100"/>
        <w:jc w:val="left"/>
        <w:rPr>
          <w:rFonts w:ascii="宋体" w:hAnsi="宋体"/>
          <w:b w:val="0"/>
          <w:bCs w:val="0"/>
          <w:color w:val="auto"/>
          <w:sz w:val="21"/>
          <w:szCs w:val="21"/>
          <w:highlight w:val="none"/>
          <w:shd w:val="clear" w:color="auto" w:fill="FFFFFF"/>
        </w:rPr>
      </w:pPr>
      <w:bookmarkStart w:id="1268" w:name="_BookMark_207"/>
      <w:bookmarkEnd w:id="1268"/>
      <w:bookmarkStart w:id="1269" w:name="_Toc5920"/>
      <w:bookmarkStart w:id="1270" w:name="_Toc14866795"/>
      <w:bookmarkStart w:id="1271" w:name="_Toc4661538"/>
      <w:bookmarkStart w:id="1272" w:name="_Toc11089037"/>
      <w:r>
        <w:rPr>
          <w:rFonts w:hint="eastAsia" w:ascii="宋体" w:hAnsi="宋体"/>
          <w:b w:val="0"/>
          <w:bCs w:val="0"/>
          <w:color w:val="auto"/>
          <w:sz w:val="21"/>
          <w:szCs w:val="21"/>
          <w:highlight w:val="none"/>
          <w:shd w:val="clear" w:color="auto" w:fill="FFFFFF"/>
        </w:rPr>
        <w:t>16.价格调整</w:t>
      </w:r>
      <w:bookmarkEnd w:id="1269"/>
      <w:bookmarkEnd w:id="1270"/>
      <w:bookmarkEnd w:id="1271"/>
      <w:bookmarkEnd w:id="1272"/>
    </w:p>
    <w:p w14:paraId="3FC8C901">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273" w:name="_BookMark_208"/>
      <w:bookmarkEnd w:id="1273"/>
      <w:bookmarkStart w:id="1274" w:name="_Toc14866796"/>
      <w:bookmarkStart w:id="1275" w:name="_Toc11089038"/>
      <w:bookmarkStart w:id="1276" w:name="_Toc7289"/>
      <w:bookmarkStart w:id="1277" w:name="_Toc4661539"/>
      <w:r>
        <w:rPr>
          <w:rFonts w:hint="eastAsia" w:ascii="宋体" w:hAnsi="宋体" w:cs="宋体"/>
          <w:b w:val="0"/>
          <w:bCs w:val="0"/>
          <w:color w:val="auto"/>
          <w:sz w:val="21"/>
          <w:szCs w:val="21"/>
          <w:highlight w:val="none"/>
          <w:shd w:val="clear" w:color="auto" w:fill="FFFFFF"/>
        </w:rPr>
        <w:t>16.1  物价波动引起的价格调整</w:t>
      </w:r>
      <w:bookmarkEnd w:id="1274"/>
      <w:bookmarkEnd w:id="1275"/>
      <w:bookmarkEnd w:id="1276"/>
      <w:bookmarkEnd w:id="1277"/>
    </w:p>
    <w:p w14:paraId="1560BC5E">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除合同条款专用部分另有约定外，因物价波动引起的价格调整按照本款约定处理。</w:t>
      </w:r>
    </w:p>
    <w:p w14:paraId="2547DE31">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16.1.1  采用价格指数调整价格差额</w:t>
      </w:r>
    </w:p>
    <w:p w14:paraId="341E7261">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16.1.1.1  价格调整公式</w:t>
      </w:r>
    </w:p>
    <w:p w14:paraId="2AEE2B3F">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因人工、材料和设备等价格波动影响合同价格时，根据投标函附录中的价格指数和权重表约定的数据，按以下公式计算差额并调整合同价格。</w:t>
      </w:r>
    </w:p>
    <w:p w14:paraId="1DFDB4A0">
      <w:pPr>
        <w:widowControl/>
        <w:snapToGrid w:val="0"/>
        <w:spacing w:line="360" w:lineRule="auto"/>
        <w:ind w:left="210" w:leftChars="100" w:right="248" w:firstLine="836"/>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drawing>
          <wp:inline distT="0" distB="0" distL="114300" distR="114300">
            <wp:extent cx="3912235" cy="516890"/>
            <wp:effectExtent l="0" t="0" r="12065" b="1651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22"/>
                    <a:stretch>
                      <a:fillRect/>
                    </a:stretch>
                  </pic:blipFill>
                  <pic:spPr>
                    <a:xfrm>
                      <a:off x="0" y="0"/>
                      <a:ext cx="3912235" cy="516890"/>
                    </a:xfrm>
                    <a:prstGeom prst="rect">
                      <a:avLst/>
                    </a:prstGeom>
                    <a:noFill/>
                    <a:ln>
                      <a:noFill/>
                    </a:ln>
                  </pic:spPr>
                </pic:pic>
              </a:graphicData>
            </a:graphic>
          </wp:inline>
        </w:drawing>
      </w:r>
    </w:p>
    <w:p w14:paraId="1C343BD0">
      <w:pPr>
        <w:widowControl/>
        <w:snapToGrid w:val="0"/>
        <w:spacing w:line="360" w:lineRule="auto"/>
        <w:ind w:left="210" w:leftChars="100" w:firstLine="420"/>
        <w:jc w:val="left"/>
        <w:rPr>
          <w:rFonts w:ascii="宋体" w:hAnsi="宋体" w:cs="Arial"/>
          <w:color w:val="auto"/>
          <w:szCs w:val="21"/>
          <w:highlight w:val="none"/>
        </w:rPr>
      </w:pPr>
    </w:p>
    <w:p w14:paraId="0D73575B">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式中：△P -- 需调整的价格差额；</w:t>
      </w:r>
    </w:p>
    <w:p w14:paraId="0D5391A2">
      <w:pPr>
        <w:widowControl/>
        <w:snapToGrid w:val="0"/>
        <w:spacing w:line="360" w:lineRule="auto"/>
        <w:ind w:left="210" w:leftChars="10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 xml:space="preserve">          P</w:t>
      </w:r>
      <w:r>
        <w:rPr>
          <w:rFonts w:ascii="宋体" w:hAnsi="宋体" w:cs="Arial"/>
          <w:color w:val="auto"/>
          <w:kern w:val="0"/>
          <w:szCs w:val="21"/>
          <w:highlight w:val="none"/>
          <w:shd w:val="clear" w:color="auto" w:fill="FFFFFF"/>
        </w:rPr>
        <w:t>0</w:t>
      </w:r>
      <w:r>
        <w:rPr>
          <w:rFonts w:hint="eastAsia" w:ascii="宋体" w:hAnsi="宋体" w:cs="宋体"/>
          <w:color w:val="auto"/>
          <w:kern w:val="0"/>
          <w:szCs w:val="21"/>
          <w:highlight w:val="none"/>
          <w:shd w:val="clear" w:color="auto" w:fill="FFFFFF"/>
        </w:rPr>
        <w:t xml:space="preserve"> -- 第</w:t>
      </w:r>
      <w:r>
        <w:rPr>
          <w:rFonts w:ascii="宋体" w:hAnsi="宋体" w:cs="Arial"/>
          <w:color w:val="auto"/>
          <w:kern w:val="0"/>
          <w:szCs w:val="21"/>
          <w:highlight w:val="none"/>
          <w:shd w:val="clear" w:color="auto" w:fill="FFFFFF"/>
        </w:rPr>
        <w:t>17.3.3</w:t>
      </w:r>
      <w:r>
        <w:rPr>
          <w:rFonts w:hint="eastAsia" w:ascii="宋体" w:hAnsi="宋体" w:cs="宋体"/>
          <w:color w:val="auto"/>
          <w:kern w:val="0"/>
          <w:szCs w:val="21"/>
          <w:highlight w:val="none"/>
          <w:shd w:val="clear" w:color="auto" w:fill="FFFFFF"/>
        </w:rPr>
        <w:t>项、第</w:t>
      </w:r>
      <w:r>
        <w:rPr>
          <w:rFonts w:ascii="宋体" w:hAnsi="宋体" w:cs="Arial"/>
          <w:color w:val="auto"/>
          <w:kern w:val="0"/>
          <w:szCs w:val="21"/>
          <w:highlight w:val="none"/>
          <w:shd w:val="clear" w:color="auto" w:fill="FFFFFF"/>
        </w:rPr>
        <w:t>17.5.2</w:t>
      </w:r>
      <w:r>
        <w:rPr>
          <w:rFonts w:hint="eastAsia" w:ascii="宋体" w:hAnsi="宋体" w:cs="宋体"/>
          <w:color w:val="auto"/>
          <w:kern w:val="0"/>
          <w:szCs w:val="21"/>
          <w:highlight w:val="none"/>
          <w:shd w:val="clear" w:color="auto" w:fill="FFFFFF"/>
        </w:rPr>
        <w:t>项和第</w:t>
      </w:r>
      <w:r>
        <w:rPr>
          <w:rFonts w:ascii="宋体" w:hAnsi="宋体" w:cs="Arial"/>
          <w:color w:val="auto"/>
          <w:kern w:val="0"/>
          <w:szCs w:val="21"/>
          <w:highlight w:val="none"/>
          <w:shd w:val="clear" w:color="auto" w:fill="FFFFFF"/>
        </w:rPr>
        <w:t>17.6.2</w:t>
      </w:r>
      <w:r>
        <w:rPr>
          <w:rFonts w:hint="eastAsia" w:ascii="宋体" w:hAnsi="宋体" w:cs="宋体"/>
          <w:color w:val="auto"/>
          <w:kern w:val="0"/>
          <w:szCs w:val="21"/>
          <w:highlight w:val="none"/>
          <w:shd w:val="clear" w:color="auto" w:fill="FFFFFF"/>
        </w:rPr>
        <w:t>项约定的付款证书中承包人应得到的已完成工程量的金额。此项金额应不包括价格调整、不计质量保证金的扣留和支付、预付款的支付和扣回。第</w:t>
      </w:r>
      <w:r>
        <w:rPr>
          <w:rFonts w:ascii="宋体" w:hAnsi="宋体" w:cs="Arial"/>
          <w:color w:val="auto"/>
          <w:kern w:val="0"/>
          <w:szCs w:val="21"/>
          <w:highlight w:val="none"/>
          <w:shd w:val="clear" w:color="auto" w:fill="FFFFFF"/>
        </w:rPr>
        <w:t>15</w:t>
      </w:r>
      <w:r>
        <w:rPr>
          <w:rFonts w:hint="eastAsia" w:ascii="宋体" w:hAnsi="宋体" w:cs="宋体"/>
          <w:color w:val="auto"/>
          <w:kern w:val="0"/>
          <w:szCs w:val="21"/>
          <w:highlight w:val="none"/>
          <w:shd w:val="clear" w:color="auto" w:fill="FFFFFF"/>
        </w:rPr>
        <w:t>条约定的变更及其他金额已按现行价格计价的，也不计在内；</w:t>
      </w:r>
    </w:p>
    <w:p w14:paraId="3631A862">
      <w:pPr>
        <w:widowControl/>
        <w:snapToGrid w:val="0"/>
        <w:spacing w:line="360" w:lineRule="auto"/>
        <w:ind w:left="210" w:leftChars="10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 xml:space="preserve">          A -- 定值权重(即不调部分的权重)；</w:t>
      </w:r>
    </w:p>
    <w:p w14:paraId="49FD8A4F">
      <w:pPr>
        <w:widowControl/>
        <w:snapToGrid w:val="0"/>
        <w:spacing w:line="360" w:lineRule="auto"/>
        <w:ind w:left="210" w:leftChars="10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 xml:space="preserve">          B</w:t>
      </w:r>
      <w:r>
        <w:rPr>
          <w:rFonts w:ascii="宋体" w:hAnsi="宋体" w:cs="Arial"/>
          <w:color w:val="auto"/>
          <w:kern w:val="0"/>
          <w:szCs w:val="21"/>
          <w:highlight w:val="none"/>
          <w:shd w:val="clear" w:color="auto" w:fill="FFFFFF"/>
        </w:rPr>
        <w:t>1;</w:t>
      </w:r>
      <w:r>
        <w:rPr>
          <w:rFonts w:hint="eastAsia" w:ascii="宋体" w:hAnsi="宋体" w:cs="宋体"/>
          <w:color w:val="auto"/>
          <w:kern w:val="0"/>
          <w:szCs w:val="21"/>
          <w:highlight w:val="none"/>
          <w:shd w:val="clear" w:color="auto" w:fill="FFFFFF"/>
        </w:rPr>
        <w:t xml:space="preserve"> B</w:t>
      </w:r>
      <w:r>
        <w:rPr>
          <w:rFonts w:ascii="宋体" w:hAnsi="宋体" w:cs="Arial"/>
          <w:color w:val="auto"/>
          <w:kern w:val="0"/>
          <w:szCs w:val="21"/>
          <w:highlight w:val="none"/>
          <w:shd w:val="clear" w:color="auto" w:fill="FFFFFF"/>
        </w:rPr>
        <w:t>2</w:t>
      </w:r>
      <w:r>
        <w:rPr>
          <w:rFonts w:hint="eastAsia" w:ascii="宋体" w:hAnsi="宋体" w:cs="宋体"/>
          <w:color w:val="auto"/>
          <w:kern w:val="0"/>
          <w:szCs w:val="21"/>
          <w:highlight w:val="none"/>
          <w:shd w:val="clear" w:color="auto" w:fill="FFFFFF"/>
        </w:rPr>
        <w:t xml:space="preserve"> ;B</w:t>
      </w:r>
      <w:r>
        <w:rPr>
          <w:rFonts w:ascii="宋体" w:hAnsi="宋体" w:cs="Arial"/>
          <w:color w:val="auto"/>
          <w:kern w:val="0"/>
          <w:szCs w:val="21"/>
          <w:highlight w:val="none"/>
          <w:shd w:val="clear" w:color="auto" w:fill="FFFFFF"/>
        </w:rPr>
        <w:t>3</w:t>
      </w:r>
      <w:r>
        <w:rPr>
          <w:rFonts w:hint="eastAsia" w:ascii="宋体" w:hAnsi="宋体" w:cs="宋体"/>
          <w:color w:val="auto"/>
          <w:kern w:val="0"/>
          <w:szCs w:val="21"/>
          <w:highlight w:val="none"/>
          <w:shd w:val="clear" w:color="auto" w:fill="FFFFFF"/>
        </w:rPr>
        <w:t>·····B</w:t>
      </w:r>
      <w:r>
        <w:rPr>
          <w:rFonts w:ascii="宋体" w:hAnsi="宋体" w:cs="Arial"/>
          <w:color w:val="auto"/>
          <w:kern w:val="0"/>
          <w:szCs w:val="21"/>
          <w:highlight w:val="none"/>
          <w:shd w:val="clear" w:color="auto" w:fill="FFFFFF"/>
        </w:rPr>
        <w:t>n</w:t>
      </w:r>
      <w:r>
        <w:rPr>
          <w:rFonts w:hint="eastAsia" w:ascii="宋体" w:hAnsi="宋体" w:cs="宋体"/>
          <w:color w:val="auto"/>
          <w:kern w:val="0"/>
          <w:szCs w:val="21"/>
          <w:highlight w:val="none"/>
          <w:shd w:val="clear" w:color="auto" w:fill="FFFFFF"/>
        </w:rPr>
        <w:t xml:space="preserve"> -- 各可调因子的变值权重(即可调部分的权重)为各可调因子在投标函投标总报价中所占的比例；</w:t>
      </w:r>
    </w:p>
    <w:p w14:paraId="7075DA4E">
      <w:pPr>
        <w:widowControl/>
        <w:snapToGrid w:val="0"/>
        <w:spacing w:line="360" w:lineRule="auto"/>
        <w:ind w:left="210" w:leftChars="10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 xml:space="preserve">          F</w:t>
      </w:r>
      <w:r>
        <w:rPr>
          <w:rFonts w:ascii="宋体" w:hAnsi="宋体" w:cs="Arial"/>
          <w:color w:val="auto"/>
          <w:kern w:val="0"/>
          <w:szCs w:val="21"/>
          <w:highlight w:val="none"/>
          <w:shd w:val="clear" w:color="auto" w:fill="FFFFFF"/>
        </w:rPr>
        <w:t>t1</w:t>
      </w:r>
      <w:r>
        <w:rPr>
          <w:rFonts w:hint="eastAsia" w:ascii="宋体" w:hAnsi="宋体" w:cs="宋体"/>
          <w:color w:val="auto"/>
          <w:kern w:val="0"/>
          <w:szCs w:val="21"/>
          <w:highlight w:val="none"/>
          <w:shd w:val="clear" w:color="auto" w:fill="FFFFFF"/>
        </w:rPr>
        <w:t xml:space="preserve"> ;F</w:t>
      </w:r>
      <w:r>
        <w:rPr>
          <w:rFonts w:ascii="宋体" w:hAnsi="宋体" w:cs="Arial"/>
          <w:color w:val="auto"/>
          <w:kern w:val="0"/>
          <w:szCs w:val="21"/>
          <w:highlight w:val="none"/>
          <w:shd w:val="clear" w:color="auto" w:fill="FFFFFF"/>
        </w:rPr>
        <w:t>t2</w:t>
      </w:r>
      <w:r>
        <w:rPr>
          <w:rFonts w:hint="eastAsia" w:ascii="宋体" w:hAnsi="宋体" w:cs="宋体"/>
          <w:color w:val="auto"/>
          <w:kern w:val="0"/>
          <w:szCs w:val="21"/>
          <w:highlight w:val="none"/>
          <w:shd w:val="clear" w:color="auto" w:fill="FFFFFF"/>
        </w:rPr>
        <w:t xml:space="preserve"> ;F</w:t>
      </w:r>
      <w:r>
        <w:rPr>
          <w:rFonts w:ascii="宋体" w:hAnsi="宋体" w:cs="Arial"/>
          <w:color w:val="auto"/>
          <w:kern w:val="0"/>
          <w:szCs w:val="21"/>
          <w:highlight w:val="none"/>
          <w:shd w:val="clear" w:color="auto" w:fill="FFFFFF"/>
        </w:rPr>
        <w:t>t3</w:t>
      </w:r>
      <w:r>
        <w:rPr>
          <w:rFonts w:hint="eastAsia" w:ascii="宋体" w:hAnsi="宋体" w:cs="宋体"/>
          <w:color w:val="auto"/>
          <w:kern w:val="0"/>
          <w:szCs w:val="21"/>
          <w:highlight w:val="none"/>
          <w:shd w:val="clear" w:color="auto" w:fill="FFFFFF"/>
        </w:rPr>
        <w:t>·····F</w:t>
      </w:r>
      <w:r>
        <w:rPr>
          <w:rFonts w:ascii="宋体" w:hAnsi="宋体" w:cs="Arial"/>
          <w:color w:val="auto"/>
          <w:kern w:val="0"/>
          <w:szCs w:val="21"/>
          <w:highlight w:val="none"/>
          <w:shd w:val="clear" w:color="auto" w:fill="FFFFFF"/>
        </w:rPr>
        <w:t>tn</w:t>
      </w:r>
      <w:r>
        <w:rPr>
          <w:rFonts w:hint="eastAsia" w:ascii="宋体" w:hAnsi="宋体" w:cs="宋体"/>
          <w:color w:val="auto"/>
          <w:kern w:val="0"/>
          <w:szCs w:val="21"/>
          <w:highlight w:val="none"/>
          <w:shd w:val="clear" w:color="auto" w:fill="FFFFFF"/>
        </w:rPr>
        <w:t xml:space="preserve"> -- 各可调因子的现行价格指数，指第</w:t>
      </w:r>
      <w:r>
        <w:rPr>
          <w:rFonts w:ascii="宋体" w:hAnsi="宋体" w:cs="Arial"/>
          <w:color w:val="auto"/>
          <w:kern w:val="0"/>
          <w:szCs w:val="21"/>
          <w:highlight w:val="none"/>
          <w:shd w:val="clear" w:color="auto" w:fill="FFFFFF"/>
        </w:rPr>
        <w:t>17.3.3</w:t>
      </w:r>
      <w:r>
        <w:rPr>
          <w:rFonts w:hint="eastAsia" w:ascii="宋体" w:hAnsi="宋体" w:cs="宋体"/>
          <w:color w:val="auto"/>
          <w:kern w:val="0"/>
          <w:szCs w:val="21"/>
          <w:highlight w:val="none"/>
          <w:shd w:val="clear" w:color="auto" w:fill="FFFFFF"/>
        </w:rPr>
        <w:t>项、第</w:t>
      </w:r>
      <w:r>
        <w:rPr>
          <w:rFonts w:ascii="宋体" w:hAnsi="宋体" w:cs="Arial"/>
          <w:color w:val="auto"/>
          <w:kern w:val="0"/>
          <w:szCs w:val="21"/>
          <w:highlight w:val="none"/>
          <w:shd w:val="clear" w:color="auto" w:fill="FFFFFF"/>
        </w:rPr>
        <w:t>17.5.2</w:t>
      </w:r>
      <w:r>
        <w:rPr>
          <w:rFonts w:hint="eastAsia" w:ascii="宋体" w:hAnsi="宋体" w:cs="宋体"/>
          <w:color w:val="auto"/>
          <w:kern w:val="0"/>
          <w:szCs w:val="21"/>
          <w:highlight w:val="none"/>
          <w:shd w:val="clear" w:color="auto" w:fill="FFFFFF"/>
        </w:rPr>
        <w:t>项和第</w:t>
      </w:r>
      <w:r>
        <w:rPr>
          <w:rFonts w:ascii="宋体" w:hAnsi="宋体" w:cs="Arial"/>
          <w:color w:val="auto"/>
          <w:kern w:val="0"/>
          <w:szCs w:val="21"/>
          <w:highlight w:val="none"/>
          <w:shd w:val="clear" w:color="auto" w:fill="FFFFFF"/>
        </w:rPr>
        <w:t>17.6.2</w:t>
      </w:r>
      <w:r>
        <w:rPr>
          <w:rFonts w:hint="eastAsia" w:ascii="宋体" w:hAnsi="宋体" w:cs="宋体"/>
          <w:color w:val="auto"/>
          <w:kern w:val="0"/>
          <w:szCs w:val="21"/>
          <w:highlight w:val="none"/>
          <w:shd w:val="clear" w:color="auto" w:fill="FFFFFF"/>
        </w:rPr>
        <w:t>项约定的付款证书相关周期最后一天的前</w:t>
      </w:r>
      <w:r>
        <w:rPr>
          <w:rFonts w:ascii="宋体" w:hAnsi="宋体" w:cs="Arial"/>
          <w:color w:val="auto"/>
          <w:kern w:val="0"/>
          <w:szCs w:val="21"/>
          <w:highlight w:val="none"/>
          <w:shd w:val="clear" w:color="auto" w:fill="FFFFFF"/>
        </w:rPr>
        <w:t>42</w:t>
      </w:r>
      <w:r>
        <w:rPr>
          <w:rFonts w:hint="eastAsia" w:ascii="宋体" w:hAnsi="宋体" w:cs="宋体"/>
          <w:color w:val="auto"/>
          <w:kern w:val="0"/>
          <w:szCs w:val="21"/>
          <w:highlight w:val="none"/>
          <w:shd w:val="clear" w:color="auto" w:fill="FFFFFF"/>
        </w:rPr>
        <w:t>天的各可调因子的价格指数；</w:t>
      </w:r>
    </w:p>
    <w:p w14:paraId="649378D5">
      <w:pPr>
        <w:widowControl/>
        <w:snapToGrid w:val="0"/>
        <w:spacing w:line="360" w:lineRule="auto"/>
        <w:ind w:left="210" w:leftChars="10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 xml:space="preserve">          F</w:t>
      </w:r>
      <w:r>
        <w:rPr>
          <w:rFonts w:ascii="宋体" w:hAnsi="宋体" w:cs="Arial"/>
          <w:color w:val="auto"/>
          <w:kern w:val="0"/>
          <w:szCs w:val="21"/>
          <w:highlight w:val="none"/>
          <w:shd w:val="clear" w:color="auto" w:fill="FFFFFF"/>
        </w:rPr>
        <w:t>o1</w:t>
      </w:r>
      <w:r>
        <w:rPr>
          <w:rFonts w:hint="eastAsia" w:ascii="宋体" w:hAnsi="宋体" w:cs="宋体"/>
          <w:color w:val="auto"/>
          <w:kern w:val="0"/>
          <w:szCs w:val="21"/>
          <w:highlight w:val="none"/>
          <w:shd w:val="clear" w:color="auto" w:fill="FFFFFF"/>
        </w:rPr>
        <w:t>; F</w:t>
      </w:r>
      <w:r>
        <w:rPr>
          <w:rFonts w:ascii="宋体" w:hAnsi="宋体" w:cs="Arial"/>
          <w:color w:val="auto"/>
          <w:kern w:val="0"/>
          <w:szCs w:val="21"/>
          <w:highlight w:val="none"/>
          <w:shd w:val="clear" w:color="auto" w:fill="FFFFFF"/>
        </w:rPr>
        <w:t>o2;</w:t>
      </w:r>
      <w:r>
        <w:rPr>
          <w:rFonts w:hint="eastAsia" w:ascii="宋体" w:hAnsi="宋体" w:cs="宋体"/>
          <w:color w:val="auto"/>
          <w:kern w:val="0"/>
          <w:szCs w:val="21"/>
          <w:highlight w:val="none"/>
          <w:shd w:val="clear" w:color="auto" w:fill="FFFFFF"/>
        </w:rPr>
        <w:t xml:space="preserve"> F</w:t>
      </w:r>
      <w:r>
        <w:rPr>
          <w:rFonts w:ascii="宋体" w:hAnsi="宋体" w:cs="Arial"/>
          <w:color w:val="auto"/>
          <w:kern w:val="0"/>
          <w:szCs w:val="21"/>
          <w:highlight w:val="none"/>
          <w:shd w:val="clear" w:color="auto" w:fill="FFFFFF"/>
        </w:rPr>
        <w:t>o3</w:t>
      </w:r>
      <w:r>
        <w:rPr>
          <w:rFonts w:hint="eastAsia" w:ascii="宋体" w:hAnsi="宋体" w:cs="宋体"/>
          <w:color w:val="auto"/>
          <w:kern w:val="0"/>
          <w:szCs w:val="21"/>
          <w:highlight w:val="none"/>
          <w:shd w:val="clear" w:color="auto" w:fill="FFFFFF"/>
        </w:rPr>
        <w:t>·····F</w:t>
      </w:r>
      <w:r>
        <w:rPr>
          <w:rFonts w:ascii="宋体" w:hAnsi="宋体" w:cs="Arial"/>
          <w:color w:val="auto"/>
          <w:kern w:val="0"/>
          <w:szCs w:val="21"/>
          <w:highlight w:val="none"/>
          <w:shd w:val="clear" w:color="auto" w:fill="FFFFFF"/>
        </w:rPr>
        <w:t>on</w:t>
      </w:r>
      <w:r>
        <w:rPr>
          <w:rFonts w:hint="eastAsia" w:ascii="宋体" w:hAnsi="宋体" w:cs="宋体"/>
          <w:color w:val="auto"/>
          <w:kern w:val="0"/>
          <w:szCs w:val="21"/>
          <w:highlight w:val="none"/>
          <w:shd w:val="clear" w:color="auto" w:fill="FFFFFF"/>
        </w:rPr>
        <w:t xml:space="preserve"> -- 各可调因子的基本价格指数，指基准日期的各可调因子的价格指数。</w:t>
      </w:r>
    </w:p>
    <w:p w14:paraId="11113946">
      <w:pPr>
        <w:widowControl/>
        <w:snapToGrid w:val="0"/>
        <w:spacing w:line="360" w:lineRule="auto"/>
        <w:ind w:left="210" w:leftChars="100" w:firstLine="63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p>
    <w:p w14:paraId="6ED5F1F2">
      <w:pPr>
        <w:widowControl/>
        <w:snapToGrid w:val="0"/>
        <w:spacing w:line="360" w:lineRule="auto"/>
        <w:ind w:left="210" w:leftChars="100" w:firstLine="63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16.1.1.2  暂时确定调整差额</w:t>
      </w:r>
    </w:p>
    <w:p w14:paraId="72E32F69">
      <w:pPr>
        <w:widowControl/>
        <w:snapToGrid w:val="0"/>
        <w:spacing w:line="360" w:lineRule="auto"/>
        <w:ind w:left="210" w:leftChars="100" w:firstLine="63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在计算调整差额时得不到现行价格指数的，可暂用上一次价格指数计算，并在以后的付款中再按实际价格指数进行调整。</w:t>
      </w:r>
    </w:p>
    <w:p w14:paraId="4F161DE1">
      <w:pPr>
        <w:widowControl/>
        <w:snapToGrid w:val="0"/>
        <w:spacing w:line="360" w:lineRule="auto"/>
        <w:ind w:left="210" w:leftChars="100" w:firstLine="63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16.1.1.3  权重的调整</w:t>
      </w:r>
    </w:p>
    <w:p w14:paraId="04A37470">
      <w:pPr>
        <w:widowControl/>
        <w:snapToGrid w:val="0"/>
        <w:spacing w:line="360" w:lineRule="auto"/>
        <w:ind w:left="210" w:leftChars="100" w:firstLine="63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按第15.1款约定的变更导致原定合同中的权重不合理时，由监理人与承包人和发包人协商后进行调整。</w:t>
      </w:r>
    </w:p>
    <w:p w14:paraId="29129AD0">
      <w:pPr>
        <w:widowControl/>
        <w:snapToGrid w:val="0"/>
        <w:spacing w:line="360" w:lineRule="auto"/>
        <w:ind w:left="210" w:leftChars="100" w:firstLine="63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16.1.1.4  承包人工期延误后的价格调整</w:t>
      </w:r>
    </w:p>
    <w:p w14:paraId="4374BCA0">
      <w:pPr>
        <w:widowControl/>
        <w:snapToGrid w:val="0"/>
        <w:spacing w:line="360" w:lineRule="auto"/>
        <w:ind w:left="210" w:leftChars="100" w:firstLine="63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由于承包人原因未在约定的工期内竣工的，则对原约定竣工日期后继续施工的工程，在使用第16.1.1.1目价格调整公式时，应采用原约定竣工日期与实际竣工日期的两个价格指数中较低的一个作为现行价格指数。</w:t>
      </w:r>
    </w:p>
    <w:p w14:paraId="7318D288">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16.1.2  采用造价信息调整价格差额</w:t>
      </w:r>
    </w:p>
    <w:p w14:paraId="4452A4FC">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施工期内，因人工、材料、设备和机械台班价格波动影响合同价格时，需要进行价格调整的，其价格和数量应由监理人审核，监理人确认需调整的内容、范围、价格和数量作为调整工程合同价格差额的依据。</w:t>
      </w:r>
    </w:p>
    <w:p w14:paraId="701CB49E">
      <w:pPr>
        <w:widowControl/>
        <w:snapToGrid w:val="0"/>
        <w:spacing w:line="360" w:lineRule="auto"/>
        <w:ind w:left="210" w:leftChars="100" w:firstLine="63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16.1.2.1  引起价格调整的物价波动风险范围及幅度</w:t>
      </w:r>
    </w:p>
    <w:p w14:paraId="219805E7">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施工期内，因人工、材料、设备和机械台班发生物价波动变化幅度在合同约定的风险幅度范围以内的，由承包人承担或受益，不调整合同价格；其价格波动变化幅度在合同约定的风险幅度范围以外的，由发包人承担或受益。物价波动引起价格调整的风险范围以及调整的风险幅度见合同条款专用部分。</w:t>
      </w:r>
    </w:p>
    <w:p w14:paraId="72D681E8">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16.1.2.2  物价波动变化幅度的计算方法</w:t>
      </w:r>
    </w:p>
    <w:p w14:paraId="5B762313">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（1）投标报价基准期确定的人工、材料、设备和机械台班的市场价格即为基准价。投标报价基准期见合同条款专用部分。</w:t>
      </w:r>
    </w:p>
    <w:p w14:paraId="3AA44989">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北京工程造价信息》中市场价格信息有的，以北京市建设工程造价管理机构发布的《北京工程造价信息》中的市场价格（以下简称造价信息价格）为依据确定基准价，造价信息价格中有上、下限的，以下限为准；《北京工程造价信息》市场价格信息中没有的，确定基准价的方法见合同条款专用部分。</w:t>
      </w:r>
    </w:p>
    <w:p w14:paraId="5B649D06">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（3）合同施工期市场价格的确定方法见合同条款专用部分。</w:t>
      </w:r>
    </w:p>
    <w:p w14:paraId="5AFC185F">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（4）物价波动变化幅度的计算方法：</w:t>
      </w:r>
    </w:p>
    <w:p w14:paraId="27343C93">
      <w:pPr>
        <w:widowControl/>
        <w:snapToGrid w:val="0"/>
        <w:spacing w:line="360" w:lineRule="auto"/>
        <w:ind w:left="210" w:leftChars="10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1）当承包人投标报价中的单价低于基准价时：</w:t>
      </w:r>
    </w:p>
    <w:p w14:paraId="0D3E3974">
      <w:pPr>
        <w:widowControl/>
        <w:snapToGrid w:val="0"/>
        <w:spacing w:line="360" w:lineRule="auto"/>
        <w:ind w:left="210" w:leftChars="10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物价波动变化幅度（涨幅）=（施工期市场价-基准价）/基准价×100%</w:t>
      </w:r>
    </w:p>
    <w:p w14:paraId="09DE84CC">
      <w:pPr>
        <w:widowControl/>
        <w:snapToGrid w:val="0"/>
        <w:spacing w:line="360" w:lineRule="auto"/>
        <w:ind w:left="210" w:leftChars="10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物价波动变化幅度（跌幅）=（施工期市场价-投标单价）/投标单价×100%</w:t>
      </w:r>
    </w:p>
    <w:p w14:paraId="11FD351D">
      <w:pPr>
        <w:widowControl/>
        <w:snapToGrid w:val="0"/>
        <w:spacing w:line="360" w:lineRule="auto"/>
        <w:ind w:left="210" w:leftChars="10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2）当承包人投标报价中的单价高于基准价时：</w:t>
      </w:r>
    </w:p>
    <w:p w14:paraId="2156A000">
      <w:pPr>
        <w:widowControl/>
        <w:snapToGrid w:val="0"/>
        <w:spacing w:line="360" w:lineRule="auto"/>
        <w:ind w:left="210" w:leftChars="10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物价波动变化幅度（涨幅）=（施工期市场价-投标单价）/投标单价×100%</w:t>
      </w:r>
    </w:p>
    <w:p w14:paraId="2EBFAE37">
      <w:pPr>
        <w:widowControl/>
        <w:snapToGrid w:val="0"/>
        <w:spacing w:line="360" w:lineRule="auto"/>
        <w:ind w:left="210" w:leftChars="10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物价波动变化幅度（跌幅）=（施工期市场价-基准价）/基准价×100%</w:t>
      </w:r>
    </w:p>
    <w:p w14:paraId="02C7601F">
      <w:pPr>
        <w:widowControl/>
        <w:snapToGrid w:val="0"/>
        <w:spacing w:line="360" w:lineRule="auto"/>
        <w:ind w:left="210" w:leftChars="10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3）当承包人投标报价中的单价等于基准价时：</w:t>
      </w:r>
    </w:p>
    <w:p w14:paraId="16FB7003">
      <w:pPr>
        <w:widowControl/>
        <w:snapToGrid w:val="0"/>
        <w:spacing w:line="360" w:lineRule="auto"/>
        <w:ind w:left="210" w:leftChars="10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物价波动变化幅度=（施工期市场价-基准价）/基准价×100%</w:t>
      </w:r>
    </w:p>
    <w:p w14:paraId="2289CDB7">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16.1.2.3  物价波动引起价格调整的方法</w:t>
      </w:r>
    </w:p>
    <w:p w14:paraId="5B3FDD40">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（1）第16.1.2.1目中约定的人工、材料、设备和机械台班的物价波动变化幅度超过风险幅度时，其计算价格调整差额的方法见合同条款专用部分。</w:t>
      </w:r>
    </w:p>
    <w:p w14:paraId="692BFEA4">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（2）第16.1.2.1目中约定的人工的物价波动变化幅度超过风险幅度时，应当计算全部价格差额，其价格差额由发包人承担或受益，其价格差额不计取规费，只计取税金。</w:t>
      </w:r>
    </w:p>
    <w:p w14:paraId="7B01078F">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（3）第16.1.2.1目中约定的材料、设备和机械台班的物价波动变化幅度超过风险幅度时，应当计算超过部分的价格差额，其价格差额由发包人承担或受益，其价格差额不计取规费，只计取税金。</w:t>
      </w:r>
    </w:p>
    <w:p w14:paraId="2438A5BF">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16.1.2.4  物价波动引起价格调整的其他约定见合同条款专用部分。</w:t>
      </w:r>
    </w:p>
    <w:p w14:paraId="2F0AABA4">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16.1.3  物价波动引起价格调整的其他方法见合同条款专用部分。</w:t>
      </w:r>
    </w:p>
    <w:p w14:paraId="4BBC817D">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278" w:name="_BookMark_209"/>
      <w:bookmarkEnd w:id="1278"/>
      <w:bookmarkStart w:id="1279" w:name="_Toc11089039"/>
      <w:bookmarkStart w:id="1280" w:name="_Toc14866797"/>
      <w:bookmarkStart w:id="1281" w:name="_Toc12337"/>
      <w:bookmarkStart w:id="1282" w:name="_Toc4661540"/>
      <w:r>
        <w:rPr>
          <w:rFonts w:hint="eastAsia" w:ascii="宋体" w:hAnsi="宋体" w:cs="宋体"/>
          <w:b w:val="0"/>
          <w:bCs w:val="0"/>
          <w:color w:val="auto"/>
          <w:sz w:val="21"/>
          <w:szCs w:val="21"/>
          <w:highlight w:val="none"/>
          <w:shd w:val="clear" w:color="auto" w:fill="FFFFFF"/>
        </w:rPr>
        <w:t>16.2  法律变化引起的价格调整</w:t>
      </w:r>
      <w:bookmarkEnd w:id="1279"/>
      <w:bookmarkEnd w:id="1280"/>
      <w:bookmarkEnd w:id="1281"/>
      <w:bookmarkEnd w:id="1282"/>
    </w:p>
    <w:p w14:paraId="3B6CE8A6">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在基准日后，因法律变化导致承包人在合同履行中所需要的工程费用发生除第16.1款约定以外的增减时，监理人应根据法律、国家或省、自治区、直辖市有关部门的规定，按第3.5款商定或确定需调整的合同价款。</w:t>
      </w:r>
    </w:p>
    <w:p w14:paraId="18E9C5F3">
      <w:pPr>
        <w:pStyle w:val="3"/>
        <w:keepNext w:val="0"/>
        <w:keepLines w:val="0"/>
        <w:widowControl/>
        <w:snapToGrid w:val="0"/>
        <w:spacing w:before="0" w:after="0" w:line="360" w:lineRule="auto"/>
        <w:ind w:left="210" w:leftChars="100"/>
        <w:jc w:val="left"/>
        <w:rPr>
          <w:rFonts w:ascii="宋体" w:hAnsi="宋体"/>
          <w:b w:val="0"/>
          <w:bCs w:val="0"/>
          <w:color w:val="auto"/>
          <w:sz w:val="21"/>
          <w:szCs w:val="21"/>
          <w:highlight w:val="none"/>
          <w:shd w:val="clear" w:color="auto" w:fill="FFFFFF"/>
        </w:rPr>
      </w:pPr>
      <w:bookmarkStart w:id="1283" w:name="_BookMark_210"/>
      <w:bookmarkEnd w:id="1283"/>
      <w:bookmarkStart w:id="1284" w:name="_Toc4661541"/>
      <w:bookmarkStart w:id="1285" w:name="_Toc11089040"/>
      <w:bookmarkStart w:id="1286" w:name="_Toc17265"/>
      <w:bookmarkStart w:id="1287" w:name="_Toc14866798"/>
      <w:r>
        <w:rPr>
          <w:rFonts w:hint="eastAsia" w:ascii="宋体" w:hAnsi="宋体"/>
          <w:b w:val="0"/>
          <w:bCs w:val="0"/>
          <w:color w:val="auto"/>
          <w:sz w:val="21"/>
          <w:szCs w:val="21"/>
          <w:highlight w:val="none"/>
          <w:shd w:val="clear" w:color="auto" w:fill="FFFFFF"/>
        </w:rPr>
        <w:t>17.计量与支付</w:t>
      </w:r>
      <w:bookmarkEnd w:id="1284"/>
      <w:bookmarkEnd w:id="1285"/>
      <w:bookmarkEnd w:id="1286"/>
      <w:bookmarkEnd w:id="1287"/>
    </w:p>
    <w:p w14:paraId="3A3DB7C3">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288" w:name="_BookMark_211"/>
      <w:bookmarkEnd w:id="1288"/>
      <w:bookmarkStart w:id="1289" w:name="_Toc12650"/>
      <w:bookmarkStart w:id="1290" w:name="_Toc11089041"/>
      <w:bookmarkStart w:id="1291" w:name="_Toc4661542"/>
      <w:bookmarkStart w:id="1292" w:name="_Toc14866799"/>
      <w:r>
        <w:rPr>
          <w:rFonts w:hint="eastAsia" w:ascii="宋体" w:hAnsi="宋体" w:cs="宋体"/>
          <w:b w:val="0"/>
          <w:bCs w:val="0"/>
          <w:color w:val="auto"/>
          <w:sz w:val="21"/>
          <w:szCs w:val="21"/>
          <w:highlight w:val="none"/>
          <w:shd w:val="clear" w:color="auto" w:fill="FFFFFF"/>
        </w:rPr>
        <w:t>17.1  计量</w:t>
      </w:r>
      <w:bookmarkEnd w:id="1289"/>
      <w:bookmarkEnd w:id="1290"/>
      <w:bookmarkEnd w:id="1291"/>
      <w:bookmarkEnd w:id="1292"/>
    </w:p>
    <w:p w14:paraId="495611B4">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17.1.1  计量单位</w:t>
      </w:r>
    </w:p>
    <w:p w14:paraId="463A859B">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计量采用国家法定的计量单位。</w:t>
      </w:r>
    </w:p>
    <w:p w14:paraId="3330AC60">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17.1.2  计量方法</w:t>
      </w:r>
    </w:p>
    <w:p w14:paraId="19C0E168">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工程量计算规则执行工程量清单中约定的计量计价规范版本。除合同另有约定外，承包人实际完成的工程量按约定的工程量计算规则和有合同约束力的图纸进行计量。</w:t>
      </w:r>
    </w:p>
    <w:p w14:paraId="06355426">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17.1.3  计量周期</w:t>
      </w:r>
    </w:p>
    <w:p w14:paraId="0132A34B">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（1）本合同的计量周期为月，当月计量截止日期（不含当日）和下月计量起始日期（含当日）见合同条款专用部分。</w:t>
      </w:r>
    </w:p>
    <w:p w14:paraId="79DA0F50">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（2）单价子目已完成工程量是否按月计量见合同条款专用部分。</w:t>
      </w:r>
    </w:p>
    <w:p w14:paraId="6A09CAF0">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（3）总价子目计量方法见合同条款专用部分。</w:t>
      </w:r>
    </w:p>
    <w:p w14:paraId="6E7493F2">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17.1.4  单价子目的计量</w:t>
      </w:r>
    </w:p>
    <w:p w14:paraId="2B810770">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（1）已标价工程量清单中的单价子目工程量为估算工程量。结算工程量是承包人实际完成的，并按合同约定的计量方法进行计量的工程量。</w:t>
      </w:r>
    </w:p>
    <w:p w14:paraId="4624F845">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（2）承包人对已完成的工程进行计量，向监理人提交进度付款申请单、已完成工程量报表和有关计量资料。</w:t>
      </w:r>
    </w:p>
    <w:p w14:paraId="4B434B73">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p>
    <w:p w14:paraId="42DF9E4E">
      <w:pPr>
        <w:widowControl/>
        <w:snapToGrid w:val="0"/>
        <w:spacing w:line="360" w:lineRule="auto"/>
        <w:ind w:left="210" w:leftChars="100" w:firstLine="428"/>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（4）监理人认为有必要时，可通知承包人共同进行联合测量、计量，承包人应遵照执行。</w:t>
      </w:r>
    </w:p>
    <w:p w14:paraId="4D21AB76">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p>
    <w:p w14:paraId="5E2AB3AF">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（6）监理人应在收到承包人提交的工程量报表后的7天内进行复核，监理人未在约定时间内复核的，承包人提交的工程量报表中的工程量视为承包人实际完成的工程量，据此计算工程价款。</w:t>
      </w:r>
    </w:p>
    <w:p w14:paraId="4CA44747">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17.1.</w:t>
      </w:r>
      <w:r>
        <w:rPr>
          <w:rFonts w:hint="eastAsia" w:ascii="宋体" w:hAnsi="宋体" w:cs="宋体"/>
          <w:color w:val="auto"/>
          <w:kern w:val="0"/>
          <w:szCs w:val="21"/>
          <w:highlight w:val="none"/>
          <w:shd w:val="clear" w:color="auto" w:fill="FFFFFF"/>
          <w:lang w:val="en-US" w:eastAsia="zh-CN"/>
        </w:rPr>
        <w:t>5</w:t>
      </w:r>
      <w:r>
        <w:rPr>
          <w:rFonts w:hint="eastAsia" w:ascii="宋体" w:hAnsi="宋体" w:cs="宋体"/>
          <w:color w:val="auto"/>
          <w:kern w:val="0"/>
          <w:szCs w:val="21"/>
          <w:highlight w:val="none"/>
          <w:shd w:val="clear" w:color="auto" w:fill="FFFFFF"/>
        </w:rPr>
        <w:t xml:space="preserve">  总价子目的计量（适用于采用支付分解报告）</w:t>
      </w:r>
    </w:p>
    <w:p w14:paraId="414B99C3">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总价子目按照有合同约束力的支付分解表支付。承包人应根据合同条款第10条约定的合同进度计划和总价子目的总价构成、费用性质、计划发生时间和相应工作量等因素对各个总价子目的总价按月进行分解，形成支付分解报告。承包人应当在收到经过监理人批复的合同进度计划后7天内，将支付分解报告以及形成支付分解报告的分项计量和总价分解等支持性资料报监理人审批，监理人应当在收到承包人报送的支付分解报告后7天内给予批复或提出修改意见，经监理人批准的支付分解报告为有合同约束力的支付分解表。支付分解表应根据合同条款第10.2款约定的修订合同进度计划进行修正，修正的程序和期限应当依照本项上述约定，经修正的支付分解表为有合同约束力的支付分解表。</w:t>
      </w:r>
    </w:p>
    <w:p w14:paraId="2AF81E64">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（1）总价子目的价格调整方法见合同条款专用部分。</w:t>
      </w:r>
    </w:p>
    <w:p w14:paraId="76111CD0">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（2）列入每月进度付款申请单中各总价子目的价值为有合同约束力的支付分解表中对应月份的总价子目总价值。</w:t>
      </w:r>
    </w:p>
    <w:p w14:paraId="3E3C5C61">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（3）监理人根据有合同约束力的支付分解表复核列入每月进度付款申请单中的总价子目的总价值。</w:t>
      </w:r>
    </w:p>
    <w:p w14:paraId="6E5335D6">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（4）除按照第15条约定的变更外，在竣工结算时总价子目的工程量不应当重新计量，签约合同价所基于的工程量即是用于竣工结算的最终工程量。</w:t>
      </w:r>
    </w:p>
    <w:p w14:paraId="27CA5F1F">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17.1.</w:t>
      </w:r>
      <w:r>
        <w:rPr>
          <w:rFonts w:hint="eastAsia" w:ascii="宋体" w:hAnsi="宋体" w:cs="宋体"/>
          <w:color w:val="auto"/>
          <w:kern w:val="0"/>
          <w:szCs w:val="21"/>
          <w:highlight w:val="none"/>
          <w:shd w:val="clear" w:color="auto" w:fill="FFFFFF"/>
          <w:lang w:val="en-US" w:eastAsia="zh-CN"/>
        </w:rPr>
        <w:t>6</w:t>
      </w:r>
      <w:r>
        <w:rPr>
          <w:rFonts w:hint="eastAsia" w:ascii="宋体" w:hAnsi="宋体" w:cs="宋体"/>
          <w:color w:val="auto"/>
          <w:kern w:val="0"/>
          <w:szCs w:val="21"/>
          <w:highlight w:val="none"/>
          <w:shd w:val="clear" w:color="auto" w:fill="FFFFFF"/>
        </w:rPr>
        <w:t xml:space="preserve">  总价子目的计量（适用于采用按实际完成工程量计量）</w:t>
      </w:r>
    </w:p>
    <w:p w14:paraId="459B7454">
      <w:pPr>
        <w:widowControl/>
        <w:snapToGrid w:val="0"/>
        <w:spacing w:line="360" w:lineRule="auto"/>
        <w:ind w:left="210" w:leftChars="100" w:firstLine="428"/>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（1）总价子目的计量和支付应以总价为基础，对承包人实际完成的工程量进行计量，是进行工程目标管理和控制进度款支付的依据。总价子目的价格调整方法见合同条款专用部分。</w:t>
      </w:r>
    </w:p>
    <w:p w14:paraId="683C77BE">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承包人在合同条款专用部分第17.1.3（1）目约定的每月计量截止日期后，对已完成的分部分项工程和单价措施项目的子目，按照合同条款专用部分第17.1.2项约定的计量方法进行计量，对已完成的总价措施项目的相关子目，按其总价构成、费用性质和实际发生比例进行计量，向监理人提交进度付款申请单、已完成工程量报表和有关计量资料。</w:t>
      </w:r>
    </w:p>
    <w:p w14:paraId="4B96C08C">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3）监理人对承包人提交的工程量报表进行复核，以确定实际完成的工程量。对数量有异议的，可要求承包人进行共同复核。承包人应协助监理人进行复核并按监理人要求提供补充计量资料。承包人未按监理人要求参加复核，监理人复核或修正的工程量视为承包人实际完成的工程量。</w:t>
      </w:r>
    </w:p>
    <w:p w14:paraId="429DB838">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（4）监理人应在收到承包人提交的工程量报表后的7天内进行复核，监理人未在约定时间内复核的，承包人提交的工程量报表中的工程量视为承包人实际完成的工程量，据此计算工程价款。</w:t>
      </w:r>
    </w:p>
    <w:p w14:paraId="5B7971A1">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（5）除按照第15条约定的变更外，在竣工结算时总价子目的工程量不应当重新计量，签约合同价所基于的工程量即是用于竣工结算的最终工程量。</w:t>
      </w:r>
    </w:p>
    <w:p w14:paraId="1E050077">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293" w:name="_BookMark_212"/>
      <w:bookmarkEnd w:id="1293"/>
      <w:bookmarkStart w:id="1294" w:name="_Toc11089042"/>
      <w:bookmarkStart w:id="1295" w:name="_Toc30598"/>
      <w:bookmarkStart w:id="1296" w:name="_Toc14866800"/>
      <w:bookmarkStart w:id="1297" w:name="_Toc4661543"/>
      <w:r>
        <w:rPr>
          <w:rFonts w:hint="eastAsia" w:ascii="宋体" w:hAnsi="宋体" w:cs="宋体"/>
          <w:b w:val="0"/>
          <w:bCs w:val="0"/>
          <w:color w:val="auto"/>
          <w:sz w:val="21"/>
          <w:szCs w:val="21"/>
          <w:highlight w:val="none"/>
          <w:shd w:val="clear" w:color="auto" w:fill="FFFFFF"/>
        </w:rPr>
        <w:t>17.2  预付款</w:t>
      </w:r>
      <w:bookmarkEnd w:id="1294"/>
      <w:bookmarkEnd w:id="1295"/>
      <w:bookmarkEnd w:id="1296"/>
      <w:bookmarkEnd w:id="1297"/>
    </w:p>
    <w:p w14:paraId="27347AFD">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17.2.1  预付款</w:t>
      </w:r>
    </w:p>
    <w:p w14:paraId="46CE3074">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预付款用于承包人为合同工程施工购置材料、工程设备、施工设备、修建临时设施以及组织施工队伍进场等。预付款必须专用于合同工程。预付款的额度和预付办法以及支付时间见合同条款专用部分。</w:t>
      </w:r>
    </w:p>
    <w:p w14:paraId="55B9FDF0">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安全文明施工费用的预付不受上述预付办法和支付时间约定的制约，发包人应当在不迟于第11.1.1项约定的开工日期前的7天内将安全文明施工费用的预付款一次性拨付给承包人。安全文明施工费用预付款额度见合同条款专用部分。</w:t>
      </w:r>
    </w:p>
    <w:p w14:paraId="628EB560">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其他预付款约定见合同条款专用部分。</w:t>
      </w:r>
    </w:p>
    <w:p w14:paraId="246E4D70">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发包人逾期支付合同约定的预付款，除承担第22.2款约定的违约责任外，还应向承包人支付按第17.3.3(2)目约定的标准和方法计算的逾期付款违约金。</w:t>
      </w:r>
    </w:p>
    <w:p w14:paraId="74EFEDEC">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17.2.2  预付款的扣回与还清</w:t>
      </w:r>
    </w:p>
    <w:p w14:paraId="13C2AA2B">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预付款在进度付款中按照合同约定扣回。在颁发工程接收证书前，由于不可抗力或其他原因解除合同时，预付款尚未扣清的，尚未扣清的预付款余额应作为承包人的到期应付款。预付款扣回办法见合同条款专用部分。</w:t>
      </w:r>
    </w:p>
    <w:p w14:paraId="33944295">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298" w:name="_BookMark_213"/>
      <w:bookmarkEnd w:id="1298"/>
      <w:bookmarkStart w:id="1299" w:name="_Toc14866801"/>
      <w:bookmarkStart w:id="1300" w:name="_Toc8074"/>
      <w:bookmarkStart w:id="1301" w:name="_Toc11089043"/>
      <w:bookmarkStart w:id="1302" w:name="_Toc4661544"/>
      <w:r>
        <w:rPr>
          <w:rFonts w:hint="eastAsia" w:ascii="宋体" w:hAnsi="宋体" w:cs="宋体"/>
          <w:b w:val="0"/>
          <w:bCs w:val="0"/>
          <w:color w:val="auto"/>
          <w:sz w:val="21"/>
          <w:szCs w:val="21"/>
          <w:highlight w:val="none"/>
          <w:shd w:val="clear" w:color="auto" w:fill="FFFFFF"/>
        </w:rPr>
        <w:t>17.3  工程进度付款</w:t>
      </w:r>
      <w:bookmarkEnd w:id="1299"/>
      <w:bookmarkEnd w:id="1300"/>
      <w:bookmarkEnd w:id="1301"/>
      <w:bookmarkEnd w:id="1302"/>
    </w:p>
    <w:p w14:paraId="744B64C8">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17.3.1  付款周期</w:t>
      </w:r>
    </w:p>
    <w:p w14:paraId="762207B7">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付款周期同计量周期。</w:t>
      </w:r>
    </w:p>
    <w:p w14:paraId="0FA6CBE1">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17.3.2  进度付款申请单</w:t>
      </w:r>
    </w:p>
    <w:p w14:paraId="09E18D21">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承包人应在每个付款周期末，按监理人批准的格式和合同约定的份数，向监理人提交进度付款申请单，并附相应的支持性证明文件。承包人提交进度付款申请单份数见合同条款专用部分。</w:t>
      </w:r>
    </w:p>
    <w:p w14:paraId="4AFB3FDB">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承包人报送监理人的进度付款申请单应包括下列内容：</w:t>
      </w:r>
    </w:p>
    <w:p w14:paraId="1EEB6F63">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（1）截至本次付款周期末已实施工程的价款；</w:t>
      </w:r>
    </w:p>
    <w:p w14:paraId="42088E94">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（2）根据第15条应增加和扣减的变更金额；</w:t>
      </w:r>
    </w:p>
    <w:p w14:paraId="7D746374">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（3）根据第23条应增加和扣减的索赔金额；</w:t>
      </w:r>
    </w:p>
    <w:p w14:paraId="492A4186">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（4）根据第17.2款约定应支付的预付款和扣减的返还预付款；</w:t>
      </w:r>
    </w:p>
    <w:p w14:paraId="42F0532C">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（5）根据第17.4.1项约定应扣减的质量保证金；</w:t>
      </w:r>
    </w:p>
    <w:p w14:paraId="261F2B12">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（6）根据合同应增加和（或）扣减的其他内容金额见合同条款专用部分。</w:t>
      </w:r>
    </w:p>
    <w:p w14:paraId="793D7109">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17.3.3  进度付款证书和支付时间</w:t>
      </w:r>
    </w:p>
    <w:p w14:paraId="4FCD0357">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p>
    <w:p w14:paraId="5B8CD8B4">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发包人应在监理人收到进度付款申请单后的28天内，将进度应付款支付给承包人。发包人未按第17.2.1(2)目、第17.3.3(2)目、第17.5.2(2)目和第17.6.2(2)目约定的期限支付承包人依合同约定应当得到的款项，应当从应付之日起按照合同约定的计算标准和计算方法向承包人支付逾期付款违约金。承包人应当按第23.1（1）目的约定，在最终付款期限到期后28天内，向监理人递交索赔意向通知书,说明有权得到按本款约定的标准和方法计算的逾期付款违约金。承包人要求发包人支付逾期付款违约金不影响承包人要求发包人承担第22.2款约定的其他违约责任的权利。逾期付款违约金计算标准和计算方法见合同条款专用部分。</w:t>
      </w:r>
    </w:p>
    <w:p w14:paraId="7EFB84FA">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（3）监理人出具进度付款证书，不应视为监理人已同意、批准或接受了承包人完成的该部分工作。</w:t>
      </w:r>
    </w:p>
    <w:p w14:paraId="00A45E86">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（4）进度付款涉及政府投资资金的，按照国库集中支付等国家相关规定和合同约定办理。进度付款涉及政府性资金的支付方法见合同条款专用部分。</w:t>
      </w:r>
    </w:p>
    <w:p w14:paraId="43ECA6C6">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17.3.4  工程进度付款的修正</w:t>
      </w:r>
    </w:p>
    <w:p w14:paraId="7E56B0F8">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在对以往历次已签发的进度付款证书进行汇总和复核中发现错、漏或重复的，监理人有权予以修正，承包人也有权提出修正申请。经双方复核同意的修正，应在本次进度付款中支付或扣除。</w:t>
      </w:r>
    </w:p>
    <w:p w14:paraId="7019FA8A">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17.3.5  临时付款证书</w:t>
      </w:r>
    </w:p>
    <w:p w14:paraId="6E669CA8">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在合同约定的期限内，承包人和监理人无法对当期已完工程量和按合同约定应当支付的其他款项达成一致的，监理人应当在收到承包人报送的进度付款申请单等文件后14天内，就与承包人达成一致意见的金额编制临时付款证书，报送发包人审查。临时付款证书中应当说明承包人有异议部分的金额及其原因，经发包人签字确认后，由监理人向承包人出具临时付款证书。发包人应当在监理人收到进度付款申请单后28天内，将临时付款证书中确定的应付金额支付给承包人。发包人和监理人均不得以任何理由延期支付工程进度付款。</w:t>
      </w:r>
    </w:p>
    <w:p w14:paraId="6DBED3D7">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对临时付款证书中承包人有异议部分的金额，承包人应当按照监理人要求，提交进一步的支持性文件，经监理人进一步审核并认可的应付金额，应当按第17.3.4项的约定</w:t>
      </w:r>
      <w:r>
        <w:rPr>
          <w:rFonts w:hint="eastAsia" w:ascii="宋体" w:hAnsi="宋体" w:cs="宋体"/>
          <w:color w:val="auto"/>
          <w:kern w:val="0"/>
          <w:szCs w:val="21"/>
          <w:highlight w:val="none"/>
          <w:shd w:val="clear" w:color="auto" w:fill="FFFFFF"/>
          <w:lang w:eastAsia="zh-CN"/>
        </w:rPr>
        <w:t>纳入</w:t>
      </w:r>
      <w:r>
        <w:rPr>
          <w:rFonts w:hint="eastAsia" w:ascii="宋体" w:hAnsi="宋体" w:cs="宋体"/>
          <w:color w:val="auto"/>
          <w:kern w:val="0"/>
          <w:szCs w:val="21"/>
          <w:highlight w:val="none"/>
          <w:shd w:val="clear" w:color="auto" w:fill="FFFFFF"/>
        </w:rPr>
        <w:t>下一期进度付款证书中。经过进一步努力，承包人仍有异议的，按合同条款第24条的约定办理。</w:t>
      </w:r>
    </w:p>
    <w:p w14:paraId="2E754DBA">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有异议款项中经监理人进一步审核后认可的，或者经过合同条款第24条约定的争议解决方式确定的应付金额，其应付之日为引发异议的进度付款证书的应付之日，承包人有权得到按第17.3.3（2）目约定计算的逾期付款违约金。</w:t>
      </w:r>
    </w:p>
    <w:p w14:paraId="1E9D9755">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303" w:name="_BookMark_214"/>
      <w:bookmarkEnd w:id="1303"/>
      <w:bookmarkStart w:id="1304" w:name="_Toc31012"/>
      <w:bookmarkStart w:id="1305" w:name="_Toc11089044"/>
      <w:bookmarkStart w:id="1306" w:name="_Toc4661545"/>
      <w:bookmarkStart w:id="1307" w:name="_Toc14866802"/>
      <w:r>
        <w:rPr>
          <w:rFonts w:hint="eastAsia" w:ascii="宋体" w:hAnsi="宋体" w:cs="宋体"/>
          <w:b w:val="0"/>
          <w:bCs w:val="0"/>
          <w:color w:val="auto"/>
          <w:sz w:val="21"/>
          <w:szCs w:val="21"/>
          <w:highlight w:val="none"/>
          <w:shd w:val="clear" w:color="auto" w:fill="FFFFFF"/>
        </w:rPr>
        <w:t>17.4  质量保证金</w:t>
      </w:r>
      <w:bookmarkEnd w:id="1304"/>
      <w:bookmarkEnd w:id="1305"/>
      <w:bookmarkEnd w:id="1306"/>
      <w:bookmarkEnd w:id="1307"/>
    </w:p>
    <w:p w14:paraId="5EB63367">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17.4.1  质量保证金处理</w:t>
      </w:r>
    </w:p>
    <w:p w14:paraId="45949C16">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合同条款专用部分第4.2.1项约定不提交履约担保，采用扣留质量保证金的，质量保证金由监理人从第一个付款周期开始按进度付款证书确认的已实施工程的价款、根据合同条款第15条增加和扣减的变更金额、根据合同条款第23条增加和扣减的索赔金额以及根据合同应增加和扣减的其他金额（不包括预付款的支付、返还、合同条款第16条约定的价格调整金额、此前已经按合同约定支付给承包人的进度款以及已经扣留的质量保证金）的总额的约定比例扣留，直至质量保证金累计扣留金额达到竣工结算合同总价的约定比例为止；</w:t>
      </w:r>
    </w:p>
    <w:p w14:paraId="42691207">
      <w:pPr>
        <w:widowControl/>
        <w:snapToGrid w:val="0"/>
        <w:spacing w:line="360" w:lineRule="auto"/>
        <w:ind w:left="210" w:leftChars="10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采用质量保证金保函担保形式的，工程竣工前，不得扣留质量保证金。</w:t>
      </w:r>
    </w:p>
    <w:p w14:paraId="5B130A1E">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（2）合同条款专用部分第4.2.1项约定提交履约担保，采用扣留质量保证金的，在第17.5款竣工结算中，应当按照竣工结算合同总价约定的比例扣留质量保证金，</w:t>
      </w:r>
      <w:r>
        <w:rPr>
          <w:rFonts w:hint="eastAsia" w:ascii="宋体" w:hAnsi="宋体" w:cs="宋体"/>
          <w:color w:val="auto"/>
          <w:kern w:val="0"/>
          <w:szCs w:val="21"/>
          <w:highlight w:val="none"/>
          <w:shd w:val="clear" w:color="auto" w:fill="FFFFFF"/>
          <w:lang w:eastAsia="zh-CN"/>
        </w:rPr>
        <w:t>应当</w:t>
      </w:r>
      <w:r>
        <w:rPr>
          <w:rFonts w:hint="eastAsia" w:ascii="宋体" w:hAnsi="宋体" w:cs="宋体"/>
          <w:color w:val="auto"/>
          <w:kern w:val="0"/>
          <w:szCs w:val="21"/>
          <w:highlight w:val="none"/>
          <w:shd w:val="clear" w:color="auto" w:fill="FFFFFF"/>
        </w:rPr>
        <w:t>支付的竣工付款金额不足应扣留的质量保证金金额时，承包人应</w:t>
      </w:r>
      <w:r>
        <w:rPr>
          <w:rFonts w:hint="eastAsia" w:ascii="宋体" w:hAnsi="宋体" w:cs="宋体"/>
          <w:color w:val="auto"/>
          <w:kern w:val="0"/>
          <w:szCs w:val="21"/>
          <w:highlight w:val="none"/>
          <w:shd w:val="clear" w:color="auto" w:fill="FFFFFF"/>
          <w:lang w:eastAsia="zh-CN"/>
        </w:rPr>
        <w:t>返还</w:t>
      </w:r>
      <w:r>
        <w:rPr>
          <w:rFonts w:hint="eastAsia" w:ascii="宋体" w:hAnsi="宋体" w:cs="宋体"/>
          <w:color w:val="auto"/>
          <w:kern w:val="0"/>
          <w:szCs w:val="21"/>
          <w:highlight w:val="none"/>
          <w:shd w:val="clear" w:color="auto" w:fill="FFFFFF"/>
        </w:rPr>
        <w:t>差额部分；采用质量保证金保函担保形式的，工程竣工前，不得扣留质量保证金；</w:t>
      </w:r>
    </w:p>
    <w:p w14:paraId="301F4111">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（3）质量保证金的形式与约定比例见合同条款专用部分。</w:t>
      </w:r>
    </w:p>
    <w:p w14:paraId="7114D644">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17.4.2  在第1.1.4.5目约定的缺陷责任期满时，承包人向发包人申请到期应返还承包人剩余的质量保证金金额或退还保函担保，发包人应在14天内会同承包人按照合同约定的内容核实承包人是否完成缺陷责任。如无异议，发包人应当在核实后将剩余保证金返还承包人或将其保函退还承包人。</w:t>
      </w:r>
    </w:p>
    <w:p w14:paraId="20C90F8B">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17.4.3  在第1.1.4.5目约定的缺陷责任期满时，承包人没有完成缺陷责任的，发包人有权扣留与未履行责任剩余工作所需金额相应的质量保证金余额或依据其保函担保约定追究责任，并有权根据第19.3款约定要求延长缺陷责任期，直至完成剩余工作为止。</w:t>
      </w:r>
    </w:p>
    <w:p w14:paraId="4FB53650">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308" w:name="_BookMark_215"/>
      <w:bookmarkEnd w:id="1308"/>
      <w:bookmarkStart w:id="1309" w:name="_Toc11089045"/>
      <w:bookmarkStart w:id="1310" w:name="_Toc14866803"/>
      <w:bookmarkStart w:id="1311" w:name="_Toc4661546"/>
      <w:bookmarkStart w:id="1312" w:name="_Toc30035"/>
      <w:r>
        <w:rPr>
          <w:rFonts w:hint="eastAsia" w:ascii="宋体" w:hAnsi="宋体" w:cs="宋体"/>
          <w:b w:val="0"/>
          <w:bCs w:val="0"/>
          <w:color w:val="auto"/>
          <w:sz w:val="21"/>
          <w:szCs w:val="21"/>
          <w:highlight w:val="none"/>
          <w:shd w:val="clear" w:color="auto" w:fill="FFFFFF"/>
        </w:rPr>
        <w:t>17.5  竣工结算</w:t>
      </w:r>
      <w:bookmarkEnd w:id="1309"/>
      <w:bookmarkEnd w:id="1310"/>
      <w:bookmarkEnd w:id="1311"/>
      <w:bookmarkEnd w:id="1312"/>
    </w:p>
    <w:p w14:paraId="7C421283">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17.5.1  竣工付款申请单</w:t>
      </w:r>
    </w:p>
    <w:p w14:paraId="30388C55">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（1）工程接收证书颁发后，承包人应按合同约定的份数和期限向监理人提交竣工付款申请单，并提供相关证明材料。承包人提交竣工付款申请单份数和期限见合同条款专用部分。</w:t>
      </w:r>
    </w:p>
    <w:p w14:paraId="106EB563">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竣工付款申请单应包括下列内容：竣工结算合同总价、发包人已支付承包人的工程价款、应扣留的质量保证金、应支付的竣工付款金额和应支付或扣减的其他内容金额。竣工付款申请单的其他内容见合同条款专用部分。</w:t>
      </w:r>
    </w:p>
    <w:p w14:paraId="5C92F1DF">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（3）监理人对竣工付款申请单有异议的，有权要求承包人进行修正和提供补充资料。经监理人和承包人协商后，由承包人向监理人提交修正后的竣工付款申请单。</w:t>
      </w:r>
    </w:p>
    <w:p w14:paraId="63B9E0D3">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4）承包人未按本项约定的期限和内容提交竣工付款申请单或者未按第17.5.1（3)目约定提交修正后的竣工付款申请单，经监理人催促后14天内仍未提交或者没有明确答复的，监理人和发包人有权根据已有资料进行审查，审查确定的竣工结算合同总价和竣工付款金额视同是经承包人认可的工程竣工结算合同总价和竣工付款金额。</w:t>
      </w:r>
    </w:p>
    <w:p w14:paraId="2B85631D">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17.5.2  竣工付款证书及支付时间</w:t>
      </w:r>
    </w:p>
    <w:p w14:paraId="6CBE7A32">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监理人在收到承包人提交的竣工付款申请单后的14天内完成审核，并提出发包人到期应支付给承包人的价款等审核意见，报送发包人审核。发包人应在收到后14天内审核完毕，由监理人向承包人出具经发包人签字确认的竣工付款证书。监理人未在约定时间内提出具体意见的，视为承包人提交的竣工付款申请单已经监理人核查同意；发包人未在约定时间内提出具体意见的，监理人提出发包人到期应支付给承包人的价款视为已经发包人同意。</w:t>
      </w:r>
    </w:p>
    <w:p w14:paraId="47CBC538">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（2）发包人应在监理人出具竣工付款证书后的14天内，将应支付款支付给承包人。发包人不按期支付的，按第17.3.3（2）目的约定，将逾期付款违约金支付给承包人。</w:t>
      </w:r>
    </w:p>
    <w:p w14:paraId="774EACF2">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（3）承包人对发包人签认的竣工付款证书有异议的，发包人可出具竣工付款申请单中与承包人达成一致意见部分的临时付款证书。存在争议的部分，按第24条“争议的解决”的约定办理。</w:t>
      </w:r>
    </w:p>
    <w:p w14:paraId="0792BB95">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（4）竣工付款涉及政府投资资金的，按第17.3.3（4）目的约定办理。</w:t>
      </w:r>
    </w:p>
    <w:p w14:paraId="585F9EED">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17.5.3  除第17.5.4项约定的情况外，发包人和承包人应当在监理人颁发（出具）工程接收证书后56天内办清竣工结算和竣工付款。</w:t>
      </w:r>
    </w:p>
    <w:p w14:paraId="63F63DE2">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17.5.4  政府投资或者以政府投资为主的建设项目纳入审计项目计划的，发包人和承包人均负有配合、接受审计机关审计的义务，竣工结算应当依据审计结论，办清竣工结算和竣工付款的时间按照相关规定执行。</w:t>
      </w:r>
    </w:p>
    <w:p w14:paraId="1BBF9C8D">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313" w:name="_BookMark_216"/>
      <w:bookmarkEnd w:id="1313"/>
      <w:bookmarkStart w:id="1314" w:name="_Toc14866804"/>
      <w:bookmarkStart w:id="1315" w:name="_Toc11266"/>
      <w:bookmarkStart w:id="1316" w:name="_Toc11089046"/>
      <w:bookmarkStart w:id="1317" w:name="_Toc4661547"/>
      <w:r>
        <w:rPr>
          <w:rFonts w:hint="eastAsia" w:ascii="宋体" w:hAnsi="宋体" w:cs="宋体"/>
          <w:b w:val="0"/>
          <w:bCs w:val="0"/>
          <w:color w:val="auto"/>
          <w:sz w:val="21"/>
          <w:szCs w:val="21"/>
          <w:highlight w:val="none"/>
          <w:shd w:val="clear" w:color="auto" w:fill="FFFFFF"/>
        </w:rPr>
        <w:t>17.6  最终结清</w:t>
      </w:r>
      <w:bookmarkEnd w:id="1314"/>
      <w:bookmarkEnd w:id="1315"/>
      <w:bookmarkEnd w:id="1316"/>
      <w:bookmarkEnd w:id="1317"/>
    </w:p>
    <w:p w14:paraId="6721FB00">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17.6.1  最终结清申请单</w:t>
      </w:r>
    </w:p>
    <w:p w14:paraId="14456F8B">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（1）缺陷责任期终止证书签发后，承包人可按合同约定的份数和期限向监理人提交最终结清申请单，并提供相关证明材料。承包人提交最终结清申请单的份数和期限见合同条款专用部分。</w:t>
      </w:r>
    </w:p>
    <w:p w14:paraId="6F0D4CF0">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发包人向承包人支付质量保证金利息的，承包人应按照约定的利息计算方法计算利息，并列入最终结清申请单中。是否支付质量保证金利息及利息计算方法见合同条款专用部分。</w:t>
      </w:r>
    </w:p>
    <w:p w14:paraId="26CC077E">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（2）发包人对最终结清申请单内容有异议的，有权要求承包人进行修正和提供补充资料，由承包人向监理人提交修正后的最终结清申请单。</w:t>
      </w:r>
    </w:p>
    <w:p w14:paraId="6E5608E8">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17.6.2  最终结清证书和支付时间</w:t>
      </w:r>
    </w:p>
    <w:p w14:paraId="0DB35058">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监理人收到承包人提交的最终结清申请单后的14天内，提出发包人应支付给承包人的价款等审核意见，并报送发包人审核。发包人应在收到后14天内审核完毕，由监理人向承包人出具经发包人签认的最终结清证书。监理人未在约定时间内提出具体意见的，视为承包人提交的最终结清申请已经监理人核查同意；发包人未在约定时间内提出具体意见的，监理人提出应支付给承包人的价款视为已经发包人同意。</w:t>
      </w:r>
    </w:p>
    <w:p w14:paraId="5502395D">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（2）发包人应在监理人出具最终结清证书后的14天内，将应支付款支付给承包人。发包人不按期支付的，按第17.3.3（2）目的约定，将逾期付款违约金支付给承包人。</w:t>
      </w:r>
    </w:p>
    <w:p w14:paraId="464B0192">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（3）承包人对发包人签认的最终结清证书有异议的，按第24条“争议的解决”的约定办理。</w:t>
      </w:r>
    </w:p>
    <w:p w14:paraId="6DED5371">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（4）最终结清付款涉及政府投资资金的，按第17.3.3（4）目的约定办理。</w:t>
      </w:r>
    </w:p>
    <w:p w14:paraId="1455995B">
      <w:pPr>
        <w:pStyle w:val="3"/>
        <w:keepNext w:val="0"/>
        <w:keepLines w:val="0"/>
        <w:widowControl/>
        <w:snapToGrid w:val="0"/>
        <w:spacing w:before="0" w:after="0" w:line="360" w:lineRule="auto"/>
        <w:ind w:left="210" w:leftChars="100"/>
        <w:jc w:val="left"/>
        <w:rPr>
          <w:rFonts w:ascii="宋体" w:hAnsi="宋体"/>
          <w:b w:val="0"/>
          <w:bCs w:val="0"/>
          <w:color w:val="auto"/>
          <w:sz w:val="21"/>
          <w:szCs w:val="21"/>
          <w:highlight w:val="none"/>
          <w:shd w:val="clear" w:color="auto" w:fill="FFFFFF"/>
        </w:rPr>
      </w:pPr>
      <w:bookmarkStart w:id="1318" w:name="_BookMark_217"/>
      <w:bookmarkEnd w:id="1318"/>
      <w:bookmarkStart w:id="1319" w:name="_Toc11089047"/>
      <w:bookmarkStart w:id="1320" w:name="_Toc29614"/>
      <w:bookmarkStart w:id="1321" w:name="_Toc4661548"/>
      <w:bookmarkStart w:id="1322" w:name="_Toc14866805"/>
      <w:r>
        <w:rPr>
          <w:rFonts w:hint="eastAsia" w:ascii="宋体" w:hAnsi="宋体"/>
          <w:b w:val="0"/>
          <w:bCs w:val="0"/>
          <w:color w:val="auto"/>
          <w:sz w:val="21"/>
          <w:szCs w:val="21"/>
          <w:highlight w:val="none"/>
          <w:shd w:val="clear" w:color="auto" w:fill="FFFFFF"/>
        </w:rPr>
        <w:t>18.竣工验收</w:t>
      </w:r>
      <w:bookmarkEnd w:id="1319"/>
      <w:bookmarkEnd w:id="1320"/>
      <w:bookmarkEnd w:id="1321"/>
      <w:bookmarkEnd w:id="1322"/>
    </w:p>
    <w:p w14:paraId="1E5E2FA3">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323" w:name="_BookMark_218"/>
      <w:bookmarkEnd w:id="1323"/>
      <w:bookmarkStart w:id="1324" w:name="_Toc11089048"/>
      <w:bookmarkStart w:id="1325" w:name="_Toc4661549"/>
      <w:bookmarkStart w:id="1326" w:name="_Toc20780"/>
      <w:bookmarkStart w:id="1327" w:name="_Toc14866806"/>
      <w:r>
        <w:rPr>
          <w:rFonts w:hint="eastAsia" w:ascii="宋体" w:hAnsi="宋体" w:cs="宋体"/>
          <w:b w:val="0"/>
          <w:bCs w:val="0"/>
          <w:color w:val="auto"/>
          <w:sz w:val="21"/>
          <w:szCs w:val="21"/>
          <w:highlight w:val="none"/>
          <w:shd w:val="clear" w:color="auto" w:fill="FFFFFF"/>
        </w:rPr>
        <w:t>18.1  竣工验收的含义</w:t>
      </w:r>
      <w:bookmarkEnd w:id="1324"/>
      <w:bookmarkEnd w:id="1325"/>
      <w:bookmarkEnd w:id="1326"/>
      <w:bookmarkEnd w:id="1327"/>
    </w:p>
    <w:p w14:paraId="2CC21549">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18.1.1  竣工验收指承包人完成了全部合同工作后，发包人按合同要求进行的验收。</w:t>
      </w:r>
    </w:p>
    <w:p w14:paraId="6009AC07">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18.1.2  国家验收是政府有关部门根据法律、规范、规程和政策要求，针对发包人全面组织实施的整个工程正式交付投运前的验收。</w:t>
      </w:r>
    </w:p>
    <w:p w14:paraId="1CDADE8E">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 xml:space="preserve">18.1.3  需要进行国家验收的，竣工验收是国家验收的一部分。竣工验收所采用的各项验收和评定标准应符合国家验收标准。发包人和承包人为竣工验收提供的各项竣工验收资料应符合国家验收的要求。 </w:t>
      </w:r>
    </w:p>
    <w:p w14:paraId="719BA611">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328" w:name="_BookMark_219"/>
      <w:bookmarkEnd w:id="1328"/>
      <w:bookmarkStart w:id="1329" w:name="_Toc4661550"/>
      <w:bookmarkStart w:id="1330" w:name="_Toc11089049"/>
      <w:bookmarkStart w:id="1331" w:name="_Toc29726"/>
      <w:bookmarkStart w:id="1332" w:name="_Toc14866807"/>
      <w:r>
        <w:rPr>
          <w:rFonts w:hint="eastAsia" w:ascii="宋体" w:hAnsi="宋体" w:cs="宋体"/>
          <w:b w:val="0"/>
          <w:bCs w:val="0"/>
          <w:color w:val="auto"/>
          <w:sz w:val="21"/>
          <w:szCs w:val="21"/>
          <w:highlight w:val="none"/>
          <w:shd w:val="clear" w:color="auto" w:fill="FFFFFF"/>
        </w:rPr>
        <w:t>18.2  竣工验收申请报告</w:t>
      </w:r>
      <w:bookmarkEnd w:id="1329"/>
      <w:bookmarkEnd w:id="1330"/>
      <w:bookmarkEnd w:id="1331"/>
      <w:bookmarkEnd w:id="1332"/>
    </w:p>
    <w:p w14:paraId="2CDAF6C6">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当工程具备以下条件时，承包人即可向监理人报送竣工验收申请报告：</w:t>
      </w:r>
    </w:p>
    <w:p w14:paraId="76A9638C">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（1）除监理人同意列入缺陷责任期内完成的尾工（甩项）工程和缺陷修补工作外，合同范围内的全部单位工程以及有关工作，包括合同要求的试验、试运行以及检验和验收均已完成，并符合合同要求；</w:t>
      </w:r>
    </w:p>
    <w:p w14:paraId="56689CB9">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承包人负责整理和提交的竣工验收资料应当符合工程所在地建设行政主管部门和（或）城市建设档案管理机构有关施工资料的要求，同时已按合同条款专用部分约定备齐了符合要求的竣工资料。竣工验收资料的内容和份数以及费用支付方式见合同条款专用部分。</w:t>
      </w:r>
    </w:p>
    <w:p w14:paraId="1CB17DAA">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（3）已按监理人的要求编制了在缺陷责任期内需完成的尾工（甩项）工程，和缺陷修补工作清单等相应施工计划；</w:t>
      </w:r>
    </w:p>
    <w:p w14:paraId="27AC1924">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（4）监理人要求在竣工验收前应完成的其他工作；</w:t>
      </w:r>
    </w:p>
    <w:p w14:paraId="40F9321B">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（5）监理人要求提交的竣工验收资料清单。</w:t>
      </w:r>
    </w:p>
    <w:p w14:paraId="3477F9A1">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333" w:name="_BookMark_220"/>
      <w:bookmarkEnd w:id="1333"/>
      <w:bookmarkStart w:id="1334" w:name="_Toc11089050"/>
      <w:bookmarkStart w:id="1335" w:name="_Toc3638"/>
      <w:bookmarkStart w:id="1336" w:name="_Toc4661551"/>
      <w:bookmarkStart w:id="1337" w:name="_Toc14866808"/>
      <w:r>
        <w:rPr>
          <w:rFonts w:hint="eastAsia" w:ascii="宋体" w:hAnsi="宋体" w:cs="宋体"/>
          <w:b w:val="0"/>
          <w:bCs w:val="0"/>
          <w:color w:val="auto"/>
          <w:sz w:val="21"/>
          <w:szCs w:val="21"/>
          <w:highlight w:val="none"/>
          <w:shd w:val="clear" w:color="auto" w:fill="FFFFFF"/>
        </w:rPr>
        <w:t>18.3  验收</w:t>
      </w:r>
      <w:bookmarkEnd w:id="1334"/>
      <w:bookmarkEnd w:id="1335"/>
      <w:bookmarkEnd w:id="1336"/>
      <w:bookmarkEnd w:id="1337"/>
    </w:p>
    <w:p w14:paraId="0C3DD28D">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监理人收到承包人按第18.2款约定提交的竣工验收申请报告后，应审查申请报告的各项内容，并按以下不同情况进行处理。</w:t>
      </w:r>
    </w:p>
    <w:p w14:paraId="7E384121">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18.3.1  监理人审查后认为尚不具备竣工验收条件的，应在收到竣工验收申请报告后的28天内通知承包人，并指出在颁发接收证书前承包人需进行的工作内容。承包人完成监理人通知的全部工作内容后，应再次提交竣工验收申请报告，直至监理人同意为止。</w:t>
      </w:r>
    </w:p>
    <w:p w14:paraId="678269E1">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18.3.2  监理人审查后认为已具备竣工验收条件的，应在收到竣工验收申请报告后的28天内提请发包人进行工程验收。</w:t>
      </w:r>
    </w:p>
    <w:p w14:paraId="5D44F36E">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18.3.3  发包人经过验收后同意接受工程的，应在监理人收到竣工验收申请报告后的56天内，由监理人向承包人出具经发包人签认的工程接收证书。发包人验收后同意接收工程，但提出整修和完善要求的，限期修好，并缓发工程接收证书。整修和完善工作完成后，监理人复查达到要求的，经发包人同意后，再向承包人出具工程接收证书。</w:t>
      </w:r>
    </w:p>
    <w:p w14:paraId="2EF85829">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18.3.4  发包人验收后不同意接收工程的，监理人应按照发包人的验收意见发出指示，要求承包人对不合格工程认真返工重作或进行补救处理，并承担由此产生的费用。承包人在完成不合格工程的返工重作或补救工作后，应重新提交竣工验收申请报告，按第18.3.1项、第18.3.2项和第18.3.3项的约定进行。</w:t>
      </w:r>
    </w:p>
    <w:p w14:paraId="0893236E">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18.3.5  经验收合格的工程, 实际竣工日期为承包人按照第18.2款提交竣工验收申请报告或按照本款重新提交竣工验收申请报告的日期（以两者中时间在后者为准）。</w:t>
      </w:r>
    </w:p>
    <w:p w14:paraId="7EF62B3D">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18.3.6  发包人在收到承包人竣工验收申请报告56天后未进行验收的，视为验收合格，实际竣工日期以提交竣工验收申请报告的日期为准，但发包人由于不可抗力不能进行验收的除外。</w:t>
      </w:r>
    </w:p>
    <w:p w14:paraId="6DF44DCC">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338" w:name="_BookMark_221"/>
      <w:bookmarkEnd w:id="1338"/>
      <w:bookmarkStart w:id="1339" w:name="_Toc11089051"/>
      <w:bookmarkStart w:id="1340" w:name="_Toc14866809"/>
      <w:bookmarkStart w:id="1341" w:name="_Toc4661552"/>
      <w:bookmarkStart w:id="1342" w:name="_Toc22422"/>
      <w:r>
        <w:rPr>
          <w:rFonts w:hint="eastAsia" w:ascii="宋体" w:hAnsi="宋体" w:cs="宋体"/>
          <w:b w:val="0"/>
          <w:bCs w:val="0"/>
          <w:color w:val="auto"/>
          <w:sz w:val="21"/>
          <w:szCs w:val="21"/>
          <w:highlight w:val="none"/>
          <w:shd w:val="clear" w:color="auto" w:fill="FFFFFF"/>
        </w:rPr>
        <w:t>18.4  单位工程验收</w:t>
      </w:r>
      <w:bookmarkEnd w:id="1339"/>
      <w:bookmarkEnd w:id="1340"/>
      <w:bookmarkEnd w:id="1341"/>
      <w:bookmarkEnd w:id="1342"/>
    </w:p>
    <w:p w14:paraId="4AF52A91">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18.4.1  发包人根据合同进度计划安排，在全部工程竣工前需要使用已经竣工的单位工程时，或承包人提出经发包人同意时，可进行单位工程验收。验收的程序可参照第18.2款与第18.3款的约定进行。验收合格后，由监理人向承包人出具经发包人签认的单位工程验收证书。已签发单位工程接收证书的单位工程由发包人负责照管。单位工程的验收成果和结论作为全部工程竣工验收申请报告的附件。</w:t>
      </w:r>
    </w:p>
    <w:p w14:paraId="649F7E32">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18.4.2  发包人在全部工程竣工前，使用已接收的单位工程导致承包人费用增加的，发包人应承担由此增加的费用和（或）工期延误，并支付承包人合理利润。</w:t>
      </w:r>
    </w:p>
    <w:p w14:paraId="0CAD53F6">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343" w:name="_BookMark_222"/>
      <w:bookmarkEnd w:id="1343"/>
      <w:bookmarkStart w:id="1344" w:name="_Toc14866810"/>
      <w:bookmarkStart w:id="1345" w:name="_Toc4911"/>
      <w:bookmarkStart w:id="1346" w:name="_Toc4661553"/>
      <w:bookmarkStart w:id="1347" w:name="_Toc11089052"/>
      <w:r>
        <w:rPr>
          <w:rFonts w:hint="eastAsia" w:ascii="宋体" w:hAnsi="宋体" w:cs="宋体"/>
          <w:b w:val="0"/>
          <w:bCs w:val="0"/>
          <w:color w:val="auto"/>
          <w:sz w:val="21"/>
          <w:szCs w:val="21"/>
          <w:highlight w:val="none"/>
          <w:shd w:val="clear" w:color="auto" w:fill="FFFFFF"/>
        </w:rPr>
        <w:t>18.5  施工期运行</w:t>
      </w:r>
      <w:bookmarkEnd w:id="1344"/>
      <w:bookmarkEnd w:id="1345"/>
      <w:bookmarkEnd w:id="1346"/>
      <w:bookmarkEnd w:id="1347"/>
    </w:p>
    <w:p w14:paraId="6D3B90CB">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18.5.1  施工期运行是指合同工程尚未全部竣工，其中某项或某几项单位工程或工程设备安装已竣工，根据合同条款专用部分约定，需要投入施工期运行的，经发包人按第18.4款的约定验收合格，证明能确保安全后，才能在施工期投入运行。</w:t>
      </w:r>
    </w:p>
    <w:p w14:paraId="77E79C0E">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18.5.2  在施工期运行中发现工程或工程设备损坏或存在缺陷的，由承包人按第19.2款约定进行修复。</w:t>
      </w:r>
    </w:p>
    <w:p w14:paraId="346F1316">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348" w:name="_BookMark_223"/>
      <w:bookmarkEnd w:id="1348"/>
      <w:bookmarkStart w:id="1349" w:name="_Toc4661554"/>
      <w:bookmarkStart w:id="1350" w:name="_Toc14866811"/>
      <w:bookmarkStart w:id="1351" w:name="_Toc15659"/>
      <w:bookmarkStart w:id="1352" w:name="_Toc11089053"/>
      <w:r>
        <w:rPr>
          <w:rFonts w:hint="eastAsia" w:ascii="宋体" w:hAnsi="宋体" w:cs="宋体"/>
          <w:b w:val="0"/>
          <w:bCs w:val="0"/>
          <w:color w:val="auto"/>
          <w:sz w:val="21"/>
          <w:szCs w:val="21"/>
          <w:highlight w:val="none"/>
          <w:shd w:val="clear" w:color="auto" w:fill="FFFFFF"/>
        </w:rPr>
        <w:t>18.6  试运行</w:t>
      </w:r>
      <w:bookmarkEnd w:id="1349"/>
      <w:bookmarkEnd w:id="1350"/>
      <w:bookmarkEnd w:id="1351"/>
      <w:bookmarkEnd w:id="1352"/>
    </w:p>
    <w:p w14:paraId="06AFCD05">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18.6.1  工程及工程设备试运行的组织与费用承担</w:t>
      </w:r>
    </w:p>
    <w:p w14:paraId="01B5BDD1">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（1）工程设备安装具备单机无负荷试运行条件，由承包人组织试运行，费用由承包人承担。</w:t>
      </w:r>
    </w:p>
    <w:p w14:paraId="29565641">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（2）工程设备安装具备无负荷联动试运行条件，由发包人组织试运行，费用由发包人承担。</w:t>
      </w:r>
    </w:p>
    <w:p w14:paraId="3CB02A60">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（3）投料试运行应在工程竣工验收后由发包人负责，如发包人要求在工程竣工验收前进行或需要承包人配合时，应征得承包人同意，另行签订补充协议。</w:t>
      </w:r>
    </w:p>
    <w:p w14:paraId="6B9D2DF7">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18.6.2  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p>
    <w:p w14:paraId="39EC86BD">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353" w:name="_BookMark_224"/>
      <w:bookmarkEnd w:id="1353"/>
      <w:bookmarkStart w:id="1354" w:name="_Toc14866812"/>
      <w:bookmarkStart w:id="1355" w:name="_Toc4661555"/>
      <w:bookmarkStart w:id="1356" w:name="_Toc11089054"/>
      <w:bookmarkStart w:id="1357" w:name="_Toc32017"/>
      <w:r>
        <w:rPr>
          <w:rFonts w:hint="eastAsia" w:ascii="宋体" w:hAnsi="宋体" w:cs="宋体"/>
          <w:b w:val="0"/>
          <w:bCs w:val="0"/>
          <w:color w:val="auto"/>
          <w:sz w:val="21"/>
          <w:szCs w:val="21"/>
          <w:highlight w:val="none"/>
          <w:shd w:val="clear" w:color="auto" w:fill="FFFFFF"/>
        </w:rPr>
        <w:t>18.7  竣工清场</w:t>
      </w:r>
      <w:bookmarkEnd w:id="1354"/>
      <w:bookmarkEnd w:id="1355"/>
      <w:bookmarkEnd w:id="1356"/>
      <w:bookmarkEnd w:id="1357"/>
    </w:p>
    <w:p w14:paraId="5BF14B6B">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18.7.1  监理人颁发（出具）工程接收证书后，承包人负责按照以下要求对施工场地进行清理，直至监理人检验合格为止。竣工清场费用由承包人承担。</w:t>
      </w:r>
    </w:p>
    <w:p w14:paraId="1B8B21A4">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（1）施工场地内残留的垃圾已全部清除出场；</w:t>
      </w:r>
    </w:p>
    <w:p w14:paraId="3908C141">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（2）临时工程已拆除，场地已按合同要求进行清理、平整或复原；</w:t>
      </w:r>
    </w:p>
    <w:p w14:paraId="60F2BD67">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（3）按合同约定应撤离的承包人设备和剩余的材料，包括废弃的施工设备和材料，已按计划撤离施工场地；</w:t>
      </w:r>
    </w:p>
    <w:p w14:paraId="37CB87F5">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（4）工程建筑物周边及其附近道路、河道的施工堆积物，已按监理人指示全部清理；</w:t>
      </w:r>
    </w:p>
    <w:p w14:paraId="1E20E954">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（5）监理人指示的其他场地清理工作已全部完成。</w:t>
      </w:r>
    </w:p>
    <w:p w14:paraId="64A289E6">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18.7.2  承包人未按监理人的要求恢复临时占地，或者场地清理未达到合同约定的，发包人有权委托其他人恢复或清理，所发生的金额从拟支付给承包人的款项中扣除。</w:t>
      </w:r>
    </w:p>
    <w:p w14:paraId="396F4A08">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358" w:name="_BookMark_225"/>
      <w:bookmarkEnd w:id="1358"/>
      <w:bookmarkStart w:id="1359" w:name="_Toc14866813"/>
      <w:bookmarkStart w:id="1360" w:name="_Toc4661556"/>
      <w:bookmarkStart w:id="1361" w:name="_Toc11089055"/>
      <w:bookmarkStart w:id="1362" w:name="_Toc18241"/>
      <w:r>
        <w:rPr>
          <w:rFonts w:hint="eastAsia" w:ascii="宋体" w:hAnsi="宋体" w:cs="宋体"/>
          <w:b w:val="0"/>
          <w:bCs w:val="0"/>
          <w:color w:val="auto"/>
          <w:sz w:val="21"/>
          <w:szCs w:val="21"/>
          <w:highlight w:val="none"/>
          <w:shd w:val="clear" w:color="auto" w:fill="FFFFFF"/>
        </w:rPr>
        <w:t>18.8  施工队伍的撤离</w:t>
      </w:r>
      <w:bookmarkEnd w:id="1359"/>
      <w:bookmarkEnd w:id="1360"/>
      <w:bookmarkEnd w:id="1361"/>
      <w:bookmarkEnd w:id="1362"/>
    </w:p>
    <w:p w14:paraId="5424375E">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18.8.1  工程接收证书颁发后的56天内，除了经监理人同意需在缺陷责任期内继续工作和使用的人员、施工设备和临时工程外，其余的人员、施工设备和临时工程均应撤离施工场地或拆除。</w:t>
      </w:r>
    </w:p>
    <w:p w14:paraId="7D9584B6">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18.8.2  承包人撤离施工场地（现场）时，监理人和承包人应当办理永久工程和施工场地移交手续，移交手续以书面方式出具，并分别经过发包人、监理人和承包人的签认。但是，监理人和发包人未按第17.5.1项约定的期限办清竣工结算和竣工付款的，本工程不得交付使用，发包人和监理人也无权要求承包人按合同约定的期限撤离施工场地（现场）和办理工程移交手续。</w:t>
      </w:r>
    </w:p>
    <w:p w14:paraId="76BC9222">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18.8.3  缺陷责任期满时，承包人的人员和施工设备应在合同约定期限内全部撤离施工场地。撤离施工场地的期限要求见合同条款专用部分。</w:t>
      </w:r>
    </w:p>
    <w:p w14:paraId="1C59CCBB">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363" w:name="_BookMark_226"/>
      <w:bookmarkEnd w:id="1363"/>
      <w:bookmarkStart w:id="1364" w:name="_Toc16571"/>
      <w:bookmarkStart w:id="1365" w:name="_Toc11089056"/>
      <w:bookmarkStart w:id="1366" w:name="_Toc4661557"/>
      <w:bookmarkStart w:id="1367" w:name="_Toc14866814"/>
      <w:r>
        <w:rPr>
          <w:rFonts w:hint="eastAsia" w:ascii="宋体" w:hAnsi="宋体" w:cs="宋体"/>
          <w:b w:val="0"/>
          <w:bCs w:val="0"/>
          <w:color w:val="auto"/>
          <w:sz w:val="21"/>
          <w:szCs w:val="21"/>
          <w:highlight w:val="none"/>
          <w:shd w:val="clear" w:color="auto" w:fill="FFFFFF"/>
        </w:rPr>
        <w:t>18.9  中间验收</w:t>
      </w:r>
      <w:bookmarkEnd w:id="1364"/>
      <w:bookmarkEnd w:id="1365"/>
      <w:bookmarkEnd w:id="1366"/>
      <w:bookmarkEnd w:id="1367"/>
    </w:p>
    <w:p w14:paraId="258936F3">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18.9.1  本工程需要按照合同约定进行中间验收。进行中间验收的部位见合同条款专用部分。</w:t>
      </w:r>
    </w:p>
    <w:p w14:paraId="086BBA23">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18.9.2  当工程进度达到第18.9.1项约定的中间验收部位时，承包人应当进行自检，并在中间验收前48小时以书面形式通知监理人验收。书面通知应包括中间验收的内容、验收时间和地点。承包人应当准备验收记录。只有监理人验收合格并在验收记录上签字后，承包人方可继续施工。验收不合格的，承包人在合同约定的期限内修改后重新验收。重新验收的期限见合同条款专用部分。</w:t>
      </w:r>
    </w:p>
    <w:p w14:paraId="40418586">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18.9.3  监理人不能按时进行验收的，应在验收前至少24小时以书面形式向承包人提出延期要求，但延期不能超过48小时。监理人未能按本款约定的时限提出延期要求，又未按期进行验收的，承包人可自行组织验收，监理人必须认同验收记录。</w:t>
      </w:r>
    </w:p>
    <w:p w14:paraId="70432F3D">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经监理人验收后工程质量符合约定的验收标准，但验收24小时后监理人仍不在验收记录上签字的，视为监理人已经认可验收记录，承包人可继续施工。</w:t>
      </w:r>
    </w:p>
    <w:p w14:paraId="1ADF1949">
      <w:pPr>
        <w:pStyle w:val="3"/>
        <w:keepNext w:val="0"/>
        <w:keepLines w:val="0"/>
        <w:widowControl/>
        <w:snapToGrid w:val="0"/>
        <w:spacing w:before="0" w:after="0" w:line="360" w:lineRule="auto"/>
        <w:ind w:left="210" w:leftChars="100"/>
        <w:jc w:val="left"/>
        <w:rPr>
          <w:rFonts w:ascii="宋体" w:hAnsi="宋体"/>
          <w:b w:val="0"/>
          <w:bCs w:val="0"/>
          <w:color w:val="auto"/>
          <w:sz w:val="21"/>
          <w:szCs w:val="21"/>
          <w:highlight w:val="none"/>
          <w:shd w:val="clear" w:color="auto" w:fill="FFFFFF"/>
        </w:rPr>
      </w:pPr>
      <w:bookmarkStart w:id="1368" w:name="_BookMark_227"/>
      <w:bookmarkEnd w:id="1368"/>
      <w:bookmarkStart w:id="1369" w:name="_Toc11035"/>
      <w:bookmarkStart w:id="1370" w:name="_Toc11089057"/>
      <w:bookmarkStart w:id="1371" w:name="_Toc14866815"/>
      <w:bookmarkStart w:id="1372" w:name="_Toc4661558"/>
      <w:r>
        <w:rPr>
          <w:rFonts w:hint="eastAsia" w:ascii="宋体" w:hAnsi="宋体"/>
          <w:b w:val="0"/>
          <w:bCs w:val="0"/>
          <w:color w:val="auto"/>
          <w:sz w:val="21"/>
          <w:szCs w:val="21"/>
          <w:highlight w:val="none"/>
          <w:shd w:val="clear" w:color="auto" w:fill="FFFFFF"/>
        </w:rPr>
        <w:t>19.缺陷责任与保修责任</w:t>
      </w:r>
      <w:bookmarkEnd w:id="1369"/>
      <w:bookmarkEnd w:id="1370"/>
      <w:bookmarkEnd w:id="1371"/>
      <w:bookmarkEnd w:id="1372"/>
    </w:p>
    <w:p w14:paraId="3EE86305">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373" w:name="_BookMark_228"/>
      <w:bookmarkEnd w:id="1373"/>
      <w:bookmarkStart w:id="1374" w:name="_Toc2751"/>
      <w:bookmarkStart w:id="1375" w:name="_Toc11089058"/>
      <w:bookmarkStart w:id="1376" w:name="_Toc14866816"/>
      <w:bookmarkStart w:id="1377" w:name="_Toc4661559"/>
      <w:r>
        <w:rPr>
          <w:rFonts w:hint="eastAsia" w:ascii="宋体" w:hAnsi="宋体" w:cs="宋体"/>
          <w:b w:val="0"/>
          <w:bCs w:val="0"/>
          <w:color w:val="auto"/>
          <w:sz w:val="21"/>
          <w:szCs w:val="21"/>
          <w:highlight w:val="none"/>
          <w:shd w:val="clear" w:color="auto" w:fill="FFFFFF"/>
        </w:rPr>
        <w:t>19.1  缺陷责任期的起算时间</w:t>
      </w:r>
      <w:bookmarkEnd w:id="1374"/>
      <w:bookmarkEnd w:id="1375"/>
      <w:bookmarkEnd w:id="1376"/>
      <w:bookmarkEnd w:id="1377"/>
    </w:p>
    <w:p w14:paraId="6E7663F0">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缺陷责任期自实际竣工日期起计算。在全部工程竣工验收前，已经发包人提前验收的单位工程，其缺陷责任期的起算日期相应提前。</w:t>
      </w:r>
    </w:p>
    <w:p w14:paraId="7D5D2212">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378" w:name="_BookMark_229"/>
      <w:bookmarkEnd w:id="1378"/>
      <w:bookmarkStart w:id="1379" w:name="_Toc26107"/>
      <w:bookmarkStart w:id="1380" w:name="_Toc14866817"/>
      <w:bookmarkStart w:id="1381" w:name="_Toc11089059"/>
      <w:bookmarkStart w:id="1382" w:name="_Toc4661560"/>
      <w:r>
        <w:rPr>
          <w:rFonts w:hint="eastAsia" w:ascii="宋体" w:hAnsi="宋体" w:cs="宋体"/>
          <w:b w:val="0"/>
          <w:bCs w:val="0"/>
          <w:color w:val="auto"/>
          <w:sz w:val="21"/>
          <w:szCs w:val="21"/>
          <w:highlight w:val="none"/>
          <w:shd w:val="clear" w:color="auto" w:fill="FFFFFF"/>
        </w:rPr>
        <w:t>19.2  缺陷责任</w:t>
      </w:r>
      <w:bookmarkEnd w:id="1379"/>
      <w:bookmarkEnd w:id="1380"/>
      <w:bookmarkEnd w:id="1381"/>
      <w:bookmarkEnd w:id="1382"/>
    </w:p>
    <w:p w14:paraId="695BF442">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19.2.1  承包人应在缺陷责任期内对已交付使用的工程承担缺陷责任。</w:t>
      </w:r>
    </w:p>
    <w:p w14:paraId="7B97C754">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19.2.2  缺陷责任期内，发包人对已接收使用的工程负责日常维护工作。发包人在使用过程中，发现已接收的工程存在新的缺陷或已修复的缺陷部位或部件又遭损坏的，承包人应负责修复，直至检验合格为止。</w:t>
      </w:r>
    </w:p>
    <w:p w14:paraId="686EF9BD">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19.2.3  监理人和承包人应共同查清缺陷和（或）损坏的原因。经查明属承包人原因造成的，应由承包人承担修复和查验的费用。经查验属发包人原因造成的，发包人应承担修复和查验的费用，并支付承包人合理利润。</w:t>
      </w:r>
    </w:p>
    <w:p w14:paraId="433A1D0A">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19.2.4  承包人不能在合理时间内修复缺陷的，发包人可自行修复或委托其他人修复，所需费用和利润的承担，按第19.2.3项约定办理。</w:t>
      </w:r>
    </w:p>
    <w:p w14:paraId="66F175C7">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383" w:name="_BookMark_230"/>
      <w:bookmarkEnd w:id="1383"/>
      <w:bookmarkStart w:id="1384" w:name="_Toc11089060"/>
      <w:bookmarkStart w:id="1385" w:name="_Toc4661561"/>
      <w:bookmarkStart w:id="1386" w:name="_Toc14866818"/>
      <w:bookmarkStart w:id="1387" w:name="_Toc8832"/>
      <w:r>
        <w:rPr>
          <w:rFonts w:hint="eastAsia" w:ascii="宋体" w:hAnsi="宋体" w:cs="宋体"/>
          <w:b w:val="0"/>
          <w:bCs w:val="0"/>
          <w:color w:val="auto"/>
          <w:sz w:val="21"/>
          <w:szCs w:val="21"/>
          <w:highlight w:val="none"/>
          <w:shd w:val="clear" w:color="auto" w:fill="FFFFFF"/>
        </w:rPr>
        <w:t>19.3  缺陷责任期的延长</w:t>
      </w:r>
      <w:bookmarkEnd w:id="1384"/>
      <w:bookmarkEnd w:id="1385"/>
      <w:bookmarkEnd w:id="1386"/>
      <w:bookmarkEnd w:id="1387"/>
    </w:p>
    <w:p w14:paraId="311DA73F">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由于承包人原因造成某项缺陷或损坏，使某项工程或工程设备不能按原定目标使用，需要再次检查、检验和修复的，发包人有权要求承包人相应延长缺陷责任期，但缺陷责任期最长不超过2年。</w:t>
      </w:r>
    </w:p>
    <w:p w14:paraId="4CF016E9">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388" w:name="_BookMark_231"/>
      <w:bookmarkEnd w:id="1388"/>
      <w:bookmarkStart w:id="1389" w:name="_Toc4661562"/>
      <w:bookmarkStart w:id="1390" w:name="_Toc11089061"/>
      <w:bookmarkStart w:id="1391" w:name="_Toc14866819"/>
      <w:bookmarkStart w:id="1392" w:name="_Toc3125"/>
      <w:r>
        <w:rPr>
          <w:rFonts w:hint="eastAsia" w:ascii="宋体" w:hAnsi="宋体" w:cs="宋体"/>
          <w:b w:val="0"/>
          <w:bCs w:val="0"/>
          <w:color w:val="auto"/>
          <w:sz w:val="21"/>
          <w:szCs w:val="21"/>
          <w:highlight w:val="none"/>
          <w:shd w:val="clear" w:color="auto" w:fill="FFFFFF"/>
        </w:rPr>
        <w:t>19.4  进一步试验和试运行</w:t>
      </w:r>
      <w:bookmarkEnd w:id="1389"/>
      <w:bookmarkEnd w:id="1390"/>
      <w:bookmarkEnd w:id="1391"/>
      <w:bookmarkEnd w:id="1392"/>
    </w:p>
    <w:p w14:paraId="43CF80D2">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任何一项缺陷或损坏修复后，经检查证明其影响了工程或工程设备的使用性能，承包人应重新进行合同约定的试验和试运行，试验和试运行的全部费用应由责任方承担。</w:t>
      </w:r>
    </w:p>
    <w:p w14:paraId="4437BE2C">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393" w:name="_BookMark_232"/>
      <w:bookmarkEnd w:id="1393"/>
      <w:bookmarkStart w:id="1394" w:name="_Toc11089062"/>
      <w:bookmarkStart w:id="1395" w:name="_Toc4661563"/>
      <w:bookmarkStart w:id="1396" w:name="_Toc14866820"/>
      <w:bookmarkStart w:id="1397" w:name="_Toc4989"/>
      <w:r>
        <w:rPr>
          <w:rFonts w:hint="eastAsia" w:ascii="宋体" w:hAnsi="宋体" w:cs="宋体"/>
          <w:b w:val="0"/>
          <w:bCs w:val="0"/>
          <w:color w:val="auto"/>
          <w:sz w:val="21"/>
          <w:szCs w:val="21"/>
          <w:highlight w:val="none"/>
          <w:shd w:val="clear" w:color="auto" w:fill="FFFFFF"/>
        </w:rPr>
        <w:t>19.5  承包人的进入权</w:t>
      </w:r>
      <w:bookmarkEnd w:id="1394"/>
      <w:bookmarkEnd w:id="1395"/>
      <w:bookmarkEnd w:id="1396"/>
      <w:bookmarkEnd w:id="1397"/>
    </w:p>
    <w:p w14:paraId="56487439">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缺陷责任期内承包人为缺陷修复工作需要，有权进入工程现场，但应遵守发包人的保安和保密规定。</w:t>
      </w:r>
    </w:p>
    <w:p w14:paraId="1E75515C">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398" w:name="_BookMark_233"/>
      <w:bookmarkEnd w:id="1398"/>
      <w:bookmarkStart w:id="1399" w:name="_Toc4661564"/>
      <w:bookmarkStart w:id="1400" w:name="_Toc11089063"/>
      <w:bookmarkStart w:id="1401" w:name="_Toc2527"/>
      <w:bookmarkStart w:id="1402" w:name="_Toc14866821"/>
      <w:r>
        <w:rPr>
          <w:rFonts w:hint="eastAsia" w:ascii="宋体" w:hAnsi="宋体" w:cs="宋体"/>
          <w:b w:val="0"/>
          <w:bCs w:val="0"/>
          <w:color w:val="auto"/>
          <w:sz w:val="21"/>
          <w:szCs w:val="21"/>
          <w:highlight w:val="none"/>
          <w:shd w:val="clear" w:color="auto" w:fill="FFFFFF"/>
        </w:rPr>
        <w:t>19.6  缺陷责任期终止证书</w:t>
      </w:r>
      <w:bookmarkEnd w:id="1399"/>
      <w:bookmarkEnd w:id="1400"/>
      <w:bookmarkEnd w:id="1401"/>
      <w:bookmarkEnd w:id="1402"/>
    </w:p>
    <w:p w14:paraId="7CAF031B">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在第1.1.4.5目约定的缺陷责任期，包括根据第19.3款延长的期限终止后14天内，由监理人向承包人出具经发包人签认的缺陷责任期终止证书，并退还剩余的质量保证金或退还保函。</w:t>
      </w:r>
    </w:p>
    <w:p w14:paraId="54FCDBC7">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403" w:name="_BookMark_234"/>
      <w:bookmarkEnd w:id="1403"/>
      <w:bookmarkStart w:id="1404" w:name="_Toc11089064"/>
      <w:bookmarkStart w:id="1405" w:name="_Toc13756"/>
      <w:bookmarkStart w:id="1406" w:name="_Toc4661565"/>
      <w:bookmarkStart w:id="1407" w:name="_Toc14866822"/>
      <w:r>
        <w:rPr>
          <w:rFonts w:hint="eastAsia" w:ascii="宋体" w:hAnsi="宋体" w:cs="宋体"/>
          <w:b w:val="0"/>
          <w:bCs w:val="0"/>
          <w:color w:val="auto"/>
          <w:sz w:val="21"/>
          <w:szCs w:val="21"/>
          <w:highlight w:val="none"/>
          <w:shd w:val="clear" w:color="auto" w:fill="FFFFFF"/>
        </w:rPr>
        <w:t>19.7  保修责任</w:t>
      </w:r>
      <w:bookmarkEnd w:id="1404"/>
      <w:bookmarkEnd w:id="1405"/>
      <w:bookmarkEnd w:id="1406"/>
      <w:bookmarkEnd w:id="1407"/>
    </w:p>
    <w:p w14:paraId="0F2C8ACC">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19.7.1  合同当事人根据有关法律法规规定明确工程质量保修范围、期限和责任。保修期自实际竣工日期起计算。在全部工程竣工验收前，已经发包人提前验收的单位工程，其保修期的起算日期相应提前。工程质量保修范围、期限和责任见合同条款专用部分。</w:t>
      </w:r>
    </w:p>
    <w:p w14:paraId="1A4DDA3A">
      <w:pPr>
        <w:widowControl/>
        <w:snapToGrid w:val="0"/>
        <w:spacing w:line="360" w:lineRule="auto"/>
        <w:ind w:left="210" w:leftChars="100" w:firstLine="428"/>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19.7.2  质量保修书是竣工验收申请报告的组成内容。承包人应当按照有关法律法规规定和合同所附的格式出具质量保修书，质量保修书的主要内容应当与本款上述约定内容一致。承包人在递交合同条款第18.2款约定的竣工验收报告的同时，将质量保修书一并报送监理人。</w:t>
      </w:r>
    </w:p>
    <w:p w14:paraId="23BFF5C9">
      <w:pPr>
        <w:pStyle w:val="3"/>
        <w:keepNext w:val="0"/>
        <w:keepLines w:val="0"/>
        <w:widowControl/>
        <w:snapToGrid w:val="0"/>
        <w:spacing w:before="0" w:after="0" w:line="360" w:lineRule="auto"/>
        <w:ind w:left="210" w:leftChars="100"/>
        <w:jc w:val="left"/>
        <w:rPr>
          <w:rFonts w:ascii="宋体" w:hAnsi="宋体"/>
          <w:b w:val="0"/>
          <w:bCs w:val="0"/>
          <w:color w:val="auto"/>
          <w:sz w:val="21"/>
          <w:szCs w:val="21"/>
          <w:highlight w:val="none"/>
          <w:shd w:val="clear" w:color="auto" w:fill="FFFFFF"/>
        </w:rPr>
      </w:pPr>
      <w:bookmarkStart w:id="1408" w:name="_BookMark_235"/>
      <w:bookmarkEnd w:id="1408"/>
      <w:bookmarkStart w:id="1409" w:name="_Toc10760"/>
      <w:bookmarkStart w:id="1410" w:name="_Toc11089065"/>
      <w:bookmarkStart w:id="1411" w:name="_Toc4661566"/>
      <w:bookmarkStart w:id="1412" w:name="_Toc14866823"/>
      <w:r>
        <w:rPr>
          <w:rFonts w:hint="eastAsia" w:ascii="宋体" w:hAnsi="宋体"/>
          <w:b w:val="0"/>
          <w:bCs w:val="0"/>
          <w:color w:val="auto"/>
          <w:sz w:val="21"/>
          <w:szCs w:val="21"/>
          <w:highlight w:val="none"/>
          <w:shd w:val="clear" w:color="auto" w:fill="FFFFFF"/>
        </w:rPr>
        <w:t>20.保险</w:t>
      </w:r>
      <w:bookmarkEnd w:id="1409"/>
      <w:bookmarkEnd w:id="1410"/>
      <w:bookmarkEnd w:id="1411"/>
      <w:bookmarkEnd w:id="1412"/>
    </w:p>
    <w:p w14:paraId="7452D26B">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413" w:name="_BookMark_236"/>
      <w:bookmarkEnd w:id="1413"/>
      <w:bookmarkStart w:id="1414" w:name="_Toc4661567"/>
      <w:bookmarkStart w:id="1415" w:name="_Toc14866824"/>
      <w:bookmarkStart w:id="1416" w:name="_Toc13995"/>
      <w:bookmarkStart w:id="1417" w:name="_Toc11089066"/>
      <w:r>
        <w:rPr>
          <w:rFonts w:hint="eastAsia" w:ascii="宋体" w:hAnsi="宋体" w:cs="宋体"/>
          <w:b w:val="0"/>
          <w:bCs w:val="0"/>
          <w:color w:val="auto"/>
          <w:sz w:val="21"/>
          <w:szCs w:val="21"/>
          <w:highlight w:val="none"/>
          <w:shd w:val="clear" w:color="auto" w:fill="FFFFFF"/>
        </w:rPr>
        <w:t>20.1  工程保险</w:t>
      </w:r>
      <w:bookmarkEnd w:id="1414"/>
      <w:bookmarkEnd w:id="1415"/>
      <w:bookmarkEnd w:id="1416"/>
      <w:bookmarkEnd w:id="1417"/>
    </w:p>
    <w:p w14:paraId="2B9E6D99">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承包人应以发包人和承包人的共同名义向双方同意的保险人投保建筑工程一切险、安装工程一切险。其具体的投保内容、保险金额、保险费率、保险期限等有关内容见合同条款专用部分。</w:t>
      </w:r>
    </w:p>
    <w:p w14:paraId="5E46EED9">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418" w:name="_BookMark_237"/>
      <w:bookmarkEnd w:id="1418"/>
      <w:bookmarkStart w:id="1419" w:name="_Toc4661568"/>
      <w:bookmarkStart w:id="1420" w:name="_Toc14866825"/>
      <w:bookmarkStart w:id="1421" w:name="_Toc11089067"/>
      <w:bookmarkStart w:id="1422" w:name="_Toc8347"/>
      <w:r>
        <w:rPr>
          <w:rFonts w:hint="eastAsia" w:ascii="宋体" w:hAnsi="宋体" w:cs="宋体"/>
          <w:b w:val="0"/>
          <w:bCs w:val="0"/>
          <w:color w:val="auto"/>
          <w:sz w:val="21"/>
          <w:szCs w:val="21"/>
          <w:highlight w:val="none"/>
          <w:shd w:val="clear" w:color="auto" w:fill="FFFFFF"/>
        </w:rPr>
        <w:t>20.2  人员工伤事故的保险</w:t>
      </w:r>
      <w:bookmarkEnd w:id="1419"/>
      <w:bookmarkEnd w:id="1420"/>
      <w:bookmarkEnd w:id="1421"/>
      <w:bookmarkEnd w:id="1422"/>
    </w:p>
    <w:p w14:paraId="39B1867B">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20.2.1  承包人员工伤事故的保险</w:t>
      </w:r>
    </w:p>
    <w:p w14:paraId="18B6BE8E">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承包人应依照有关法律法规规定参加工伤保险，为其履行合同所雇佣的全部人员（包括专业分包人、劳务分包人使用的人员），在合同工程开工前应当一次性缴纳工伤保险费。承包人在工程分包计费时，不得再向分包人另行计提、划拨工伤保险费。</w:t>
      </w:r>
    </w:p>
    <w:p w14:paraId="5394F5CD">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（2）承包人工伤事故保险期限自合同工程开工之日起至合同终止之日止。</w:t>
      </w:r>
    </w:p>
    <w:p w14:paraId="1CA60A8E">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20.2.2  发包人员工伤事故的保险</w:t>
      </w:r>
    </w:p>
    <w:p w14:paraId="5D648DA7">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发包人应依照有关法律法规规定参加工伤保险，为其现场机构雇佣的全部人员，缴纳工伤保险费，并要求其监理人也进行此项保险。</w:t>
      </w:r>
    </w:p>
    <w:p w14:paraId="00ABA4E8">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423" w:name="_BookMark_238"/>
      <w:bookmarkEnd w:id="1423"/>
      <w:bookmarkStart w:id="1424" w:name="_Toc14866826"/>
      <w:bookmarkStart w:id="1425" w:name="_Toc11089068"/>
      <w:bookmarkStart w:id="1426" w:name="_Toc3574"/>
      <w:bookmarkStart w:id="1427" w:name="_Toc4661569"/>
      <w:r>
        <w:rPr>
          <w:rFonts w:hint="eastAsia" w:ascii="宋体" w:hAnsi="宋体" w:cs="宋体"/>
          <w:b w:val="0"/>
          <w:bCs w:val="0"/>
          <w:color w:val="auto"/>
          <w:sz w:val="21"/>
          <w:szCs w:val="21"/>
          <w:highlight w:val="none"/>
          <w:shd w:val="clear" w:color="auto" w:fill="FFFFFF"/>
        </w:rPr>
        <w:t>20.3  人身意外伤害险</w:t>
      </w:r>
      <w:bookmarkEnd w:id="1424"/>
      <w:bookmarkEnd w:id="1425"/>
      <w:bookmarkEnd w:id="1426"/>
      <w:bookmarkEnd w:id="1427"/>
    </w:p>
    <w:p w14:paraId="108821E9">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20.3.1  发包人应在整个施工期间为其现场机构雇用的全部人员，投保人身意外伤害险，缴纳保险费，并要求其监理人也进行此项保险。</w:t>
      </w:r>
    </w:p>
    <w:p w14:paraId="26EF16AC">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20.3.2  承包人应在整个施工期间为其现场机构雇用的全部人员，投保人身意外伤害险，缴纳保险费，并要求其分包人也进行此项保险。</w:t>
      </w:r>
    </w:p>
    <w:p w14:paraId="30AAB45F">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428" w:name="_BookMark_239"/>
      <w:bookmarkEnd w:id="1428"/>
      <w:bookmarkStart w:id="1429" w:name="_Toc4661570"/>
      <w:bookmarkStart w:id="1430" w:name="_Toc14866827"/>
      <w:bookmarkStart w:id="1431" w:name="_Toc29778"/>
      <w:bookmarkStart w:id="1432" w:name="_Toc11089069"/>
      <w:r>
        <w:rPr>
          <w:rFonts w:hint="eastAsia" w:ascii="宋体" w:hAnsi="宋体" w:cs="宋体"/>
          <w:b w:val="0"/>
          <w:bCs w:val="0"/>
          <w:color w:val="auto"/>
          <w:sz w:val="21"/>
          <w:szCs w:val="21"/>
          <w:highlight w:val="none"/>
          <w:shd w:val="clear" w:color="auto" w:fill="FFFFFF"/>
        </w:rPr>
        <w:t>20.4  第三者责任险</w:t>
      </w:r>
      <w:bookmarkEnd w:id="1429"/>
      <w:bookmarkEnd w:id="1430"/>
      <w:bookmarkEnd w:id="1431"/>
      <w:bookmarkEnd w:id="1432"/>
    </w:p>
    <w:p w14:paraId="65579A57">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20.4.1  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p>
    <w:p w14:paraId="0A0EE0A0">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20.4.2  在缺陷责任期终止证书颁发前，承包人应以承包人和发包人的共同名义，投保第20.4.1项约定的第三者责任险，其保险费率、保险金额、保险费承担人等有关内容见合同条款专用部分。</w:t>
      </w:r>
    </w:p>
    <w:p w14:paraId="336C9836">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433" w:name="_BookMark_240"/>
      <w:bookmarkEnd w:id="1433"/>
      <w:bookmarkStart w:id="1434" w:name="_Toc11089070"/>
      <w:bookmarkStart w:id="1435" w:name="_Toc4661571"/>
      <w:bookmarkStart w:id="1436" w:name="_Toc14866828"/>
      <w:bookmarkStart w:id="1437" w:name="_Toc26146"/>
      <w:r>
        <w:rPr>
          <w:rFonts w:hint="eastAsia" w:ascii="宋体" w:hAnsi="宋体" w:cs="宋体"/>
          <w:b w:val="0"/>
          <w:bCs w:val="0"/>
          <w:color w:val="auto"/>
          <w:sz w:val="21"/>
          <w:szCs w:val="21"/>
          <w:highlight w:val="none"/>
          <w:shd w:val="clear" w:color="auto" w:fill="FFFFFF"/>
        </w:rPr>
        <w:t>20.5  其他保险</w:t>
      </w:r>
      <w:bookmarkEnd w:id="1434"/>
      <w:bookmarkEnd w:id="1435"/>
      <w:bookmarkEnd w:id="1436"/>
      <w:bookmarkEnd w:id="1437"/>
    </w:p>
    <w:p w14:paraId="5AC12941">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承包人应为其施工设备、进场的材料和工程设备等办理保险。办理保险的险种见合同条款专用部分。</w:t>
      </w:r>
    </w:p>
    <w:p w14:paraId="53486E95">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438" w:name="_BookMark_241"/>
      <w:bookmarkEnd w:id="1438"/>
      <w:bookmarkStart w:id="1439" w:name="_Toc14866829"/>
      <w:bookmarkStart w:id="1440" w:name="_Toc20851"/>
      <w:bookmarkStart w:id="1441" w:name="_Toc11089071"/>
      <w:bookmarkStart w:id="1442" w:name="_Toc4661572"/>
      <w:r>
        <w:rPr>
          <w:rFonts w:hint="eastAsia" w:ascii="宋体" w:hAnsi="宋体" w:cs="宋体"/>
          <w:b w:val="0"/>
          <w:bCs w:val="0"/>
          <w:color w:val="auto"/>
          <w:sz w:val="21"/>
          <w:szCs w:val="21"/>
          <w:highlight w:val="none"/>
          <w:shd w:val="clear" w:color="auto" w:fill="FFFFFF"/>
        </w:rPr>
        <w:t>20.6  对各项保险的一般要求</w:t>
      </w:r>
      <w:bookmarkEnd w:id="1439"/>
      <w:bookmarkEnd w:id="1440"/>
      <w:bookmarkEnd w:id="1441"/>
      <w:bookmarkEnd w:id="1442"/>
    </w:p>
    <w:p w14:paraId="4911BD42">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20.6.1  保险凭证</w:t>
      </w:r>
    </w:p>
    <w:p w14:paraId="6CC11080">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承包人应在合同约定的期限内向发包人提交各项保险生效的证据和保险单副本，保险单必须与合同约定的条件保持一致。各项保险生效的证据和保险单副本的期限见合同条款专用部分。</w:t>
      </w:r>
    </w:p>
    <w:p w14:paraId="1B1F54F8">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20.6.2  保险合同条款的变动</w:t>
      </w:r>
    </w:p>
    <w:p w14:paraId="6A44AA25">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承包人需要变动保险合同条款时，应事先征得发包人同意，并通知监理人。保险人作出变动的，承包人应在收到保险人通知后立即通知发包人和监理人。</w:t>
      </w:r>
    </w:p>
    <w:p w14:paraId="42045ED9">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20.6.3  持续保险</w:t>
      </w:r>
    </w:p>
    <w:p w14:paraId="32B692D7">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承包人应与保险人保持联系，使保险人能够随时了解工程实施中的变动，并确保按保险合同条款要求持续保险。</w:t>
      </w:r>
    </w:p>
    <w:p w14:paraId="3A164772">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20.6.4  保险金不足的补偿</w:t>
      </w:r>
    </w:p>
    <w:p w14:paraId="64CD77E6">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保险金不足以补偿损失的，应由承包人和（或）发包人按合同约定负责补偿。保险金不足的补偿原则见合同条款专用部分。</w:t>
      </w:r>
    </w:p>
    <w:p w14:paraId="1C0C46F7">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20.6.5  未按约定投保的补救</w:t>
      </w:r>
    </w:p>
    <w:p w14:paraId="0A54D1BC">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（1）由于负有投保义务的一方当事人未按合同约定办理保险，或未能使保险持续有效的，另一方当事人可代为办理，所需费用由对方当事人承担。</w:t>
      </w:r>
    </w:p>
    <w:p w14:paraId="1694E5D1">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（2）由于负有投保义务的一方当事人未按合同约定办理某项保险，导致受益人未能得到保险人的赔偿，原应从该项保险得到的保险金应由负有投保义务的一方当事人支付。</w:t>
      </w:r>
    </w:p>
    <w:p w14:paraId="70DD9054">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20.6.6  报告义务</w:t>
      </w:r>
    </w:p>
    <w:p w14:paraId="14EBB80F">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当保险事故发生时，投保人应按照保险单规定的条件和期限及时向保险人报告。</w:t>
      </w:r>
    </w:p>
    <w:p w14:paraId="063990A4">
      <w:pPr>
        <w:pStyle w:val="3"/>
        <w:keepNext w:val="0"/>
        <w:keepLines w:val="0"/>
        <w:widowControl/>
        <w:snapToGrid w:val="0"/>
        <w:spacing w:before="0" w:after="0" w:line="360" w:lineRule="auto"/>
        <w:ind w:left="210" w:leftChars="100"/>
        <w:jc w:val="left"/>
        <w:rPr>
          <w:rFonts w:ascii="宋体" w:hAnsi="宋体"/>
          <w:b w:val="0"/>
          <w:bCs w:val="0"/>
          <w:color w:val="auto"/>
          <w:sz w:val="21"/>
          <w:szCs w:val="21"/>
          <w:highlight w:val="none"/>
          <w:shd w:val="clear" w:color="auto" w:fill="FFFFFF"/>
        </w:rPr>
      </w:pPr>
      <w:bookmarkStart w:id="1443" w:name="_BookMark_242"/>
      <w:bookmarkEnd w:id="1443"/>
      <w:bookmarkStart w:id="1444" w:name="_Toc14866830"/>
      <w:bookmarkStart w:id="1445" w:name="_Toc11089072"/>
      <w:bookmarkStart w:id="1446" w:name="_Toc32495"/>
      <w:bookmarkStart w:id="1447" w:name="_Toc4661573"/>
      <w:r>
        <w:rPr>
          <w:rFonts w:hint="eastAsia" w:ascii="宋体" w:hAnsi="宋体"/>
          <w:b w:val="0"/>
          <w:bCs w:val="0"/>
          <w:color w:val="auto"/>
          <w:sz w:val="21"/>
          <w:szCs w:val="21"/>
          <w:highlight w:val="none"/>
          <w:shd w:val="clear" w:color="auto" w:fill="FFFFFF"/>
        </w:rPr>
        <w:t>21.不可抗力</w:t>
      </w:r>
      <w:bookmarkEnd w:id="1444"/>
      <w:bookmarkEnd w:id="1445"/>
      <w:bookmarkEnd w:id="1446"/>
      <w:bookmarkEnd w:id="1447"/>
    </w:p>
    <w:p w14:paraId="286A91A3">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448" w:name="_BookMark_243"/>
      <w:bookmarkEnd w:id="1448"/>
      <w:bookmarkStart w:id="1449" w:name="_Toc4661574"/>
      <w:bookmarkStart w:id="1450" w:name="_Toc11089073"/>
      <w:bookmarkStart w:id="1451" w:name="_Toc21281"/>
      <w:bookmarkStart w:id="1452" w:name="_Toc14866831"/>
      <w:r>
        <w:rPr>
          <w:rFonts w:hint="eastAsia" w:ascii="宋体" w:hAnsi="宋体" w:cs="宋体"/>
          <w:b w:val="0"/>
          <w:bCs w:val="0"/>
          <w:color w:val="auto"/>
          <w:sz w:val="21"/>
          <w:szCs w:val="21"/>
          <w:highlight w:val="none"/>
          <w:shd w:val="clear" w:color="auto" w:fill="FFFFFF"/>
        </w:rPr>
        <w:t>21.1  不可抗力的确认</w:t>
      </w:r>
      <w:bookmarkEnd w:id="1449"/>
      <w:bookmarkEnd w:id="1450"/>
      <w:bookmarkEnd w:id="1451"/>
      <w:bookmarkEnd w:id="1452"/>
    </w:p>
    <w:p w14:paraId="7E998B62">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21.1.1  不可抗力是指承包人和发包人在订立合同时不可预见，在工程施工过程中不可避免发生并不能克服的自然灾害和社会性突发事件，如地震、海啸、瘟疫、水灾、骚乱、暴动、战争和合同约定的其他情形。其他情形见合同条款专用部分。</w:t>
      </w:r>
    </w:p>
    <w:p w14:paraId="1CD91106">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21.1.2  不可抗力发生后，发包人和承包人应及时认真统计所造成的损失，收集不可抗力造成损失的证据。合同双方对是否属于不可抗力或其损失的意见不一致的，由监理人按第3.5款商定或确定。发生争议时，按第24条的约定办理。</w:t>
      </w:r>
    </w:p>
    <w:p w14:paraId="3979260B">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453" w:name="_BookMark_244"/>
      <w:bookmarkEnd w:id="1453"/>
      <w:bookmarkStart w:id="1454" w:name="_Toc32713"/>
      <w:bookmarkStart w:id="1455" w:name="_Toc14866832"/>
      <w:bookmarkStart w:id="1456" w:name="_Toc4661575"/>
      <w:bookmarkStart w:id="1457" w:name="_Toc11089074"/>
      <w:r>
        <w:rPr>
          <w:rFonts w:hint="eastAsia" w:ascii="宋体" w:hAnsi="宋体" w:cs="宋体"/>
          <w:b w:val="0"/>
          <w:bCs w:val="0"/>
          <w:color w:val="auto"/>
          <w:sz w:val="21"/>
          <w:szCs w:val="21"/>
          <w:highlight w:val="none"/>
          <w:shd w:val="clear" w:color="auto" w:fill="FFFFFF"/>
        </w:rPr>
        <w:t>21.2  不可抗力的通知</w:t>
      </w:r>
      <w:bookmarkEnd w:id="1454"/>
      <w:bookmarkEnd w:id="1455"/>
      <w:bookmarkEnd w:id="1456"/>
      <w:bookmarkEnd w:id="1457"/>
    </w:p>
    <w:p w14:paraId="21B5379E">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21.2.1  合同一方当事人遇到不可抗力事件，使其履行合同义务受到阻碍时，应立即通知合同另一方当事人和监理人，书面说明不可抗力和受阻碍的详细情况，并提供必要的证明。</w:t>
      </w:r>
    </w:p>
    <w:p w14:paraId="2E5B05CC">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21.2.2  如不可抗力持续发生，合同一方当事人应及时向合同另一方当事人和监理人提交中间报告，说明不可抗力和履行合同受阻的情况，并于不可抗力事件结束后28天内提交最终报告及有关资料。</w:t>
      </w:r>
    </w:p>
    <w:p w14:paraId="71A8D59E">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458" w:name="_BookMark_245"/>
      <w:bookmarkEnd w:id="1458"/>
      <w:bookmarkStart w:id="1459" w:name="_Toc4661576"/>
      <w:bookmarkStart w:id="1460" w:name="_Toc14866833"/>
      <w:bookmarkStart w:id="1461" w:name="_Toc11089075"/>
      <w:bookmarkStart w:id="1462" w:name="_Toc137"/>
      <w:r>
        <w:rPr>
          <w:rFonts w:hint="eastAsia" w:ascii="宋体" w:hAnsi="宋体" w:cs="宋体"/>
          <w:b w:val="0"/>
          <w:bCs w:val="0"/>
          <w:color w:val="auto"/>
          <w:sz w:val="21"/>
          <w:szCs w:val="21"/>
          <w:highlight w:val="none"/>
          <w:shd w:val="clear" w:color="auto" w:fill="FFFFFF"/>
        </w:rPr>
        <w:t>21.3  不可抗力后果及其处理</w:t>
      </w:r>
      <w:bookmarkEnd w:id="1459"/>
      <w:bookmarkEnd w:id="1460"/>
      <w:bookmarkEnd w:id="1461"/>
      <w:bookmarkEnd w:id="1462"/>
    </w:p>
    <w:p w14:paraId="33AB8BF6">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21.3.1  不可抗力造成损害的责任</w:t>
      </w:r>
    </w:p>
    <w:p w14:paraId="2D00F535">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 xml:space="preserve">不可抗力导致的人员伤亡、财产损失、费用增加和（或）工期延误等后果，由合同双方按以下原则承担： </w:t>
      </w:r>
    </w:p>
    <w:p w14:paraId="4725BDAC">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（1）永久工程，包括已运至施工场地的材料和工程设备的损害，以及因工程损害造成的第三者人员伤亡和财产损失由发包人承担；</w:t>
      </w:r>
    </w:p>
    <w:p w14:paraId="2F657E18">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（2）承包人设备的损坏由承包人承担；</w:t>
      </w:r>
    </w:p>
    <w:p w14:paraId="6F12CA28">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（3）发包人和承包人各自承担其人员伤亡和其他财产损失及其相关费用；</w:t>
      </w:r>
    </w:p>
    <w:p w14:paraId="14A0E42F">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（4）承包人的停工损失由承包人承担，但停工期间应监理人要求照管工程和清理、修复工程的金额由发包人承担；</w:t>
      </w:r>
    </w:p>
    <w:p w14:paraId="4106CA89">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（5）不能按期竣工的，应合理延长工期，承包人不需支付逾期竣工违约金。发包人要求赶工的，承包人应采取赶工措施，赶工费用由发包人承担。</w:t>
      </w:r>
    </w:p>
    <w:p w14:paraId="6E8811E3">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21.3.2  延迟履行期间发生的不可抗力</w:t>
      </w:r>
    </w:p>
    <w:p w14:paraId="0A03376A">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合同一方当事人延迟履行，在延迟履行期间发生不可抗力的，不免除其责任。</w:t>
      </w:r>
    </w:p>
    <w:p w14:paraId="433BF3A3">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21.3.3  避免和减少不可抗力损失</w:t>
      </w:r>
    </w:p>
    <w:p w14:paraId="6CA4E49B">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不可抗力发生后，发包人和承包人均应采取措施尽量避免和减少损失的扩大，任何一方没有采取有效措施导致损失扩大的，应对扩大的损失承担责任。</w:t>
      </w:r>
    </w:p>
    <w:p w14:paraId="1984B29A">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21.3.4  因不可抗力解除合同</w:t>
      </w:r>
    </w:p>
    <w:p w14:paraId="07B48912">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参照第22.2.4项约定，由监理人按第3.5款商定或确定。</w:t>
      </w:r>
    </w:p>
    <w:p w14:paraId="5A345CF3">
      <w:pPr>
        <w:pStyle w:val="3"/>
        <w:keepNext w:val="0"/>
        <w:keepLines w:val="0"/>
        <w:widowControl/>
        <w:snapToGrid w:val="0"/>
        <w:spacing w:before="0" w:after="0" w:line="360" w:lineRule="auto"/>
        <w:ind w:left="210" w:leftChars="100"/>
        <w:jc w:val="left"/>
        <w:rPr>
          <w:rFonts w:ascii="宋体" w:hAnsi="宋体"/>
          <w:b w:val="0"/>
          <w:bCs w:val="0"/>
          <w:color w:val="auto"/>
          <w:sz w:val="21"/>
          <w:szCs w:val="21"/>
          <w:highlight w:val="none"/>
          <w:shd w:val="clear" w:color="auto" w:fill="FFFFFF"/>
        </w:rPr>
      </w:pPr>
      <w:bookmarkStart w:id="1463" w:name="_BookMark_246"/>
      <w:bookmarkEnd w:id="1463"/>
      <w:bookmarkStart w:id="1464" w:name="_Toc14866834"/>
      <w:bookmarkStart w:id="1465" w:name="_Toc4661577"/>
      <w:bookmarkStart w:id="1466" w:name="_Toc8918"/>
      <w:bookmarkStart w:id="1467" w:name="_Toc11089076"/>
      <w:r>
        <w:rPr>
          <w:rFonts w:hint="eastAsia" w:ascii="宋体" w:hAnsi="宋体"/>
          <w:b w:val="0"/>
          <w:bCs w:val="0"/>
          <w:color w:val="auto"/>
          <w:sz w:val="21"/>
          <w:szCs w:val="21"/>
          <w:highlight w:val="none"/>
          <w:shd w:val="clear" w:color="auto" w:fill="FFFFFF"/>
        </w:rPr>
        <w:t>22.违约</w:t>
      </w:r>
      <w:bookmarkEnd w:id="1464"/>
      <w:bookmarkEnd w:id="1465"/>
      <w:bookmarkEnd w:id="1466"/>
      <w:bookmarkEnd w:id="1467"/>
    </w:p>
    <w:p w14:paraId="4CB69BF6">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468" w:name="_BookMark_247"/>
      <w:bookmarkEnd w:id="1468"/>
      <w:bookmarkStart w:id="1469" w:name="_Toc14866835"/>
      <w:bookmarkStart w:id="1470" w:name="_Toc11089077"/>
      <w:bookmarkStart w:id="1471" w:name="_Toc25656"/>
      <w:bookmarkStart w:id="1472" w:name="_Toc4661578"/>
      <w:r>
        <w:rPr>
          <w:rFonts w:hint="eastAsia" w:ascii="宋体" w:hAnsi="宋体" w:cs="宋体"/>
          <w:b w:val="0"/>
          <w:bCs w:val="0"/>
          <w:color w:val="auto"/>
          <w:sz w:val="21"/>
          <w:szCs w:val="21"/>
          <w:highlight w:val="none"/>
          <w:shd w:val="clear" w:color="auto" w:fill="FFFFFF"/>
        </w:rPr>
        <w:t>22.1  承包人违约</w:t>
      </w:r>
      <w:bookmarkEnd w:id="1469"/>
      <w:bookmarkEnd w:id="1470"/>
      <w:bookmarkEnd w:id="1471"/>
      <w:bookmarkEnd w:id="1472"/>
    </w:p>
    <w:p w14:paraId="60788446">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22.1.1  承包人违约的情形</w:t>
      </w:r>
    </w:p>
    <w:p w14:paraId="14F174E8">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在履行合同过程中发生的下列情况属承包人违约：</w:t>
      </w:r>
    </w:p>
    <w:p w14:paraId="7045CEC6">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（1）承包人违反第1.8款或第4.3款的约定，私自将合同的全部或部分权利转让给其他人，或私自将合同的全部或部分义务转移给其他人；</w:t>
      </w:r>
    </w:p>
    <w:p w14:paraId="2C80B166">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（2）承包人违反第5.3款或第6.4款的约定，未经监理人批准，私自将已按合同约定进入施工场地的施工设备、临时设施或材料撤离施工场地；</w:t>
      </w:r>
    </w:p>
    <w:p w14:paraId="79C33367">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（3）承包人违反第5.4款的约定使用了不合格材料或工程设备，工程质量达不到标准要求，又拒绝清除不合格工程；</w:t>
      </w:r>
    </w:p>
    <w:p w14:paraId="03F6A927">
      <w:pPr>
        <w:widowControl/>
        <w:snapToGrid w:val="0"/>
        <w:spacing w:line="360" w:lineRule="auto"/>
        <w:ind w:left="210" w:leftChars="100" w:firstLine="428"/>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（4）承包人未能按合同进度计划及时完成合同约定的工作，已造成或预期造成工期延误；</w:t>
      </w:r>
    </w:p>
    <w:p w14:paraId="7FCC2B42">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（5）承包人在缺陷责任期内，未能对工程接收证书所列的缺陷清单的内容或缺陷责任期内发生的缺陷进行修复，而又拒绝按监理人指示再进行修补；</w:t>
      </w:r>
    </w:p>
    <w:p w14:paraId="723C99AB">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（6）承包人无法继续履行或明确表示不履行或实质上已停止履行合同；</w:t>
      </w:r>
    </w:p>
    <w:p w14:paraId="661508BC">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（7）承包人不按合同约定履行义务的其他情况。</w:t>
      </w:r>
    </w:p>
    <w:p w14:paraId="47660221">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22.1.2  对承包人违约的处理</w:t>
      </w:r>
    </w:p>
    <w:p w14:paraId="6A788243">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（1）承包人发生第22.1.1（6）目约定的违约情况时，发包人可通知承包人立即解除合同，并按有关法律处理。</w:t>
      </w:r>
    </w:p>
    <w:p w14:paraId="302C8967">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（2）承包人发生除第22.1.1（6）目约定以外的其他违约情况时，监理人可向承包人发出整改通知，要求其在指定的期限内改正。承包人应承担其违约所引起的费用增加和（或）工期延误。</w:t>
      </w:r>
    </w:p>
    <w:p w14:paraId="0B6FC8CC">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（3）经检查证明承包人已采取了有效措施纠正违约行为，具备复工条件的，可由监理人签发复工通知复工。</w:t>
      </w:r>
    </w:p>
    <w:p w14:paraId="03322ED7">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22.1.3  承包人违约解除合同</w:t>
      </w:r>
    </w:p>
    <w:p w14:paraId="59EC14C9">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p>
    <w:p w14:paraId="3419E12B">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22.1.4  合同解除后的估价、付款和结清</w:t>
      </w:r>
    </w:p>
    <w:p w14:paraId="20EC2C19">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 xml:space="preserve">（1）合同解除后，监理人按第3.5款商定或确定承包人实际完成工作的价值，以及承包人已提供的材料、施工设备、工程设备和临时工程等的价值。 </w:t>
      </w:r>
    </w:p>
    <w:p w14:paraId="3B926BFA">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 xml:space="preserve">（2）合同解除后，发包人应暂停对承包人的一切付款，查清各项付款和已扣款金额，包括承包人应支付的违约金。 </w:t>
      </w:r>
    </w:p>
    <w:p w14:paraId="01E1DE31">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（3）合同解除后，发包人应按第23.4款的约定向承包人索赔由于解除合同给发包人造成的损失。</w:t>
      </w:r>
    </w:p>
    <w:p w14:paraId="18836029">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（4）合同双方确认上述往来款项后，出具最终结清付款证书，结清全部合同款项。</w:t>
      </w:r>
    </w:p>
    <w:p w14:paraId="63574B0E">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（5）发包人和承包人未能就解除合同后的结清达成一致而形成争议的，按第24条的约定办理。</w:t>
      </w:r>
    </w:p>
    <w:p w14:paraId="33D33D99">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22.1.5  协议利益的转让</w:t>
      </w:r>
    </w:p>
    <w:p w14:paraId="145CDA35">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 xml:space="preserve">因承包人违约解除合同的，发包人有权要求承包人将其为实施合同而签订的材料和设备的订货协议或任何服务协议利益转让给发包人，并在解除合同后的14天内，依法办理转让手续。 </w:t>
      </w:r>
    </w:p>
    <w:p w14:paraId="317BDC40">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22.1.6  紧急情况下无能力或不愿进行抢救</w:t>
      </w:r>
    </w:p>
    <w:p w14:paraId="081E45BB">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p>
    <w:p w14:paraId="31563E73">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473" w:name="_BookMark_248"/>
      <w:bookmarkEnd w:id="1473"/>
      <w:bookmarkStart w:id="1474" w:name="_Toc4661579"/>
      <w:bookmarkStart w:id="1475" w:name="_Toc14866836"/>
      <w:bookmarkStart w:id="1476" w:name="_Toc9571"/>
      <w:bookmarkStart w:id="1477" w:name="_Toc11089078"/>
      <w:r>
        <w:rPr>
          <w:rFonts w:hint="eastAsia" w:ascii="宋体" w:hAnsi="宋体" w:cs="宋体"/>
          <w:b w:val="0"/>
          <w:bCs w:val="0"/>
          <w:color w:val="auto"/>
          <w:sz w:val="21"/>
          <w:szCs w:val="21"/>
          <w:highlight w:val="none"/>
          <w:shd w:val="clear" w:color="auto" w:fill="FFFFFF"/>
        </w:rPr>
        <w:t>22.2  发包人违约</w:t>
      </w:r>
      <w:bookmarkEnd w:id="1474"/>
      <w:bookmarkEnd w:id="1475"/>
      <w:bookmarkEnd w:id="1476"/>
      <w:bookmarkEnd w:id="1477"/>
    </w:p>
    <w:p w14:paraId="5F78ECED">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22.2.1  发包人违约的情形</w:t>
      </w:r>
    </w:p>
    <w:p w14:paraId="4864DB12">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在履行合同过程中发生的下列情形，属发包人违约：</w:t>
      </w:r>
    </w:p>
    <w:p w14:paraId="7CBACA53">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（1）发包人未能按合同约定支付预付款或合同价款，或拖延、拒绝批准付款申请和支付凭证，导致付款延误的；</w:t>
      </w:r>
    </w:p>
    <w:p w14:paraId="7435F255">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（2）发包人原因造成停工的；</w:t>
      </w:r>
    </w:p>
    <w:p w14:paraId="0ABDB1D3">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（3）监理人无正当理由没有在约定期限内发出复工指示，导致承包人无法复工的；</w:t>
      </w:r>
    </w:p>
    <w:p w14:paraId="5AB3DE2B">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（4）发包人无法继续履行或明确表示不履行或实质上已停止履行合同的；</w:t>
      </w:r>
    </w:p>
    <w:p w14:paraId="3421285E">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（5）发包人不履行合同约定其他义务的。</w:t>
      </w:r>
    </w:p>
    <w:p w14:paraId="13A51256">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22.2.2  承包人有权暂停施工</w:t>
      </w:r>
    </w:p>
    <w:p w14:paraId="73B08D43">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发包人发生除第22.2.1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p>
    <w:p w14:paraId="69893D6A">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 xml:space="preserve">22.2.3  发包人违约解除合同 </w:t>
      </w:r>
    </w:p>
    <w:p w14:paraId="655753CE">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 xml:space="preserve">（1）发生第22.2.1（4）目的违约情况时，承包人可书面通知发包人解除合同。   </w:t>
      </w:r>
    </w:p>
    <w:p w14:paraId="465611AA">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（2）承包人按第22.2.2项暂停施工28天后，发包人仍不纠正违约行为的，承包人可向发包人发出解除合同通知。但承包人的这一行动不免除发包人承担的违约责任，也不影响承包人根据合同约定享有的索赔权利。</w:t>
      </w:r>
    </w:p>
    <w:p w14:paraId="002783B8">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22.2.4  解除合同后的付款</w:t>
      </w:r>
    </w:p>
    <w:p w14:paraId="288B7FC9">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因发包人违约解除合同的，发包人应在解除合同后28天内向承包人支付下列金额，承包人应在此期限内及时向发包人提交要求支付下列金额的有关资料和凭证：</w:t>
      </w:r>
    </w:p>
    <w:p w14:paraId="46D8E400">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（1）合同解除日以前所完成工作的价款；</w:t>
      </w:r>
    </w:p>
    <w:p w14:paraId="0DC96380">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（2）承包人为该工程施工订购并已付款的材料、工程设备和其他物品的金额。发包人付还后，该材料、工程设备和其他物品归发包人所有；</w:t>
      </w:r>
    </w:p>
    <w:p w14:paraId="3961D688">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（3）承包人为完成工程所发生的，而发包人未支付的金额；</w:t>
      </w:r>
    </w:p>
    <w:p w14:paraId="560FD2B1">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（4）承包人撤离施工场地以及遣散承包人人员的金额；</w:t>
      </w:r>
    </w:p>
    <w:p w14:paraId="1A90BDC8">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（5）由于解除合同应赔偿的承包人损失；</w:t>
      </w:r>
    </w:p>
    <w:p w14:paraId="2FBB3A45">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（6）按合同约定在合同解除日前应支付给承包人的其他金额。</w:t>
      </w:r>
    </w:p>
    <w:p w14:paraId="610F846E">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发包人应按本项约定支付上述金额并退还质量保证金或退还质量保证金保函和履约担保，但有权要求承包人支付应偿还给发包人的各项金额。</w:t>
      </w:r>
    </w:p>
    <w:p w14:paraId="3075B939">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22.2.5  解除合同后的承包人撤离</w:t>
      </w:r>
    </w:p>
    <w:p w14:paraId="1D6B8F14">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因发包人违约而解除合同后，承包人应妥善做好已竣工工程和已购材料、设备的保护和移交工作，按发包人要求将承包人设备和人员撤出施工场地。承包人撤出施工场地应遵守第18.7.1项的约定，发包人应为承包人撤出提供必要条件。</w:t>
      </w:r>
    </w:p>
    <w:p w14:paraId="30B34C9E">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478" w:name="_BookMark_249"/>
      <w:bookmarkEnd w:id="1478"/>
      <w:bookmarkStart w:id="1479" w:name="_Toc11089079"/>
      <w:bookmarkStart w:id="1480" w:name="_Toc4661580"/>
      <w:bookmarkStart w:id="1481" w:name="_Toc14866837"/>
      <w:bookmarkStart w:id="1482" w:name="_Toc5979"/>
      <w:r>
        <w:rPr>
          <w:rFonts w:hint="eastAsia" w:ascii="宋体" w:hAnsi="宋体" w:cs="宋体"/>
          <w:b w:val="0"/>
          <w:bCs w:val="0"/>
          <w:color w:val="auto"/>
          <w:sz w:val="21"/>
          <w:szCs w:val="21"/>
          <w:highlight w:val="none"/>
          <w:shd w:val="clear" w:color="auto" w:fill="FFFFFF"/>
        </w:rPr>
        <w:t>22.3  第三人造成的违约</w:t>
      </w:r>
      <w:bookmarkEnd w:id="1479"/>
      <w:bookmarkEnd w:id="1480"/>
      <w:bookmarkEnd w:id="1481"/>
      <w:bookmarkEnd w:id="1482"/>
    </w:p>
    <w:p w14:paraId="6BFBAB40">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在履行合同过程中，一方当事人因第三人的原因造成违约的，应当向对方当事人承担违约责任。一方当事人和第三人之间的纠纷，依照法律规定或者按照约定解决。</w:t>
      </w:r>
    </w:p>
    <w:p w14:paraId="64342452">
      <w:pPr>
        <w:pStyle w:val="3"/>
        <w:keepNext w:val="0"/>
        <w:keepLines w:val="0"/>
        <w:widowControl/>
        <w:snapToGrid w:val="0"/>
        <w:spacing w:before="0" w:after="0" w:line="360" w:lineRule="auto"/>
        <w:ind w:left="210" w:leftChars="100"/>
        <w:jc w:val="left"/>
        <w:rPr>
          <w:rFonts w:ascii="宋体" w:hAnsi="宋体"/>
          <w:b w:val="0"/>
          <w:bCs w:val="0"/>
          <w:color w:val="auto"/>
          <w:sz w:val="21"/>
          <w:szCs w:val="21"/>
          <w:highlight w:val="none"/>
          <w:shd w:val="clear" w:color="auto" w:fill="FFFFFF"/>
        </w:rPr>
      </w:pPr>
      <w:bookmarkStart w:id="1483" w:name="_BookMark_250"/>
      <w:bookmarkEnd w:id="1483"/>
      <w:bookmarkStart w:id="1484" w:name="_Toc4661581"/>
      <w:bookmarkStart w:id="1485" w:name="_Toc4283"/>
      <w:bookmarkStart w:id="1486" w:name="_Toc14866838"/>
      <w:bookmarkStart w:id="1487" w:name="_Toc11089080"/>
      <w:r>
        <w:rPr>
          <w:rFonts w:hint="eastAsia" w:ascii="宋体" w:hAnsi="宋体"/>
          <w:b w:val="0"/>
          <w:bCs w:val="0"/>
          <w:color w:val="auto"/>
          <w:sz w:val="21"/>
          <w:szCs w:val="21"/>
          <w:highlight w:val="none"/>
          <w:shd w:val="clear" w:color="auto" w:fill="FFFFFF"/>
        </w:rPr>
        <w:t>23.索赔</w:t>
      </w:r>
      <w:bookmarkEnd w:id="1484"/>
      <w:bookmarkEnd w:id="1485"/>
      <w:bookmarkEnd w:id="1486"/>
      <w:bookmarkEnd w:id="1487"/>
    </w:p>
    <w:p w14:paraId="2C913617">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488" w:name="_BookMark_251"/>
      <w:bookmarkEnd w:id="1488"/>
      <w:bookmarkStart w:id="1489" w:name="_Toc4661582"/>
      <w:bookmarkStart w:id="1490" w:name="_Toc14866839"/>
      <w:bookmarkStart w:id="1491" w:name="_Toc10164"/>
      <w:bookmarkStart w:id="1492" w:name="_Toc11089081"/>
      <w:r>
        <w:rPr>
          <w:rFonts w:hint="eastAsia" w:ascii="宋体" w:hAnsi="宋体" w:cs="宋体"/>
          <w:b w:val="0"/>
          <w:bCs w:val="0"/>
          <w:color w:val="auto"/>
          <w:sz w:val="21"/>
          <w:szCs w:val="21"/>
          <w:highlight w:val="none"/>
          <w:shd w:val="clear" w:color="auto" w:fill="FFFFFF"/>
        </w:rPr>
        <w:t>23.1  承包人索赔的提出</w:t>
      </w:r>
      <w:bookmarkEnd w:id="1489"/>
      <w:bookmarkEnd w:id="1490"/>
      <w:bookmarkEnd w:id="1491"/>
      <w:bookmarkEnd w:id="1492"/>
    </w:p>
    <w:p w14:paraId="214298D5">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根据合同约定，承包人认为有权得到追加付款和（或）延长工期的，应按以下程序向发包人提出索赔：</w:t>
      </w:r>
    </w:p>
    <w:p w14:paraId="400532DA">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（1）承包人应在知道或应当知道索赔事件发生后28天内，向监理人递交索赔意向通知书，并说明发生索赔事件的事由。承包人未在前述28天内发出索赔意向通知书的，丧失要求追加付款和（或）延长工期的权利；</w:t>
      </w:r>
    </w:p>
    <w:p w14:paraId="61C52F21">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（2）承包人应在发出索赔意向通知书后28天内，向监理人正式递交索赔通知书。索赔通知书应详细说明索赔理由以及要求追加的付款金额和（或）延长的工期，并附必要的记录和证明材料；</w:t>
      </w:r>
    </w:p>
    <w:p w14:paraId="68FCD8B0">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（3）索赔事件具有连续影响的，承包人应按合理时间间隔继续递交延续索赔通知，说明连续影响的实际情况和记录，列出累计的追加付款金额和（或）工期延长天数；</w:t>
      </w:r>
    </w:p>
    <w:p w14:paraId="436BFFA0">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（4）在索赔事件影响结束后的28天内，承包人应向监理人递交最终索赔通知书，说明最终要求索赔的追加付款金额和延长的工期，并附必要的记录和证明材料。</w:t>
      </w:r>
    </w:p>
    <w:p w14:paraId="7139FCBC">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493" w:name="_BookMark_252"/>
      <w:bookmarkEnd w:id="1493"/>
      <w:bookmarkStart w:id="1494" w:name="_Toc18091"/>
      <w:bookmarkStart w:id="1495" w:name="_Toc11089082"/>
      <w:bookmarkStart w:id="1496" w:name="_Toc14866840"/>
      <w:bookmarkStart w:id="1497" w:name="_Toc4661583"/>
      <w:r>
        <w:rPr>
          <w:rFonts w:hint="eastAsia" w:ascii="宋体" w:hAnsi="宋体" w:cs="宋体"/>
          <w:b w:val="0"/>
          <w:bCs w:val="0"/>
          <w:color w:val="auto"/>
          <w:sz w:val="21"/>
          <w:szCs w:val="21"/>
          <w:highlight w:val="none"/>
          <w:shd w:val="clear" w:color="auto" w:fill="FFFFFF"/>
        </w:rPr>
        <w:t>23.2  承包人索赔处理程序</w:t>
      </w:r>
      <w:bookmarkEnd w:id="1494"/>
      <w:bookmarkEnd w:id="1495"/>
      <w:bookmarkEnd w:id="1496"/>
      <w:bookmarkEnd w:id="1497"/>
    </w:p>
    <w:p w14:paraId="5C3F3755">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（1）监理人收到承包人提交的索赔通知书后，应及时审查索赔通知书的内容、查验承包人的记录和证明材料，必要时监理人可要求承包人提交全部原始记录副本。</w:t>
      </w:r>
    </w:p>
    <w:p w14:paraId="770F0714">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（2）监理人应按第3.5款商定或确定追加的付款和（或）延长的工期，并在收到上述索赔通知书或有关索赔的进一步证明材料后的42天内，将索赔处理结果答复承包人。</w:t>
      </w:r>
    </w:p>
    <w:p w14:paraId="30552960">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（3）承包人接受索赔处理结果的，发包人应在作出索赔处理结果答复后28天内完成赔付。承包人不接受索赔处理结果的，按第24条的约定办理。</w:t>
      </w:r>
    </w:p>
    <w:p w14:paraId="5A27DC30">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498" w:name="_BookMark_253"/>
      <w:bookmarkEnd w:id="1498"/>
      <w:bookmarkStart w:id="1499" w:name="_Toc4661584"/>
      <w:bookmarkStart w:id="1500" w:name="_Toc11089083"/>
      <w:bookmarkStart w:id="1501" w:name="_Toc13965"/>
      <w:bookmarkStart w:id="1502" w:name="_Toc14866841"/>
      <w:r>
        <w:rPr>
          <w:rFonts w:hint="eastAsia" w:ascii="宋体" w:hAnsi="宋体" w:cs="宋体"/>
          <w:b w:val="0"/>
          <w:bCs w:val="0"/>
          <w:color w:val="auto"/>
          <w:sz w:val="21"/>
          <w:szCs w:val="21"/>
          <w:highlight w:val="none"/>
          <w:shd w:val="clear" w:color="auto" w:fill="FFFFFF"/>
        </w:rPr>
        <w:t>23.3  承包人提出索赔的期限</w:t>
      </w:r>
      <w:bookmarkEnd w:id="1499"/>
      <w:bookmarkEnd w:id="1500"/>
      <w:bookmarkEnd w:id="1501"/>
      <w:bookmarkEnd w:id="1502"/>
    </w:p>
    <w:p w14:paraId="0272F847">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23.3.1  承包人按第17.5款的约定接受了竣工付款证书后，应被认为已无权再提出在合同工程接收证书颁发前所发生的任何索赔。</w:t>
      </w:r>
    </w:p>
    <w:p w14:paraId="529B62E2">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 xml:space="preserve">23.3.2  承包人按第17.6款的约定提交的最终结清申请单中，只限于提出工程接收证书颁发后发生的索赔。提出索赔的期限自接受最终结清证书时终止。 </w:t>
      </w:r>
    </w:p>
    <w:p w14:paraId="572B84DF">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503" w:name="_BookMark_254"/>
      <w:bookmarkEnd w:id="1503"/>
      <w:bookmarkStart w:id="1504" w:name="_Toc14866842"/>
      <w:bookmarkStart w:id="1505" w:name="_Toc4661585"/>
      <w:bookmarkStart w:id="1506" w:name="_Toc11089084"/>
      <w:bookmarkStart w:id="1507" w:name="_Toc22342"/>
      <w:r>
        <w:rPr>
          <w:rFonts w:hint="eastAsia" w:ascii="宋体" w:hAnsi="宋体" w:cs="宋体"/>
          <w:b w:val="0"/>
          <w:bCs w:val="0"/>
          <w:color w:val="auto"/>
          <w:sz w:val="21"/>
          <w:szCs w:val="21"/>
          <w:highlight w:val="none"/>
          <w:shd w:val="clear" w:color="auto" w:fill="FFFFFF"/>
        </w:rPr>
        <w:t>23.4  发包人的索赔</w:t>
      </w:r>
      <w:bookmarkEnd w:id="1504"/>
      <w:bookmarkEnd w:id="1505"/>
      <w:bookmarkEnd w:id="1506"/>
      <w:bookmarkEnd w:id="1507"/>
    </w:p>
    <w:p w14:paraId="1213A751">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23.4.1  发生索赔事件后，监理人应及时书面通知承包人，详细说明发包人有权得到的索赔金额和（或）延长缺陷责任期的细节和依据。发包人提出索赔的期限和要求与第23.3款的约定相同，延长缺陷责任期的通知应在缺陷责任期届满前发出。</w:t>
      </w:r>
    </w:p>
    <w:p w14:paraId="57C764FE">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23.4.2  监理人按第3.5款商定或确定发包人从承包人处得到赔付的金额和（或）缺陷责任期的延长期。承包人应付给发包人的金额可从拟支付给承包人的合同价款中扣除，或由承包人以其他方式支付给发包人。</w:t>
      </w:r>
    </w:p>
    <w:p w14:paraId="08E07E33">
      <w:pPr>
        <w:pStyle w:val="3"/>
        <w:keepNext w:val="0"/>
        <w:keepLines w:val="0"/>
        <w:widowControl/>
        <w:snapToGrid w:val="0"/>
        <w:spacing w:before="0" w:after="0" w:line="360" w:lineRule="auto"/>
        <w:ind w:left="210" w:leftChars="100"/>
        <w:jc w:val="left"/>
        <w:rPr>
          <w:rFonts w:ascii="宋体" w:hAnsi="宋体"/>
          <w:b w:val="0"/>
          <w:bCs w:val="0"/>
          <w:color w:val="auto"/>
          <w:sz w:val="21"/>
          <w:szCs w:val="21"/>
          <w:highlight w:val="none"/>
          <w:shd w:val="clear" w:color="auto" w:fill="FFFFFF"/>
        </w:rPr>
      </w:pPr>
      <w:bookmarkStart w:id="1508" w:name="_BookMark_255"/>
      <w:bookmarkEnd w:id="1508"/>
      <w:bookmarkStart w:id="1509" w:name="_Toc4661586"/>
      <w:bookmarkStart w:id="1510" w:name="_Toc11089085"/>
      <w:bookmarkStart w:id="1511" w:name="_Toc24560"/>
      <w:bookmarkStart w:id="1512" w:name="_Toc14866843"/>
      <w:r>
        <w:rPr>
          <w:rFonts w:hint="eastAsia" w:ascii="宋体" w:hAnsi="宋体"/>
          <w:b w:val="0"/>
          <w:bCs w:val="0"/>
          <w:color w:val="auto"/>
          <w:sz w:val="21"/>
          <w:szCs w:val="21"/>
          <w:highlight w:val="none"/>
          <w:shd w:val="clear" w:color="auto" w:fill="FFFFFF"/>
        </w:rPr>
        <w:t>24.争议的解决</w:t>
      </w:r>
      <w:bookmarkEnd w:id="1509"/>
      <w:bookmarkEnd w:id="1510"/>
      <w:bookmarkEnd w:id="1511"/>
      <w:bookmarkEnd w:id="1512"/>
    </w:p>
    <w:p w14:paraId="629EEF44">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513" w:name="_BookMark_256"/>
      <w:bookmarkEnd w:id="1513"/>
      <w:bookmarkStart w:id="1514" w:name="_Toc4515"/>
      <w:bookmarkStart w:id="1515" w:name="_Toc4661587"/>
      <w:bookmarkStart w:id="1516" w:name="_Toc14866844"/>
      <w:bookmarkStart w:id="1517" w:name="_Toc11089086"/>
      <w:r>
        <w:rPr>
          <w:rFonts w:hint="eastAsia" w:ascii="宋体" w:hAnsi="宋体" w:cs="宋体"/>
          <w:b w:val="0"/>
          <w:bCs w:val="0"/>
          <w:color w:val="auto"/>
          <w:sz w:val="21"/>
          <w:szCs w:val="21"/>
          <w:highlight w:val="none"/>
          <w:shd w:val="clear" w:color="auto" w:fill="FFFFFF"/>
        </w:rPr>
        <w:t>24.1  争议的解决方式</w:t>
      </w:r>
      <w:bookmarkEnd w:id="1514"/>
      <w:bookmarkEnd w:id="1515"/>
      <w:bookmarkEnd w:id="1516"/>
      <w:bookmarkEnd w:id="1517"/>
    </w:p>
    <w:p w14:paraId="1E5C745C">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发包人和承包人在履行合同中发生争议的，可以友好协商解决或者提请争议评审组评审。合同当事人友好协商解决不成、不愿提请争议评审或者不接受争议评审组意见的，可在合同条款专用部分中约定下列一种方式解决。</w:t>
      </w:r>
    </w:p>
    <w:p w14:paraId="56FA442C">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（1）向约定的仲裁委员会申请仲裁；</w:t>
      </w:r>
    </w:p>
    <w:p w14:paraId="59C1E766">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（2）向有管辖权的人民法院提起诉讼。</w:t>
      </w:r>
    </w:p>
    <w:p w14:paraId="3CD7E412">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518" w:name="_BookMark_257"/>
      <w:bookmarkEnd w:id="1518"/>
      <w:bookmarkStart w:id="1519" w:name="_Toc14866845"/>
      <w:bookmarkStart w:id="1520" w:name="_Toc13545"/>
      <w:bookmarkStart w:id="1521" w:name="_Toc11089087"/>
      <w:bookmarkStart w:id="1522" w:name="_Toc4661588"/>
      <w:r>
        <w:rPr>
          <w:rFonts w:hint="eastAsia" w:ascii="宋体" w:hAnsi="宋体" w:cs="宋体"/>
          <w:b w:val="0"/>
          <w:bCs w:val="0"/>
          <w:color w:val="auto"/>
          <w:sz w:val="21"/>
          <w:szCs w:val="21"/>
          <w:highlight w:val="none"/>
          <w:shd w:val="clear" w:color="auto" w:fill="FFFFFF"/>
        </w:rPr>
        <w:t>24.2  友好解决</w:t>
      </w:r>
      <w:bookmarkEnd w:id="1519"/>
      <w:bookmarkEnd w:id="1520"/>
      <w:bookmarkEnd w:id="1521"/>
      <w:bookmarkEnd w:id="1522"/>
    </w:p>
    <w:p w14:paraId="2B168FBB">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在提请争议评审、仲裁或者诉讼前，以及在争议评审、仲裁或诉讼过程中，发包人和承包人均可共同努力友好协商解决争议。</w:t>
      </w:r>
    </w:p>
    <w:p w14:paraId="44909661">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523" w:name="_BookMark_258"/>
      <w:bookmarkEnd w:id="1523"/>
      <w:bookmarkStart w:id="1524" w:name="_Toc11089088"/>
      <w:bookmarkStart w:id="1525" w:name="_Toc14866846"/>
      <w:bookmarkStart w:id="1526" w:name="_Toc4009"/>
      <w:bookmarkStart w:id="1527" w:name="_Toc4661589"/>
      <w:r>
        <w:rPr>
          <w:rFonts w:hint="eastAsia" w:ascii="宋体" w:hAnsi="宋体" w:cs="宋体"/>
          <w:b w:val="0"/>
          <w:bCs w:val="0"/>
          <w:color w:val="auto"/>
          <w:sz w:val="21"/>
          <w:szCs w:val="21"/>
          <w:highlight w:val="none"/>
          <w:shd w:val="clear" w:color="auto" w:fill="FFFFFF"/>
        </w:rPr>
        <w:t>24.3  争议评审</w:t>
      </w:r>
      <w:bookmarkEnd w:id="1524"/>
      <w:bookmarkEnd w:id="1525"/>
      <w:bookmarkEnd w:id="1526"/>
      <w:bookmarkEnd w:id="1527"/>
    </w:p>
    <w:p w14:paraId="5705DA07">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24.3.1  采用争议评审的，发包人和承包人应在开工日后的28天内或在争议发生后，协商成立争议评审组。争议评审组由有合同管理和工程实践经验的专家组成。</w:t>
      </w:r>
    </w:p>
    <w:p w14:paraId="5B3355AF">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24.3.2  合同双方的争议，应首先由申请人向争议评审组提交一份详细的评审申请报告，并附必要的文件、图纸和证明材料，申请人还应将上述报告的副本同时提交给被申请人和监理人。</w:t>
      </w:r>
    </w:p>
    <w:p w14:paraId="76773552">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24.3.3  被申请人在收到申请人评审申请报告副本后的28天内，向争议评审组提交一份答辩报告，并附证明材料。被申请人应将答辩报告的副本同时提交给申请人和监理人。</w:t>
      </w:r>
    </w:p>
    <w:p w14:paraId="4375DD3B">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24.3.4  争议评审组在收到合同双方报告后的14天内，邀请双方代表和有关人员在合同约定的期限内举行调查会，向双方调查争议细节；必要时争议评审组可要求双方进一步提供补充材料。举行调查会的期限见合同条款专用部分。</w:t>
      </w:r>
    </w:p>
    <w:p w14:paraId="036FE220">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24.3.5  在调查会结束后的14天内，争议评审组应在不受任何干扰的情况下进行独立、公正的评审，在合同约定的期限内作出书面评审意见，并说明理由。在争议评审期间，争议双方暂按总监理工程师的确定执行。争议评审组作出争议评审意见的期限见合同条款专用部分。</w:t>
      </w:r>
    </w:p>
    <w:p w14:paraId="33B6EA7E">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24.3.6  发包人和承包人接受评审意见的，由监理人根据评审意见拟定执行协议，经争议双方签字后作为合同的补充文件，并遵照执行。</w:t>
      </w:r>
    </w:p>
    <w:p w14:paraId="022365B1">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24.3.7  发包人或承包人不接受评审意见，并要求提交仲裁或提起诉讼的，应在收到评审意见后的14天内将仲裁或起诉意向书面通知另一方，并抄送监理人，但在仲裁或诉讼结束前应暂按总监理工程师的确定执行。</w:t>
      </w:r>
    </w:p>
    <w:p w14:paraId="30244442">
      <w:pPr>
        <w:keepNext w:val="0"/>
        <w:keepLines w:val="0"/>
        <w:pageBreakBefore w:val="0"/>
        <w:widowControl w:val="0"/>
        <w:kinsoku/>
        <w:wordWrap/>
        <w:overflowPunct/>
        <w:topLinePunct w:val="0"/>
        <w:autoSpaceDE/>
        <w:autoSpaceDN/>
        <w:bidi w:val="0"/>
        <w:adjustRightInd/>
        <w:snapToGrid/>
        <w:jc w:val="center"/>
        <w:textAlignment w:val="auto"/>
        <w:outlineLvl w:val="1"/>
        <w:rPr>
          <w:b/>
          <w:color w:val="auto"/>
          <w:sz w:val="32"/>
          <w:szCs w:val="32"/>
          <w:highlight w:val="none"/>
        </w:rPr>
      </w:pPr>
      <w:r>
        <w:rPr>
          <w:color w:val="auto"/>
          <w:highlight w:val="none"/>
        </w:rPr>
        <w:br w:type="page"/>
      </w:r>
      <w:bookmarkEnd w:id="708"/>
      <w:bookmarkEnd w:id="709"/>
      <w:bookmarkEnd w:id="710"/>
      <w:bookmarkEnd w:id="711"/>
      <w:bookmarkEnd w:id="712"/>
      <w:bookmarkEnd w:id="713"/>
      <w:bookmarkStart w:id="1528" w:name="_Toc10405"/>
      <w:r>
        <w:rPr>
          <w:rFonts w:hint="eastAsia"/>
          <w:b/>
          <w:color w:val="auto"/>
          <w:sz w:val="32"/>
          <w:szCs w:val="32"/>
          <w:highlight w:val="none"/>
        </w:rPr>
        <w:t>第</w:t>
      </w:r>
      <w:r>
        <w:rPr>
          <w:rFonts w:hint="eastAsia"/>
          <w:b/>
          <w:color w:val="auto"/>
          <w:sz w:val="32"/>
          <w:szCs w:val="32"/>
          <w:highlight w:val="none"/>
          <w:lang w:val="en-US" w:eastAsia="zh-CN"/>
        </w:rPr>
        <w:t>二部分</w:t>
      </w:r>
      <w:r>
        <w:rPr>
          <w:b/>
          <w:color w:val="auto"/>
          <w:sz w:val="32"/>
          <w:szCs w:val="32"/>
          <w:highlight w:val="none"/>
        </w:rPr>
        <w:t xml:space="preserve">  </w:t>
      </w:r>
      <w:r>
        <w:rPr>
          <w:rFonts w:hint="eastAsia"/>
          <w:b/>
          <w:color w:val="auto"/>
          <w:sz w:val="32"/>
          <w:szCs w:val="32"/>
          <w:highlight w:val="none"/>
        </w:rPr>
        <w:t>合同条款专用部分</w:t>
      </w:r>
      <w:bookmarkEnd w:id="1528"/>
    </w:p>
    <w:p w14:paraId="5245859A">
      <w:pPr>
        <w:spacing w:line="360" w:lineRule="auto"/>
        <w:jc w:val="center"/>
        <w:rPr>
          <w:rFonts w:ascii="黑体" w:hAnsi="黑体" w:eastAsia="黑体"/>
          <w:color w:val="auto"/>
          <w:sz w:val="28"/>
          <w:szCs w:val="28"/>
          <w:highlight w:val="none"/>
        </w:rPr>
      </w:pPr>
    </w:p>
    <w:p w14:paraId="4D3DF943">
      <w:pPr>
        <w:keepNext/>
        <w:keepLines/>
        <w:spacing w:before="120" w:beforeLines="50" w:after="120" w:afterLines="50" w:line="360" w:lineRule="auto"/>
        <w:outlineLvl w:val="1"/>
        <w:rPr>
          <w:rFonts w:ascii="宋体" w:hAnsi="宋体" w:cs="宋体"/>
          <w:color w:val="auto"/>
          <w:sz w:val="28"/>
          <w:szCs w:val="20"/>
          <w:highlight w:val="none"/>
        </w:rPr>
      </w:pPr>
      <w:bookmarkStart w:id="1529" w:name="_Toc497214043"/>
      <w:bookmarkStart w:id="1530" w:name="_Toc15657"/>
      <w:bookmarkStart w:id="1531" w:name="_Toc12517"/>
      <w:r>
        <w:rPr>
          <w:rFonts w:ascii="宋体" w:hAnsi="宋体" w:cs="宋体"/>
          <w:color w:val="auto"/>
          <w:sz w:val="28"/>
          <w:szCs w:val="20"/>
          <w:highlight w:val="none"/>
        </w:rPr>
        <w:t>1.</w:t>
      </w:r>
      <w:r>
        <w:rPr>
          <w:rFonts w:hint="eastAsia" w:ascii="宋体" w:hAnsi="宋体" w:cs="宋体"/>
          <w:color w:val="auto"/>
          <w:sz w:val="28"/>
          <w:szCs w:val="20"/>
          <w:highlight w:val="none"/>
        </w:rPr>
        <w:t>一般约定</w:t>
      </w:r>
      <w:bookmarkEnd w:id="1529"/>
      <w:bookmarkEnd w:id="1530"/>
      <w:bookmarkEnd w:id="1531"/>
    </w:p>
    <w:p w14:paraId="0806D4C0">
      <w:pPr>
        <w:keepNext/>
        <w:keepLines/>
        <w:spacing w:before="120" w:beforeLines="50" w:after="120" w:afterLines="50" w:line="360" w:lineRule="auto"/>
        <w:outlineLvl w:val="2"/>
        <w:rPr>
          <w:rFonts w:ascii="宋体" w:hAnsi="宋体"/>
          <w:color w:val="auto"/>
          <w:kern w:val="0"/>
          <w:sz w:val="24"/>
          <w:szCs w:val="20"/>
          <w:highlight w:val="none"/>
        </w:rPr>
      </w:pPr>
      <w:bookmarkStart w:id="1532" w:name="_Toc4004"/>
      <w:bookmarkStart w:id="1533" w:name="_Toc486580375"/>
      <w:bookmarkStart w:id="1534" w:name="_Toc489280181"/>
      <w:bookmarkStart w:id="1535" w:name="_Toc497214044"/>
      <w:bookmarkStart w:id="1536" w:name="_Toc485323149"/>
      <w:bookmarkStart w:id="1537" w:name="_Toc490331666"/>
      <w:bookmarkStart w:id="1538" w:name="_Toc30473"/>
      <w:r>
        <w:rPr>
          <w:rFonts w:ascii="宋体" w:hAnsi="宋体"/>
          <w:color w:val="auto"/>
          <w:kern w:val="0"/>
          <w:sz w:val="24"/>
          <w:szCs w:val="20"/>
          <w:highlight w:val="none"/>
        </w:rPr>
        <w:t xml:space="preserve">1.1  </w:t>
      </w:r>
      <w:r>
        <w:rPr>
          <w:rFonts w:hint="eastAsia" w:ascii="宋体" w:hAnsi="宋体"/>
          <w:color w:val="auto"/>
          <w:kern w:val="0"/>
          <w:sz w:val="24"/>
          <w:szCs w:val="20"/>
          <w:highlight w:val="none"/>
        </w:rPr>
        <w:t>词语定义</w:t>
      </w:r>
      <w:bookmarkEnd w:id="1532"/>
      <w:bookmarkEnd w:id="1533"/>
      <w:bookmarkEnd w:id="1534"/>
      <w:bookmarkEnd w:id="1535"/>
      <w:bookmarkEnd w:id="1536"/>
      <w:bookmarkEnd w:id="1537"/>
      <w:bookmarkEnd w:id="1538"/>
    </w:p>
    <w:p w14:paraId="7C5F00F6">
      <w:pPr>
        <w:spacing w:line="360" w:lineRule="auto"/>
        <w:ind w:firstLine="420" w:firstLineChars="200"/>
        <w:rPr>
          <w:rFonts w:ascii="宋体"/>
          <w:color w:val="auto"/>
          <w:szCs w:val="21"/>
          <w:highlight w:val="none"/>
        </w:rPr>
      </w:pPr>
      <w:r>
        <w:rPr>
          <w:rFonts w:ascii="宋体" w:hAnsi="宋体"/>
          <w:color w:val="auto"/>
          <w:szCs w:val="21"/>
          <w:highlight w:val="none"/>
        </w:rPr>
        <w:t xml:space="preserve">1.1.2  </w:t>
      </w:r>
      <w:r>
        <w:rPr>
          <w:rFonts w:hint="eastAsia" w:ascii="宋体" w:hAnsi="宋体"/>
          <w:color w:val="auto"/>
          <w:szCs w:val="21"/>
          <w:highlight w:val="none"/>
        </w:rPr>
        <w:t>合同当事人和人员</w:t>
      </w:r>
    </w:p>
    <w:p w14:paraId="0A90E867">
      <w:pPr>
        <w:spacing w:line="360" w:lineRule="auto"/>
        <w:ind w:firstLine="630" w:firstLineChars="300"/>
        <w:jc w:val="left"/>
        <w:rPr>
          <w:rFonts w:ascii="宋体"/>
          <w:color w:val="auto"/>
          <w:szCs w:val="21"/>
          <w:highlight w:val="none"/>
        </w:rPr>
      </w:pPr>
      <w:r>
        <w:rPr>
          <w:rFonts w:ascii="宋体" w:hAnsi="宋体"/>
          <w:color w:val="auto"/>
          <w:szCs w:val="21"/>
          <w:highlight w:val="none"/>
        </w:rPr>
        <w:t xml:space="preserve">1.1.2.2  </w:t>
      </w:r>
      <w:r>
        <w:rPr>
          <w:rFonts w:hint="eastAsia" w:ascii="宋体" w:hAnsi="宋体"/>
          <w:color w:val="auto"/>
          <w:szCs w:val="21"/>
          <w:highlight w:val="none"/>
        </w:rPr>
        <w:t>发包人：</w:t>
      </w:r>
      <w:r>
        <w:rPr>
          <w:rFonts w:hint="eastAsia" w:ascii="宋体" w:hAnsi="宋体"/>
          <w:color w:val="auto"/>
          <w:szCs w:val="21"/>
          <w:highlight w:val="none"/>
          <w:u w:val="single"/>
          <w:lang w:val="en-US" w:eastAsia="zh-CN"/>
        </w:rPr>
        <w:t xml:space="preserve"> </w:t>
      </w:r>
      <w:r>
        <w:rPr>
          <w:rFonts w:hint="eastAsia" w:hAnsi="宋体"/>
          <w:color w:val="auto"/>
          <w:szCs w:val="21"/>
          <w:highlight w:val="none"/>
          <w:u w:val="single"/>
        </w:rPr>
        <w:t xml:space="preserve">  </w:t>
      </w:r>
      <w:r>
        <w:rPr>
          <w:rFonts w:ascii="宋体" w:hAnsi="宋体"/>
          <w:color w:val="auto"/>
          <w:szCs w:val="21"/>
          <w:highlight w:val="none"/>
          <w:u w:val="single"/>
        </w:rPr>
        <w:t xml:space="preserve">                         </w:t>
      </w:r>
    </w:p>
    <w:p w14:paraId="49C8A319">
      <w:pPr>
        <w:spacing w:line="360" w:lineRule="auto"/>
        <w:ind w:firstLine="630" w:firstLineChars="300"/>
        <w:jc w:val="left"/>
        <w:rPr>
          <w:rFonts w:hint="eastAsia" w:ascii="宋体" w:hAnsi="宋体"/>
          <w:color w:val="000000"/>
          <w:sz w:val="21"/>
          <w:szCs w:val="21"/>
          <w:highlight w:val="none"/>
          <w:u w:val="single"/>
          <w:lang w:val="en-US" w:eastAsia="zh-CN"/>
        </w:rPr>
      </w:pPr>
      <w:r>
        <w:rPr>
          <w:rFonts w:ascii="宋体" w:hAnsi="宋体"/>
          <w:color w:val="auto"/>
          <w:szCs w:val="21"/>
          <w:highlight w:val="none"/>
        </w:rPr>
        <w:t xml:space="preserve">1.1.2.3  </w:t>
      </w:r>
      <w:r>
        <w:rPr>
          <w:rFonts w:hint="eastAsia" w:ascii="宋体" w:hAnsi="宋体"/>
          <w:color w:val="auto"/>
          <w:szCs w:val="21"/>
          <w:highlight w:val="none"/>
        </w:rPr>
        <w:t>承包人：</w:t>
      </w:r>
      <w:r>
        <w:rPr>
          <w:rFonts w:hint="eastAsia" w:ascii="宋体" w:hAnsi="宋体"/>
          <w:color w:val="auto"/>
          <w:sz w:val="21"/>
          <w:szCs w:val="21"/>
          <w:highlight w:val="none"/>
          <w:u w:val="single"/>
          <w:lang w:val="en-US" w:eastAsia="zh-CN"/>
        </w:rPr>
        <w:t xml:space="preserve">  </w:t>
      </w:r>
      <w:r>
        <w:rPr>
          <w:rFonts w:hint="eastAsia" w:ascii="宋体" w:hAnsi="宋体"/>
          <w:color w:val="000000"/>
          <w:sz w:val="21"/>
          <w:szCs w:val="21"/>
          <w:highlight w:val="none"/>
          <w:u w:val="single"/>
          <w:lang w:val="en-US" w:eastAsia="zh-CN"/>
        </w:rPr>
        <w:t xml:space="preserve">                          </w:t>
      </w:r>
    </w:p>
    <w:p w14:paraId="35ABD3D2">
      <w:pPr>
        <w:spacing w:line="360" w:lineRule="auto"/>
        <w:ind w:firstLine="630" w:firstLineChars="300"/>
        <w:jc w:val="left"/>
        <w:rPr>
          <w:rFonts w:ascii="宋体"/>
          <w:color w:val="auto"/>
          <w:szCs w:val="21"/>
          <w:highlight w:val="none"/>
        </w:rPr>
      </w:pPr>
      <w:r>
        <w:rPr>
          <w:rFonts w:ascii="宋体" w:hAnsi="宋体"/>
          <w:color w:val="auto"/>
          <w:szCs w:val="21"/>
          <w:highlight w:val="none"/>
        </w:rPr>
        <w:t xml:space="preserve">1.1.2.6  </w:t>
      </w:r>
      <w:r>
        <w:rPr>
          <w:rFonts w:hint="eastAsia" w:ascii="宋体" w:hAnsi="宋体"/>
          <w:color w:val="auto"/>
          <w:szCs w:val="21"/>
          <w:highlight w:val="none"/>
        </w:rPr>
        <w:t>监理人：</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p>
    <w:p w14:paraId="1CF18CF1">
      <w:pPr>
        <w:spacing w:line="360" w:lineRule="auto"/>
        <w:ind w:firstLine="630" w:firstLineChars="300"/>
        <w:jc w:val="left"/>
        <w:rPr>
          <w:rFonts w:ascii="宋体"/>
          <w:color w:val="auto"/>
          <w:szCs w:val="21"/>
          <w:highlight w:val="none"/>
        </w:rPr>
      </w:pPr>
      <w:r>
        <w:rPr>
          <w:rFonts w:ascii="宋体" w:hAnsi="宋体"/>
          <w:color w:val="auto"/>
          <w:szCs w:val="21"/>
          <w:highlight w:val="none"/>
        </w:rPr>
        <w:t xml:space="preserve">1.1.2.8  </w:t>
      </w:r>
      <w:r>
        <w:rPr>
          <w:rFonts w:hint="eastAsia" w:ascii="宋体" w:hAnsi="宋体"/>
          <w:color w:val="auto"/>
          <w:szCs w:val="21"/>
          <w:highlight w:val="none"/>
        </w:rPr>
        <w:t>发包人代表：</w:t>
      </w:r>
    </w:p>
    <w:p w14:paraId="7EA24BCF">
      <w:pPr>
        <w:spacing w:line="360" w:lineRule="auto"/>
        <w:ind w:firstLine="1575" w:firstLineChars="750"/>
        <w:jc w:val="left"/>
        <w:rPr>
          <w:rFonts w:hint="eastAsia" w:ascii="宋体" w:hAnsi="宋体"/>
          <w:color w:val="auto"/>
          <w:szCs w:val="21"/>
          <w:highlight w:val="none"/>
          <w:u w:val="single"/>
        </w:rPr>
      </w:pPr>
      <w:r>
        <w:rPr>
          <w:rFonts w:hint="eastAsia" w:ascii="宋体" w:hAnsi="宋体"/>
          <w:color w:val="auto"/>
          <w:szCs w:val="21"/>
          <w:highlight w:val="none"/>
        </w:rPr>
        <w:t>姓</w:t>
      </w:r>
      <w:r>
        <w:rPr>
          <w:rFonts w:ascii="宋体" w:hAnsi="宋体"/>
          <w:color w:val="auto"/>
          <w:szCs w:val="21"/>
          <w:highlight w:val="none"/>
        </w:rPr>
        <w:t xml:space="preserve">    </w:t>
      </w:r>
      <w:r>
        <w:rPr>
          <w:rFonts w:hint="eastAsia" w:ascii="宋体" w:hAnsi="宋体"/>
          <w:color w:val="auto"/>
          <w:szCs w:val="21"/>
          <w:highlight w:val="none"/>
        </w:rPr>
        <w:t>名：</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s="Times New Roman"/>
          <w:color w:val="auto"/>
          <w:spacing w:val="0"/>
          <w:sz w:val="21"/>
          <w:szCs w:val="21"/>
          <w:highlight w:val="none"/>
          <w:u w:val="single"/>
          <w:lang w:val="en-US" w:eastAsia="zh-CN"/>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p>
    <w:p w14:paraId="76E5A8DD">
      <w:pPr>
        <w:spacing w:line="360" w:lineRule="auto"/>
        <w:ind w:firstLine="1575" w:firstLineChars="750"/>
        <w:jc w:val="left"/>
        <w:rPr>
          <w:rFonts w:hint="eastAsia" w:ascii="宋体" w:hAnsi="宋体" w:eastAsia="宋体"/>
          <w:color w:val="auto"/>
          <w:szCs w:val="21"/>
          <w:highlight w:val="none"/>
          <w:u w:val="single"/>
          <w:lang w:val="en-US" w:eastAsia="zh-CN"/>
        </w:rPr>
      </w:pPr>
      <w:r>
        <w:rPr>
          <w:rFonts w:hint="eastAsia" w:ascii="宋体" w:hAnsi="宋体"/>
          <w:color w:val="auto"/>
          <w:szCs w:val="21"/>
          <w:highlight w:val="none"/>
          <w:u w:val="none"/>
        </w:rPr>
        <w:t>职    称：</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s="Times New Roman"/>
          <w:color w:val="auto"/>
          <w:spacing w:val="0"/>
          <w:sz w:val="21"/>
          <w:szCs w:val="21"/>
          <w:highlight w:val="none"/>
          <w:u w:val="single"/>
          <w:lang w:val="en-US" w:eastAsia="zh-CN"/>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p>
    <w:p w14:paraId="1FB86904">
      <w:pPr>
        <w:spacing w:line="360" w:lineRule="auto"/>
        <w:ind w:firstLine="1575" w:firstLineChars="750"/>
        <w:jc w:val="left"/>
        <w:rPr>
          <w:rFonts w:ascii="宋体"/>
          <w:color w:val="auto"/>
          <w:szCs w:val="21"/>
          <w:highlight w:val="none"/>
        </w:rPr>
      </w:pPr>
      <w:r>
        <w:rPr>
          <w:rFonts w:hint="eastAsia" w:ascii="宋体" w:hAnsi="宋体"/>
          <w:color w:val="auto"/>
          <w:szCs w:val="21"/>
          <w:highlight w:val="none"/>
          <w:u w:val="none"/>
        </w:rPr>
        <w:t>联系电话：</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s="Times New Roman"/>
          <w:color w:val="auto"/>
          <w:spacing w:val="0"/>
          <w:sz w:val="21"/>
          <w:szCs w:val="21"/>
          <w:highlight w:val="none"/>
          <w:u w:val="single"/>
          <w:lang w:val="en-US" w:eastAsia="zh-CN"/>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p>
    <w:p w14:paraId="5AF44030">
      <w:pPr>
        <w:spacing w:line="360" w:lineRule="auto"/>
        <w:ind w:firstLine="1575" w:firstLineChars="750"/>
        <w:jc w:val="left"/>
        <w:rPr>
          <w:rFonts w:ascii="宋体"/>
          <w:color w:val="auto"/>
          <w:szCs w:val="21"/>
          <w:highlight w:val="none"/>
        </w:rPr>
      </w:pPr>
      <w:r>
        <w:rPr>
          <w:rFonts w:hint="eastAsia" w:ascii="宋体" w:hAnsi="宋体"/>
          <w:color w:val="auto"/>
          <w:szCs w:val="21"/>
          <w:highlight w:val="none"/>
        </w:rPr>
        <w:t>电子信箱：</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p>
    <w:p w14:paraId="400FBBE8">
      <w:pPr>
        <w:spacing w:line="360" w:lineRule="auto"/>
        <w:ind w:firstLine="1575" w:firstLineChars="750"/>
        <w:jc w:val="left"/>
        <w:rPr>
          <w:rFonts w:hint="eastAsia" w:ascii="宋体" w:eastAsia="宋体"/>
          <w:color w:val="auto"/>
          <w:szCs w:val="21"/>
          <w:highlight w:val="none"/>
          <w:lang w:val="en-US" w:eastAsia="zh-CN"/>
        </w:rPr>
      </w:pPr>
      <w:r>
        <w:rPr>
          <w:rFonts w:hint="eastAsia" w:ascii="宋体" w:hAnsi="宋体"/>
          <w:color w:val="auto"/>
          <w:szCs w:val="21"/>
          <w:highlight w:val="none"/>
        </w:rPr>
        <w:t>通信地址：</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p>
    <w:p w14:paraId="09692C78">
      <w:pPr>
        <w:spacing w:line="360" w:lineRule="auto"/>
        <w:ind w:firstLine="420" w:firstLineChars="200"/>
        <w:rPr>
          <w:rFonts w:ascii="宋体"/>
          <w:color w:val="auto"/>
          <w:szCs w:val="21"/>
          <w:highlight w:val="none"/>
        </w:rPr>
      </w:pPr>
      <w:r>
        <w:rPr>
          <w:rFonts w:ascii="宋体" w:hAnsi="宋体"/>
          <w:color w:val="auto"/>
          <w:szCs w:val="21"/>
          <w:highlight w:val="none"/>
        </w:rPr>
        <w:t xml:space="preserve">1.1.3  </w:t>
      </w:r>
      <w:r>
        <w:rPr>
          <w:rFonts w:hint="eastAsia" w:ascii="宋体" w:hAnsi="宋体"/>
          <w:color w:val="auto"/>
          <w:szCs w:val="21"/>
          <w:highlight w:val="none"/>
        </w:rPr>
        <w:t>工程和设备</w:t>
      </w:r>
    </w:p>
    <w:p w14:paraId="48729BB8">
      <w:pPr>
        <w:spacing w:line="360" w:lineRule="auto"/>
        <w:ind w:firstLine="630" w:firstLineChars="300"/>
        <w:jc w:val="left"/>
        <w:rPr>
          <w:rFonts w:ascii="宋体"/>
          <w:color w:val="auto"/>
          <w:szCs w:val="21"/>
          <w:highlight w:val="none"/>
          <w:u w:val="single"/>
        </w:rPr>
      </w:pPr>
      <w:r>
        <w:rPr>
          <w:rFonts w:ascii="宋体" w:hAnsi="宋体"/>
          <w:color w:val="auto"/>
          <w:szCs w:val="21"/>
          <w:highlight w:val="none"/>
        </w:rPr>
        <w:t xml:space="preserve">1.1.3.2  </w:t>
      </w:r>
      <w:r>
        <w:rPr>
          <w:rFonts w:hint="eastAsia" w:ascii="宋体" w:hAnsi="宋体"/>
          <w:color w:val="auto"/>
          <w:szCs w:val="21"/>
          <w:highlight w:val="none"/>
        </w:rPr>
        <w:t>永久工程：</w:t>
      </w:r>
      <w:r>
        <w:rPr>
          <w:rFonts w:hint="eastAsia" w:ascii="宋体" w:hAnsi="宋体"/>
          <w:color w:val="auto"/>
          <w:szCs w:val="21"/>
          <w:highlight w:val="none"/>
          <w:u w:val="single"/>
          <w:lang w:val="en-US" w:eastAsia="zh-CN"/>
        </w:rPr>
        <w:t xml:space="preserve"> </w:t>
      </w:r>
      <w:r>
        <w:rPr>
          <w:rFonts w:hint="eastAsia" w:ascii="宋体" w:hAnsi="宋体" w:cs="Arial"/>
          <w:color w:val="auto"/>
          <w:szCs w:val="21"/>
          <w:highlight w:val="none"/>
          <w:u w:val="single"/>
          <w:lang w:eastAsia="zh-CN"/>
        </w:rPr>
        <w:t>昌平区2024年背街小巷环境精细化治理—城北街道自提升项目工程</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p>
    <w:p w14:paraId="43F0A61D">
      <w:pPr>
        <w:spacing w:line="360" w:lineRule="auto"/>
        <w:ind w:firstLine="630" w:firstLineChars="300"/>
        <w:jc w:val="left"/>
        <w:rPr>
          <w:rFonts w:ascii="宋体"/>
          <w:color w:val="auto"/>
          <w:szCs w:val="21"/>
          <w:highlight w:val="none"/>
        </w:rPr>
      </w:pPr>
      <w:r>
        <w:rPr>
          <w:rFonts w:ascii="宋体" w:hAnsi="宋体"/>
          <w:color w:val="auto"/>
          <w:szCs w:val="21"/>
          <w:highlight w:val="none"/>
        </w:rPr>
        <w:t>1.1.3</w:t>
      </w:r>
      <w:r>
        <w:rPr>
          <w:rFonts w:ascii="宋体"/>
          <w:color w:val="auto"/>
          <w:szCs w:val="21"/>
          <w:highlight w:val="none"/>
        </w:rPr>
        <w:t>.</w:t>
      </w:r>
      <w:r>
        <w:rPr>
          <w:rFonts w:ascii="宋体" w:hAnsi="宋体"/>
          <w:color w:val="auto"/>
          <w:szCs w:val="21"/>
          <w:highlight w:val="none"/>
        </w:rPr>
        <w:t xml:space="preserve">3  </w:t>
      </w:r>
      <w:r>
        <w:rPr>
          <w:rFonts w:hint="eastAsia" w:ascii="宋体" w:hAnsi="宋体"/>
          <w:color w:val="auto"/>
          <w:szCs w:val="21"/>
          <w:highlight w:val="none"/>
        </w:rPr>
        <w:t>临时工程：</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p>
    <w:p w14:paraId="711F7453">
      <w:pPr>
        <w:spacing w:line="360" w:lineRule="auto"/>
        <w:ind w:firstLine="630" w:firstLineChars="300"/>
        <w:jc w:val="left"/>
        <w:rPr>
          <w:rFonts w:ascii="宋体"/>
          <w:color w:val="auto"/>
          <w:szCs w:val="21"/>
          <w:highlight w:val="none"/>
        </w:rPr>
      </w:pPr>
      <w:r>
        <w:rPr>
          <w:rFonts w:ascii="宋体" w:hAnsi="宋体"/>
          <w:color w:val="auto"/>
          <w:szCs w:val="21"/>
          <w:highlight w:val="none"/>
        </w:rPr>
        <w:t>1.1.3</w:t>
      </w:r>
      <w:r>
        <w:rPr>
          <w:rFonts w:ascii="宋体"/>
          <w:color w:val="auto"/>
          <w:szCs w:val="21"/>
          <w:highlight w:val="none"/>
        </w:rPr>
        <w:t>.</w:t>
      </w:r>
      <w:r>
        <w:rPr>
          <w:rFonts w:ascii="宋体" w:hAnsi="宋体"/>
          <w:color w:val="auto"/>
          <w:szCs w:val="21"/>
          <w:highlight w:val="none"/>
        </w:rPr>
        <w:t xml:space="preserve">10  </w:t>
      </w:r>
      <w:r>
        <w:rPr>
          <w:rFonts w:hint="eastAsia" w:ascii="宋体" w:hAnsi="宋体"/>
          <w:color w:val="auto"/>
          <w:szCs w:val="21"/>
          <w:highlight w:val="none"/>
        </w:rPr>
        <w:t>永久占地：</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p>
    <w:p w14:paraId="5C567A45">
      <w:pPr>
        <w:spacing w:line="360" w:lineRule="auto"/>
        <w:ind w:firstLine="630" w:firstLineChars="300"/>
        <w:jc w:val="left"/>
        <w:rPr>
          <w:rFonts w:ascii="宋体"/>
          <w:color w:val="auto"/>
          <w:szCs w:val="21"/>
          <w:highlight w:val="none"/>
        </w:rPr>
      </w:pPr>
      <w:r>
        <w:rPr>
          <w:rFonts w:ascii="宋体" w:hAnsi="宋体"/>
          <w:color w:val="auto"/>
          <w:szCs w:val="21"/>
          <w:highlight w:val="none"/>
        </w:rPr>
        <w:t>1.1.3</w:t>
      </w:r>
      <w:r>
        <w:rPr>
          <w:rFonts w:ascii="宋体"/>
          <w:color w:val="auto"/>
          <w:szCs w:val="21"/>
          <w:highlight w:val="none"/>
        </w:rPr>
        <w:t>.</w:t>
      </w:r>
      <w:r>
        <w:rPr>
          <w:rFonts w:ascii="宋体" w:hAnsi="宋体"/>
          <w:color w:val="auto"/>
          <w:szCs w:val="21"/>
          <w:highlight w:val="none"/>
        </w:rPr>
        <w:t xml:space="preserve">11  </w:t>
      </w:r>
      <w:r>
        <w:rPr>
          <w:rFonts w:hint="eastAsia" w:ascii="宋体" w:hAnsi="宋体"/>
          <w:color w:val="auto"/>
          <w:szCs w:val="21"/>
          <w:highlight w:val="none"/>
        </w:rPr>
        <w:t>临时占地：</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p>
    <w:p w14:paraId="78049B1C">
      <w:pPr>
        <w:spacing w:line="360" w:lineRule="auto"/>
        <w:ind w:firstLine="420" w:firstLineChars="200"/>
        <w:rPr>
          <w:rFonts w:ascii="宋体"/>
          <w:color w:val="auto"/>
          <w:szCs w:val="21"/>
          <w:highlight w:val="none"/>
        </w:rPr>
      </w:pPr>
      <w:r>
        <w:rPr>
          <w:rFonts w:ascii="宋体" w:hAnsi="宋体"/>
          <w:color w:val="auto"/>
          <w:szCs w:val="21"/>
          <w:highlight w:val="none"/>
        </w:rPr>
        <w:t xml:space="preserve">1.1.4  </w:t>
      </w:r>
      <w:r>
        <w:rPr>
          <w:rFonts w:hint="eastAsia" w:ascii="宋体" w:hAnsi="宋体"/>
          <w:color w:val="auto"/>
          <w:szCs w:val="21"/>
          <w:highlight w:val="none"/>
        </w:rPr>
        <w:t>日期</w:t>
      </w:r>
    </w:p>
    <w:p w14:paraId="38ADD3DB">
      <w:pPr>
        <w:spacing w:line="360" w:lineRule="auto"/>
        <w:ind w:firstLine="630" w:firstLineChars="300"/>
        <w:jc w:val="left"/>
        <w:rPr>
          <w:rFonts w:ascii="宋体"/>
          <w:color w:val="auto"/>
          <w:szCs w:val="21"/>
          <w:highlight w:val="none"/>
        </w:rPr>
      </w:pPr>
      <w:r>
        <w:rPr>
          <w:rFonts w:ascii="宋体" w:hAnsi="宋体"/>
          <w:color w:val="auto"/>
          <w:szCs w:val="21"/>
          <w:highlight w:val="none"/>
        </w:rPr>
        <w:t xml:space="preserve">1.1.4.5  </w:t>
      </w:r>
      <w:r>
        <w:rPr>
          <w:rFonts w:hint="eastAsia" w:ascii="宋体" w:hAnsi="宋体"/>
          <w:color w:val="auto"/>
          <w:szCs w:val="21"/>
          <w:highlight w:val="none"/>
        </w:rPr>
        <w:t>缺陷责任期期限：</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24</w:t>
      </w:r>
      <w:r>
        <w:rPr>
          <w:rFonts w:hint="eastAsia" w:ascii="宋体" w:hAnsi="宋体"/>
          <w:color w:val="auto"/>
          <w:szCs w:val="21"/>
          <w:highlight w:val="none"/>
          <w:u w:val="single"/>
        </w:rPr>
        <w:t>个</w:t>
      </w:r>
      <w:r>
        <w:rPr>
          <w:rFonts w:ascii="宋体" w:hAnsi="宋体"/>
          <w:color w:val="auto"/>
          <w:szCs w:val="21"/>
          <w:highlight w:val="none"/>
          <w:u w:val="single"/>
        </w:rPr>
        <w:t xml:space="preserve">   </w:t>
      </w:r>
      <w:r>
        <w:rPr>
          <w:rFonts w:hint="eastAsia" w:ascii="宋体" w:hAnsi="宋体"/>
          <w:color w:val="auto"/>
          <w:szCs w:val="21"/>
          <w:highlight w:val="none"/>
        </w:rPr>
        <w:t>月。</w:t>
      </w:r>
    </w:p>
    <w:p w14:paraId="7CA8A82D">
      <w:pPr>
        <w:spacing w:line="360" w:lineRule="auto"/>
        <w:ind w:firstLine="420" w:firstLineChars="200"/>
        <w:rPr>
          <w:rFonts w:ascii="宋体"/>
          <w:color w:val="auto"/>
          <w:szCs w:val="21"/>
          <w:highlight w:val="none"/>
        </w:rPr>
      </w:pPr>
      <w:r>
        <w:rPr>
          <w:rFonts w:ascii="宋体" w:hAnsi="宋体"/>
          <w:color w:val="auto"/>
          <w:szCs w:val="21"/>
          <w:highlight w:val="none"/>
        </w:rPr>
        <w:t xml:space="preserve">1.1.8  </w:t>
      </w:r>
      <w:r>
        <w:rPr>
          <w:rFonts w:hint="eastAsia" w:ascii="宋体" w:hAnsi="宋体"/>
          <w:color w:val="auto"/>
          <w:szCs w:val="21"/>
          <w:highlight w:val="none"/>
        </w:rPr>
        <w:t>其他需要补充的内容</w:t>
      </w:r>
    </w:p>
    <w:p w14:paraId="35DC4070">
      <w:pPr>
        <w:spacing w:line="360" w:lineRule="auto"/>
        <w:ind w:left="315" w:leftChars="150" w:firstLine="109" w:firstLineChars="52"/>
        <w:rPr>
          <w:rFonts w:ascii="宋体"/>
          <w:color w:val="auto"/>
          <w:szCs w:val="21"/>
          <w:highlight w:val="none"/>
        </w:rPr>
      </w:pPr>
      <w:r>
        <w:rPr>
          <w:rFonts w:ascii="宋体" w:hAnsi="宋体"/>
          <w:color w:val="auto"/>
          <w:szCs w:val="21"/>
          <w:highlight w:val="none"/>
          <w:u w:val="single"/>
        </w:rPr>
        <w:t xml:space="preserve">                     /                                                      </w:t>
      </w:r>
    </w:p>
    <w:p w14:paraId="039E6136">
      <w:pPr>
        <w:keepNext/>
        <w:keepLines/>
        <w:spacing w:before="120" w:beforeLines="50" w:after="120" w:afterLines="50" w:line="360" w:lineRule="auto"/>
        <w:outlineLvl w:val="2"/>
        <w:rPr>
          <w:rFonts w:ascii="宋体" w:hAnsi="宋体"/>
          <w:color w:val="auto"/>
          <w:kern w:val="0"/>
          <w:sz w:val="24"/>
          <w:szCs w:val="20"/>
          <w:highlight w:val="none"/>
        </w:rPr>
      </w:pPr>
      <w:bookmarkStart w:id="1539" w:name="_Toc489280182"/>
      <w:bookmarkStart w:id="1540" w:name="_Toc31186"/>
      <w:bookmarkStart w:id="1541" w:name="_Toc485323150"/>
      <w:bookmarkStart w:id="1542" w:name="_Toc486580376"/>
      <w:bookmarkStart w:id="1543" w:name="_Toc490331667"/>
      <w:bookmarkStart w:id="1544" w:name="_Toc7379"/>
      <w:bookmarkStart w:id="1545" w:name="_Toc497214045"/>
      <w:r>
        <w:rPr>
          <w:rFonts w:ascii="宋体" w:hAnsi="宋体"/>
          <w:color w:val="auto"/>
          <w:kern w:val="0"/>
          <w:sz w:val="24"/>
          <w:szCs w:val="20"/>
          <w:highlight w:val="none"/>
        </w:rPr>
        <w:t xml:space="preserve">1.4  </w:t>
      </w:r>
      <w:r>
        <w:rPr>
          <w:rFonts w:hint="eastAsia" w:ascii="宋体" w:hAnsi="宋体"/>
          <w:color w:val="auto"/>
          <w:kern w:val="0"/>
          <w:sz w:val="24"/>
          <w:szCs w:val="20"/>
          <w:highlight w:val="none"/>
        </w:rPr>
        <w:t>合同文件的优先顺序</w:t>
      </w:r>
      <w:bookmarkEnd w:id="1539"/>
      <w:bookmarkEnd w:id="1540"/>
      <w:bookmarkEnd w:id="1541"/>
      <w:bookmarkEnd w:id="1542"/>
      <w:bookmarkEnd w:id="1543"/>
      <w:bookmarkEnd w:id="1544"/>
      <w:bookmarkEnd w:id="1545"/>
    </w:p>
    <w:p w14:paraId="680DA06A">
      <w:pPr>
        <w:spacing w:line="360" w:lineRule="auto"/>
        <w:ind w:firstLine="482"/>
        <w:rPr>
          <w:rFonts w:ascii="宋体" w:cs="Arial"/>
          <w:color w:val="auto"/>
          <w:szCs w:val="21"/>
          <w:highlight w:val="none"/>
        </w:rPr>
      </w:pPr>
      <w:r>
        <w:rPr>
          <w:rFonts w:hint="eastAsia" w:ascii="宋体" w:hAnsi="宋体" w:cs="Arial"/>
          <w:color w:val="auto"/>
          <w:szCs w:val="21"/>
          <w:highlight w:val="none"/>
        </w:rPr>
        <w:t>合同文件的优先解释顺序如下：</w:t>
      </w:r>
    </w:p>
    <w:p w14:paraId="4A18B3D8">
      <w:pPr>
        <w:spacing w:line="360" w:lineRule="auto"/>
        <w:ind w:firstLine="482"/>
        <w:rPr>
          <w:rFonts w:ascii="宋体" w:cs="Arial"/>
          <w:color w:val="auto"/>
          <w:szCs w:val="21"/>
          <w:highlight w:val="none"/>
        </w:rPr>
      </w:pPr>
      <w:r>
        <w:rPr>
          <w:rFonts w:hint="eastAsia" w:ascii="宋体" w:hAnsi="宋体" w:cs="Arial"/>
          <w:color w:val="auto"/>
          <w:szCs w:val="21"/>
          <w:highlight w:val="none"/>
        </w:rPr>
        <w:t>（</w:t>
      </w:r>
      <w:r>
        <w:rPr>
          <w:rFonts w:ascii="宋体" w:hAnsi="宋体" w:cs="Arial"/>
          <w:color w:val="auto"/>
          <w:szCs w:val="21"/>
          <w:highlight w:val="none"/>
        </w:rPr>
        <w:t>1</w:t>
      </w:r>
      <w:r>
        <w:rPr>
          <w:rFonts w:hint="eastAsia" w:ascii="宋体" w:hAnsi="宋体" w:cs="Arial"/>
          <w:color w:val="auto"/>
          <w:szCs w:val="21"/>
          <w:highlight w:val="none"/>
        </w:rPr>
        <w:t>）合同协议书；</w:t>
      </w:r>
    </w:p>
    <w:p w14:paraId="4B80F80E">
      <w:pPr>
        <w:spacing w:line="360" w:lineRule="auto"/>
        <w:ind w:firstLine="482"/>
        <w:rPr>
          <w:rFonts w:ascii="宋体" w:cs="Arial"/>
          <w:color w:val="auto"/>
          <w:szCs w:val="21"/>
          <w:highlight w:val="none"/>
        </w:rPr>
      </w:pPr>
      <w:r>
        <w:rPr>
          <w:rFonts w:hint="eastAsia" w:ascii="宋体" w:hAnsi="宋体" w:cs="Arial"/>
          <w:color w:val="auto"/>
          <w:szCs w:val="21"/>
          <w:highlight w:val="none"/>
        </w:rPr>
        <w:t>（</w:t>
      </w:r>
      <w:r>
        <w:rPr>
          <w:rFonts w:ascii="宋体" w:hAnsi="宋体" w:cs="Arial"/>
          <w:color w:val="auto"/>
          <w:szCs w:val="21"/>
          <w:highlight w:val="none"/>
        </w:rPr>
        <w:t>2</w:t>
      </w:r>
      <w:r>
        <w:rPr>
          <w:rFonts w:hint="eastAsia" w:ascii="宋体" w:hAnsi="宋体" w:cs="Arial"/>
          <w:color w:val="auto"/>
          <w:szCs w:val="21"/>
          <w:highlight w:val="none"/>
        </w:rPr>
        <w:t>）中标通知书；</w:t>
      </w:r>
    </w:p>
    <w:p w14:paraId="6C03015B">
      <w:pPr>
        <w:spacing w:line="360" w:lineRule="auto"/>
        <w:ind w:firstLine="482"/>
        <w:rPr>
          <w:rFonts w:ascii="宋体" w:cs="Arial"/>
          <w:color w:val="auto"/>
          <w:szCs w:val="21"/>
          <w:highlight w:val="none"/>
        </w:rPr>
      </w:pPr>
      <w:r>
        <w:rPr>
          <w:rFonts w:hint="eastAsia" w:ascii="宋体" w:hAnsi="宋体" w:cs="Arial"/>
          <w:color w:val="auto"/>
          <w:szCs w:val="21"/>
          <w:highlight w:val="none"/>
        </w:rPr>
        <w:t>（</w:t>
      </w:r>
      <w:r>
        <w:rPr>
          <w:rFonts w:ascii="宋体" w:hAnsi="宋体" w:cs="Arial"/>
          <w:color w:val="auto"/>
          <w:szCs w:val="21"/>
          <w:highlight w:val="none"/>
        </w:rPr>
        <w:t>3</w:t>
      </w:r>
      <w:r>
        <w:rPr>
          <w:rFonts w:hint="eastAsia" w:ascii="宋体" w:hAnsi="宋体" w:cs="Arial"/>
          <w:color w:val="auto"/>
          <w:szCs w:val="21"/>
          <w:highlight w:val="none"/>
        </w:rPr>
        <w:t>）投标函及投标函附录；</w:t>
      </w:r>
    </w:p>
    <w:p w14:paraId="7C802577">
      <w:pPr>
        <w:spacing w:line="360" w:lineRule="auto"/>
        <w:ind w:firstLine="482"/>
        <w:rPr>
          <w:rFonts w:ascii="宋体" w:cs="Arial"/>
          <w:color w:val="auto"/>
          <w:szCs w:val="21"/>
          <w:highlight w:val="none"/>
        </w:rPr>
      </w:pPr>
      <w:r>
        <w:rPr>
          <w:rFonts w:hint="eastAsia" w:ascii="宋体" w:hAnsi="宋体" w:cs="Arial"/>
          <w:color w:val="auto"/>
          <w:szCs w:val="21"/>
          <w:highlight w:val="none"/>
        </w:rPr>
        <w:t>（</w:t>
      </w:r>
      <w:r>
        <w:rPr>
          <w:rFonts w:ascii="宋体" w:hAnsi="宋体" w:cs="Arial"/>
          <w:color w:val="auto"/>
          <w:szCs w:val="21"/>
          <w:highlight w:val="none"/>
        </w:rPr>
        <w:t>4</w:t>
      </w:r>
      <w:r>
        <w:rPr>
          <w:rFonts w:hint="eastAsia" w:ascii="宋体" w:hAnsi="宋体" w:cs="Arial"/>
          <w:color w:val="auto"/>
          <w:szCs w:val="21"/>
          <w:highlight w:val="none"/>
        </w:rPr>
        <w:t>）合同条款专用部分；</w:t>
      </w:r>
    </w:p>
    <w:p w14:paraId="780ED815">
      <w:pPr>
        <w:spacing w:line="360" w:lineRule="auto"/>
        <w:ind w:firstLine="482"/>
        <w:rPr>
          <w:rFonts w:ascii="宋体" w:cs="Arial"/>
          <w:color w:val="auto"/>
          <w:szCs w:val="21"/>
          <w:highlight w:val="none"/>
        </w:rPr>
      </w:pPr>
      <w:r>
        <w:rPr>
          <w:rFonts w:hint="eastAsia" w:ascii="宋体" w:hAnsi="宋体" w:cs="Arial"/>
          <w:color w:val="auto"/>
          <w:szCs w:val="21"/>
          <w:highlight w:val="none"/>
        </w:rPr>
        <w:t>（</w:t>
      </w:r>
      <w:r>
        <w:rPr>
          <w:rFonts w:ascii="宋体" w:hAnsi="宋体" w:cs="Arial"/>
          <w:color w:val="auto"/>
          <w:szCs w:val="21"/>
          <w:highlight w:val="none"/>
        </w:rPr>
        <w:t>5</w:t>
      </w:r>
      <w:r>
        <w:rPr>
          <w:rFonts w:hint="eastAsia" w:ascii="宋体" w:hAnsi="宋体" w:cs="Arial"/>
          <w:color w:val="auto"/>
          <w:szCs w:val="21"/>
          <w:highlight w:val="none"/>
        </w:rPr>
        <w:t>）合同条款通用部分；</w:t>
      </w:r>
    </w:p>
    <w:p w14:paraId="2039871A">
      <w:pPr>
        <w:spacing w:line="360" w:lineRule="auto"/>
        <w:ind w:firstLine="482"/>
        <w:rPr>
          <w:rFonts w:ascii="宋体" w:cs="Arial"/>
          <w:color w:val="auto"/>
          <w:szCs w:val="21"/>
          <w:highlight w:val="none"/>
        </w:rPr>
      </w:pPr>
      <w:r>
        <w:rPr>
          <w:rFonts w:hint="eastAsia" w:ascii="宋体" w:hAnsi="宋体" w:cs="Arial"/>
          <w:color w:val="auto"/>
          <w:szCs w:val="21"/>
          <w:highlight w:val="none"/>
        </w:rPr>
        <w:t>（</w:t>
      </w:r>
      <w:r>
        <w:rPr>
          <w:rFonts w:ascii="宋体" w:hAnsi="宋体" w:cs="Arial"/>
          <w:color w:val="auto"/>
          <w:szCs w:val="21"/>
          <w:highlight w:val="none"/>
        </w:rPr>
        <w:t>6</w:t>
      </w:r>
      <w:r>
        <w:rPr>
          <w:rFonts w:hint="eastAsia" w:ascii="宋体" w:hAnsi="宋体" w:cs="Arial"/>
          <w:color w:val="auto"/>
          <w:szCs w:val="21"/>
          <w:highlight w:val="none"/>
        </w:rPr>
        <w:t>）</w:t>
      </w:r>
      <w:r>
        <w:rPr>
          <w:rFonts w:hint="eastAsia" w:hAnsi="宋体" w:cs="Arial"/>
          <w:color w:val="auto"/>
          <w:highlight w:val="none"/>
          <w:u w:val="single"/>
        </w:rPr>
        <w:t xml:space="preserve">技术标准和要求   </w:t>
      </w:r>
      <w:r>
        <w:rPr>
          <w:rFonts w:ascii="宋体" w:hAnsi="宋体" w:cs="Arial"/>
          <w:color w:val="auto"/>
          <w:highlight w:val="none"/>
          <w:u w:val="single"/>
        </w:rPr>
        <w:t xml:space="preserve">                        </w:t>
      </w:r>
      <w:r>
        <w:rPr>
          <w:rFonts w:ascii="宋体" w:hAnsi="宋体" w:cs="Arial"/>
          <w:color w:val="auto"/>
          <w:highlight w:val="none"/>
        </w:rPr>
        <w:t xml:space="preserve"> </w:t>
      </w:r>
    </w:p>
    <w:p w14:paraId="350AEC6B">
      <w:pPr>
        <w:spacing w:line="360" w:lineRule="auto"/>
        <w:ind w:firstLine="482"/>
        <w:rPr>
          <w:rFonts w:ascii="宋体" w:cs="Arial"/>
          <w:color w:val="auto"/>
          <w:szCs w:val="21"/>
          <w:highlight w:val="none"/>
        </w:rPr>
      </w:pPr>
      <w:r>
        <w:rPr>
          <w:rFonts w:hint="eastAsia" w:ascii="宋体" w:hAnsi="宋体" w:cs="Arial"/>
          <w:color w:val="auto"/>
          <w:szCs w:val="21"/>
          <w:highlight w:val="none"/>
        </w:rPr>
        <w:t>（</w:t>
      </w:r>
      <w:r>
        <w:rPr>
          <w:rFonts w:ascii="宋体" w:hAnsi="宋体" w:cs="Arial"/>
          <w:color w:val="auto"/>
          <w:szCs w:val="21"/>
          <w:highlight w:val="none"/>
        </w:rPr>
        <w:t>7</w:t>
      </w:r>
      <w:r>
        <w:rPr>
          <w:rFonts w:hint="eastAsia" w:ascii="宋体" w:hAnsi="宋体" w:cs="Arial"/>
          <w:color w:val="auto"/>
          <w:szCs w:val="21"/>
          <w:highlight w:val="none"/>
        </w:rPr>
        <w:t>）</w:t>
      </w:r>
      <w:r>
        <w:rPr>
          <w:rFonts w:hint="eastAsia" w:hAnsi="宋体" w:cs="Arial"/>
          <w:color w:val="auto"/>
          <w:highlight w:val="none"/>
          <w:u w:val="single"/>
        </w:rPr>
        <w:t xml:space="preserve">图纸   </w:t>
      </w:r>
      <w:r>
        <w:rPr>
          <w:rFonts w:ascii="宋体" w:hAnsi="宋体" w:cs="Arial"/>
          <w:color w:val="auto"/>
          <w:highlight w:val="none"/>
          <w:u w:val="single"/>
        </w:rPr>
        <w:t xml:space="preserve">                                  </w:t>
      </w:r>
      <w:r>
        <w:rPr>
          <w:rFonts w:ascii="宋体" w:hAnsi="宋体" w:cs="Arial"/>
          <w:color w:val="auto"/>
          <w:highlight w:val="none"/>
        </w:rPr>
        <w:t xml:space="preserve"> </w:t>
      </w:r>
    </w:p>
    <w:p w14:paraId="5C5F049E">
      <w:pPr>
        <w:spacing w:line="360" w:lineRule="auto"/>
        <w:ind w:firstLine="482"/>
        <w:rPr>
          <w:rFonts w:ascii="宋体" w:cs="Arial"/>
          <w:color w:val="auto"/>
          <w:szCs w:val="21"/>
          <w:highlight w:val="none"/>
        </w:rPr>
      </w:pPr>
      <w:r>
        <w:rPr>
          <w:rFonts w:hint="eastAsia" w:ascii="宋体" w:hAnsi="宋体" w:cs="Arial"/>
          <w:color w:val="auto"/>
          <w:szCs w:val="21"/>
          <w:highlight w:val="none"/>
        </w:rPr>
        <w:t>（</w:t>
      </w:r>
      <w:r>
        <w:rPr>
          <w:rFonts w:ascii="宋体" w:hAnsi="宋体" w:cs="Arial"/>
          <w:color w:val="auto"/>
          <w:szCs w:val="21"/>
          <w:highlight w:val="none"/>
        </w:rPr>
        <w:t>8</w:t>
      </w:r>
      <w:r>
        <w:rPr>
          <w:rFonts w:hint="eastAsia" w:ascii="宋体" w:hAnsi="宋体" w:cs="Arial"/>
          <w:color w:val="auto"/>
          <w:szCs w:val="21"/>
          <w:highlight w:val="none"/>
        </w:rPr>
        <w:t>）</w:t>
      </w:r>
      <w:r>
        <w:rPr>
          <w:rFonts w:hint="eastAsia" w:hAnsi="宋体" w:cs="Arial"/>
          <w:color w:val="auto"/>
          <w:highlight w:val="none"/>
          <w:u w:val="single"/>
        </w:rPr>
        <w:t xml:space="preserve">已标价工程量清单      </w:t>
      </w:r>
      <w:r>
        <w:rPr>
          <w:rFonts w:ascii="宋体" w:hAnsi="宋体" w:cs="Arial"/>
          <w:color w:val="auto"/>
          <w:highlight w:val="none"/>
          <w:u w:val="single"/>
        </w:rPr>
        <w:t xml:space="preserve">                    </w:t>
      </w:r>
    </w:p>
    <w:p w14:paraId="20AC77FC">
      <w:pPr>
        <w:spacing w:line="360" w:lineRule="auto"/>
        <w:ind w:firstLine="480"/>
        <w:rPr>
          <w:rFonts w:ascii="宋体" w:cs="Arial"/>
          <w:color w:val="auto"/>
          <w:highlight w:val="none"/>
        </w:rPr>
      </w:pPr>
      <w:r>
        <w:rPr>
          <w:rFonts w:hint="eastAsia" w:ascii="宋体" w:hAnsi="宋体" w:cs="Arial"/>
          <w:color w:val="auto"/>
          <w:highlight w:val="none"/>
        </w:rPr>
        <w:t>（</w:t>
      </w:r>
      <w:r>
        <w:rPr>
          <w:rFonts w:ascii="宋体" w:hAnsi="宋体" w:cs="Arial"/>
          <w:color w:val="auto"/>
          <w:highlight w:val="none"/>
        </w:rPr>
        <w:t>9</w:t>
      </w:r>
      <w:r>
        <w:rPr>
          <w:rFonts w:hint="eastAsia" w:ascii="宋体" w:hAnsi="宋体" w:cs="Arial"/>
          <w:color w:val="auto"/>
          <w:highlight w:val="none"/>
        </w:rPr>
        <w:t>）</w:t>
      </w:r>
      <w:r>
        <w:rPr>
          <w:rFonts w:hint="eastAsia" w:ascii="宋体" w:hAnsi="宋体" w:cs="Arial"/>
          <w:color w:val="auto"/>
          <w:highlight w:val="none"/>
          <w:u w:val="single"/>
        </w:rPr>
        <w:t>其他合同</w:t>
      </w:r>
      <w:r>
        <w:rPr>
          <w:rFonts w:ascii="宋体" w:hAnsi="宋体" w:cs="Arial"/>
          <w:color w:val="auto"/>
          <w:highlight w:val="none"/>
          <w:u w:val="single"/>
        </w:rPr>
        <w:t xml:space="preserve">文件                             </w:t>
      </w:r>
      <w:r>
        <w:rPr>
          <w:rFonts w:ascii="宋体" w:hAnsi="宋体" w:cs="Arial"/>
          <w:color w:val="auto"/>
          <w:highlight w:val="none"/>
        </w:rPr>
        <w:t xml:space="preserve"> </w:t>
      </w:r>
    </w:p>
    <w:p w14:paraId="12BD2736">
      <w:pPr>
        <w:spacing w:line="360" w:lineRule="auto"/>
        <w:ind w:firstLine="480"/>
        <w:rPr>
          <w:rFonts w:ascii="宋体" w:cs="Arial"/>
          <w:color w:val="auto"/>
          <w:szCs w:val="21"/>
          <w:highlight w:val="none"/>
        </w:rPr>
      </w:pPr>
      <w:r>
        <w:rPr>
          <w:rFonts w:hint="eastAsia" w:ascii="宋体" w:hAnsi="宋体" w:cs="Arial"/>
          <w:color w:val="auto"/>
          <w:szCs w:val="21"/>
          <w:highlight w:val="none"/>
        </w:rPr>
        <w:t>（说明：（</w:t>
      </w:r>
      <w:r>
        <w:rPr>
          <w:rFonts w:ascii="宋体" w:hAnsi="宋体" w:cs="Arial"/>
          <w:color w:val="auto"/>
          <w:szCs w:val="21"/>
          <w:highlight w:val="none"/>
        </w:rPr>
        <w:t>6</w:t>
      </w:r>
      <w:r>
        <w:rPr>
          <w:rFonts w:hint="eastAsia" w:ascii="宋体" w:hAnsi="宋体" w:cs="Arial"/>
          <w:color w:val="auto"/>
          <w:szCs w:val="21"/>
          <w:highlight w:val="none"/>
        </w:rPr>
        <w:t>）、（</w:t>
      </w:r>
      <w:r>
        <w:rPr>
          <w:rFonts w:ascii="宋体" w:hAnsi="宋体" w:cs="Arial"/>
          <w:color w:val="auto"/>
          <w:szCs w:val="21"/>
          <w:highlight w:val="none"/>
        </w:rPr>
        <w:t>7</w:t>
      </w:r>
      <w:r>
        <w:rPr>
          <w:rFonts w:hint="eastAsia" w:ascii="宋体" w:hAnsi="宋体" w:cs="Arial"/>
          <w:color w:val="auto"/>
          <w:szCs w:val="21"/>
          <w:highlight w:val="none"/>
        </w:rPr>
        <w:t>）、（</w:t>
      </w:r>
      <w:r>
        <w:rPr>
          <w:rFonts w:ascii="宋体" w:hAnsi="宋体" w:cs="Arial"/>
          <w:color w:val="auto"/>
          <w:szCs w:val="21"/>
          <w:highlight w:val="none"/>
        </w:rPr>
        <w:t>8</w:t>
      </w:r>
      <w:r>
        <w:rPr>
          <w:rFonts w:hint="eastAsia" w:ascii="宋体" w:hAnsi="宋体" w:cs="Arial"/>
          <w:color w:val="auto"/>
          <w:szCs w:val="21"/>
          <w:highlight w:val="none"/>
        </w:rPr>
        <w:t>）填空内容分别限于技术标准和要求、图纸、已标价工程量清单三者之一。）</w:t>
      </w:r>
    </w:p>
    <w:p w14:paraId="316E54C1">
      <w:pPr>
        <w:keepNext/>
        <w:keepLines/>
        <w:spacing w:before="120" w:beforeLines="50" w:after="120" w:afterLines="50" w:line="360" w:lineRule="auto"/>
        <w:outlineLvl w:val="2"/>
        <w:rPr>
          <w:rFonts w:ascii="宋体" w:hAnsi="宋体"/>
          <w:color w:val="auto"/>
          <w:kern w:val="0"/>
          <w:sz w:val="24"/>
          <w:szCs w:val="20"/>
          <w:highlight w:val="none"/>
        </w:rPr>
      </w:pPr>
      <w:bookmarkStart w:id="1546" w:name="_Toc485323151"/>
      <w:bookmarkStart w:id="1547" w:name="_Toc489280183"/>
      <w:bookmarkStart w:id="1548" w:name="_Toc490331668"/>
      <w:bookmarkStart w:id="1549" w:name="_Toc10185"/>
      <w:bookmarkStart w:id="1550" w:name="_Toc2390"/>
      <w:bookmarkStart w:id="1551" w:name="_Toc486580377"/>
      <w:bookmarkStart w:id="1552" w:name="_Toc497214046"/>
      <w:r>
        <w:rPr>
          <w:rFonts w:ascii="宋体" w:hAnsi="宋体"/>
          <w:color w:val="auto"/>
          <w:kern w:val="0"/>
          <w:sz w:val="24"/>
          <w:szCs w:val="20"/>
          <w:highlight w:val="none"/>
        </w:rPr>
        <w:t xml:space="preserve">1.5  </w:t>
      </w:r>
      <w:r>
        <w:rPr>
          <w:rFonts w:hint="eastAsia" w:ascii="宋体" w:hAnsi="宋体"/>
          <w:color w:val="auto"/>
          <w:kern w:val="0"/>
          <w:sz w:val="24"/>
          <w:szCs w:val="20"/>
          <w:highlight w:val="none"/>
        </w:rPr>
        <w:t>合同协议书</w:t>
      </w:r>
      <w:bookmarkEnd w:id="1546"/>
      <w:bookmarkEnd w:id="1547"/>
      <w:bookmarkEnd w:id="1548"/>
      <w:bookmarkEnd w:id="1549"/>
      <w:bookmarkEnd w:id="1550"/>
      <w:bookmarkEnd w:id="1551"/>
      <w:bookmarkEnd w:id="1552"/>
    </w:p>
    <w:p w14:paraId="685A5671">
      <w:pPr>
        <w:spacing w:line="360" w:lineRule="auto"/>
        <w:ind w:firstLine="420" w:firstLineChars="200"/>
        <w:rPr>
          <w:rFonts w:ascii="宋体"/>
          <w:color w:val="auto"/>
          <w:szCs w:val="21"/>
          <w:highlight w:val="none"/>
          <w:u w:val="single"/>
        </w:rPr>
      </w:pPr>
      <w:r>
        <w:rPr>
          <w:rFonts w:hint="eastAsia" w:ascii="宋体" w:hAnsi="宋体"/>
          <w:color w:val="auto"/>
          <w:szCs w:val="21"/>
          <w:highlight w:val="none"/>
        </w:rPr>
        <w:t>合同生效的条件：</w:t>
      </w:r>
      <w:r>
        <w:rPr>
          <w:rFonts w:hint="eastAsia" w:ascii="宋体" w:hAnsi="宋体"/>
          <w:color w:val="auto"/>
          <w:szCs w:val="21"/>
          <w:highlight w:val="none"/>
          <w:u w:val="single"/>
        </w:rPr>
        <w:t>甲乙双方法定代表人或授权代表签字并加盖公章之日</w:t>
      </w:r>
      <w:r>
        <w:rPr>
          <w:rFonts w:hint="eastAsia" w:ascii="宋体" w:hAnsi="宋体"/>
          <w:color w:val="auto"/>
          <w:szCs w:val="21"/>
          <w:highlight w:val="none"/>
          <w:u w:val="single"/>
          <w:lang w:eastAsia="zh-CN"/>
        </w:rPr>
        <w:t>起</w:t>
      </w:r>
      <w:r>
        <w:rPr>
          <w:rFonts w:hint="eastAsia" w:ascii="宋体" w:hAnsi="宋体"/>
          <w:color w:val="auto"/>
          <w:szCs w:val="21"/>
          <w:highlight w:val="none"/>
          <w:u w:val="single"/>
        </w:rPr>
        <w:t xml:space="preserve">生效。  </w:t>
      </w:r>
      <w:r>
        <w:rPr>
          <w:rFonts w:ascii="宋体" w:hAnsi="宋体"/>
          <w:color w:val="auto"/>
          <w:szCs w:val="21"/>
          <w:highlight w:val="none"/>
          <w:u w:val="single"/>
        </w:rPr>
        <w:t xml:space="preserve">    </w:t>
      </w:r>
    </w:p>
    <w:p w14:paraId="47F09C91">
      <w:pPr>
        <w:keepNext/>
        <w:keepLines/>
        <w:spacing w:before="120" w:beforeLines="50" w:after="120" w:afterLines="50" w:line="360" w:lineRule="auto"/>
        <w:outlineLvl w:val="2"/>
        <w:rPr>
          <w:rFonts w:ascii="宋体" w:hAnsi="宋体"/>
          <w:color w:val="auto"/>
          <w:kern w:val="0"/>
          <w:sz w:val="24"/>
          <w:szCs w:val="20"/>
          <w:highlight w:val="none"/>
        </w:rPr>
      </w:pPr>
      <w:bookmarkStart w:id="1553" w:name="_Toc497214047"/>
      <w:bookmarkStart w:id="1554" w:name="_Toc486580378"/>
      <w:bookmarkStart w:id="1555" w:name="_Toc490331669"/>
      <w:bookmarkStart w:id="1556" w:name="_Toc489280184"/>
      <w:bookmarkStart w:id="1557" w:name="_Toc25035"/>
      <w:bookmarkStart w:id="1558" w:name="_Toc485323152"/>
      <w:bookmarkStart w:id="1559" w:name="_Toc6431"/>
      <w:r>
        <w:rPr>
          <w:rFonts w:ascii="宋体" w:hAnsi="宋体"/>
          <w:color w:val="auto"/>
          <w:kern w:val="0"/>
          <w:sz w:val="24"/>
          <w:szCs w:val="20"/>
          <w:highlight w:val="none"/>
        </w:rPr>
        <w:t xml:space="preserve">1.6  </w:t>
      </w:r>
      <w:r>
        <w:rPr>
          <w:rFonts w:hint="eastAsia" w:ascii="宋体" w:hAnsi="宋体"/>
          <w:color w:val="auto"/>
          <w:kern w:val="0"/>
          <w:sz w:val="24"/>
          <w:szCs w:val="20"/>
          <w:highlight w:val="none"/>
        </w:rPr>
        <w:t>图纸和承包人文件</w:t>
      </w:r>
      <w:bookmarkEnd w:id="1553"/>
      <w:bookmarkEnd w:id="1554"/>
      <w:bookmarkEnd w:id="1555"/>
      <w:bookmarkEnd w:id="1556"/>
      <w:bookmarkEnd w:id="1557"/>
      <w:bookmarkEnd w:id="1558"/>
      <w:bookmarkEnd w:id="1559"/>
    </w:p>
    <w:p w14:paraId="0498E87E">
      <w:pPr>
        <w:spacing w:line="360" w:lineRule="auto"/>
        <w:ind w:firstLine="420" w:firstLineChars="200"/>
        <w:jc w:val="left"/>
        <w:rPr>
          <w:rFonts w:ascii="宋体"/>
          <w:color w:val="auto"/>
          <w:szCs w:val="21"/>
          <w:highlight w:val="none"/>
        </w:rPr>
      </w:pPr>
      <w:r>
        <w:rPr>
          <w:rFonts w:ascii="宋体" w:hAnsi="宋体"/>
          <w:color w:val="auto"/>
          <w:szCs w:val="21"/>
          <w:highlight w:val="none"/>
        </w:rPr>
        <w:t xml:space="preserve">1.6.1  </w:t>
      </w:r>
      <w:r>
        <w:rPr>
          <w:rFonts w:hint="eastAsia" w:ascii="宋体" w:hAnsi="宋体"/>
          <w:color w:val="auto"/>
          <w:szCs w:val="21"/>
          <w:highlight w:val="none"/>
        </w:rPr>
        <w:t>图纸的提供</w:t>
      </w:r>
    </w:p>
    <w:p w14:paraId="5414B295">
      <w:pPr>
        <w:spacing w:line="360" w:lineRule="auto"/>
        <w:ind w:firstLine="420" w:firstLineChars="200"/>
        <w:rPr>
          <w:rFonts w:asci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5</w:t>
      </w:r>
      <w:r>
        <w:rPr>
          <w:rFonts w:hint="eastAsia" w:ascii="宋体" w:hAnsi="宋体"/>
          <w:color w:val="auto"/>
          <w:szCs w:val="21"/>
          <w:highlight w:val="none"/>
        </w:rPr>
        <w:t>）发包人提供图纸的期限：</w:t>
      </w:r>
      <w:r>
        <w:rPr>
          <w:color w:val="auto"/>
          <w:szCs w:val="21"/>
          <w:highlight w:val="none"/>
          <w:u w:val="single"/>
        </w:rPr>
        <w:t>合同签订后7个工作日内</w:t>
      </w:r>
      <w:r>
        <w:rPr>
          <w:rFonts w:ascii="宋体" w:hAnsi="宋体"/>
          <w:color w:val="auto"/>
          <w:szCs w:val="21"/>
          <w:highlight w:val="none"/>
          <w:u w:val="single"/>
        </w:rPr>
        <w:t xml:space="preserve">                          </w:t>
      </w:r>
    </w:p>
    <w:p w14:paraId="3DEB5E94">
      <w:pPr>
        <w:spacing w:line="360" w:lineRule="auto"/>
        <w:ind w:firstLine="630" w:firstLineChars="300"/>
        <w:rPr>
          <w:rFonts w:ascii="宋体"/>
          <w:color w:val="auto"/>
          <w:szCs w:val="21"/>
          <w:highlight w:val="none"/>
        </w:rPr>
      </w:pPr>
      <w:r>
        <w:rPr>
          <w:rFonts w:hint="eastAsia" w:ascii="宋体" w:hAnsi="宋体"/>
          <w:color w:val="auto"/>
          <w:szCs w:val="21"/>
          <w:highlight w:val="none"/>
        </w:rPr>
        <w:t>发包人提供图纸的数量：</w:t>
      </w:r>
      <w:r>
        <w:rPr>
          <w:rFonts w:hint="eastAsia" w:ascii="宋体" w:hAnsi="宋体"/>
          <w:color w:val="auto"/>
          <w:szCs w:val="21"/>
          <w:highlight w:val="none"/>
          <w:u w:val="single"/>
          <w:lang w:val="en-US" w:eastAsia="zh-CN"/>
        </w:rPr>
        <w:t xml:space="preserve">   2套（一套施工、一套用于竣工资料）       </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p>
    <w:p w14:paraId="79779BD3">
      <w:pPr>
        <w:spacing w:line="360" w:lineRule="auto"/>
        <w:ind w:firstLine="630" w:firstLineChars="300"/>
        <w:rPr>
          <w:rFonts w:ascii="宋体"/>
          <w:color w:val="auto"/>
          <w:szCs w:val="21"/>
          <w:highlight w:val="none"/>
        </w:rPr>
      </w:pPr>
      <w:r>
        <w:rPr>
          <w:rFonts w:hint="eastAsia" w:ascii="宋体" w:hAnsi="宋体"/>
          <w:color w:val="auto"/>
          <w:szCs w:val="21"/>
          <w:highlight w:val="none"/>
        </w:rPr>
        <w:t>其他约定：</w:t>
      </w:r>
      <w:r>
        <w:rPr>
          <w:rFonts w:ascii="宋体" w:hAnsi="宋体"/>
          <w:color w:val="auto"/>
          <w:szCs w:val="21"/>
          <w:highlight w:val="none"/>
          <w:u w:val="single"/>
        </w:rPr>
        <w:t xml:space="preserve"> /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p>
    <w:p w14:paraId="7329DBFF">
      <w:pPr>
        <w:spacing w:line="360" w:lineRule="auto"/>
        <w:ind w:firstLine="420" w:firstLineChars="200"/>
        <w:jc w:val="left"/>
        <w:rPr>
          <w:rFonts w:ascii="宋体"/>
          <w:color w:val="auto"/>
          <w:szCs w:val="21"/>
          <w:highlight w:val="none"/>
        </w:rPr>
      </w:pPr>
      <w:r>
        <w:rPr>
          <w:rFonts w:ascii="宋体" w:hAnsi="宋体"/>
          <w:color w:val="auto"/>
          <w:szCs w:val="21"/>
          <w:highlight w:val="none"/>
        </w:rPr>
        <w:t xml:space="preserve">1.6.2  </w:t>
      </w:r>
      <w:r>
        <w:rPr>
          <w:rFonts w:hint="eastAsia" w:ascii="宋体" w:hAnsi="宋体"/>
          <w:color w:val="auto"/>
          <w:szCs w:val="21"/>
          <w:highlight w:val="none"/>
        </w:rPr>
        <w:t>承包人提供的文件</w:t>
      </w:r>
    </w:p>
    <w:p w14:paraId="4A84F667">
      <w:pPr>
        <w:spacing w:line="360" w:lineRule="auto"/>
        <w:ind w:firstLine="315" w:firstLineChars="150"/>
        <w:rPr>
          <w:rFonts w:ascii="宋体"/>
          <w:color w:val="auto"/>
          <w:szCs w:val="21"/>
          <w:highlight w:val="none"/>
          <w:u w:val="single"/>
        </w:rPr>
      </w:pPr>
      <w:r>
        <w:rPr>
          <w:rFonts w:hint="eastAsia" w:ascii="宋体" w:hAnsi="宋体"/>
          <w:color w:val="auto"/>
          <w:szCs w:val="21"/>
          <w:highlight w:val="none"/>
        </w:rPr>
        <w:t>（</w:t>
      </w:r>
      <w:r>
        <w:rPr>
          <w:rFonts w:ascii="宋体" w:hAnsi="宋体"/>
          <w:color w:val="auto"/>
          <w:szCs w:val="21"/>
          <w:highlight w:val="none"/>
        </w:rPr>
        <w:t>1</w:t>
      </w:r>
      <w:r>
        <w:rPr>
          <w:rFonts w:hint="eastAsia" w:ascii="宋体" w:hAnsi="宋体"/>
          <w:color w:val="auto"/>
          <w:szCs w:val="21"/>
          <w:highlight w:val="none"/>
        </w:rPr>
        <w:t>）由承包人提供的文件范围：</w:t>
      </w:r>
      <w:r>
        <w:rPr>
          <w:rFonts w:hint="eastAsia" w:ascii="宋体" w:hAnsi="宋体"/>
          <w:color w:val="auto"/>
          <w:szCs w:val="21"/>
          <w:highlight w:val="none"/>
          <w:u w:val="single"/>
          <w:lang w:val="en-US" w:eastAsia="zh-CN"/>
        </w:rPr>
        <w:t>①</w:t>
      </w:r>
      <w:r>
        <w:rPr>
          <w:rFonts w:hint="eastAsia" w:ascii="宋体" w:hAnsi="宋体"/>
          <w:color w:val="auto"/>
          <w:szCs w:val="21"/>
          <w:highlight w:val="none"/>
          <w:u w:val="single"/>
        </w:rPr>
        <w:t>当月工程统计报表。</w:t>
      </w:r>
      <w:r>
        <w:rPr>
          <w:rFonts w:hint="eastAsia" w:ascii="宋体" w:hAnsi="宋体"/>
          <w:color w:val="auto"/>
          <w:szCs w:val="21"/>
          <w:highlight w:val="none"/>
          <w:u w:val="single"/>
          <w:lang w:val="en-US" w:eastAsia="zh-CN"/>
        </w:rPr>
        <w:t>②</w:t>
      </w:r>
      <w:r>
        <w:rPr>
          <w:rFonts w:hint="eastAsia" w:ascii="宋体" w:hAnsi="宋体"/>
          <w:color w:val="auto"/>
          <w:szCs w:val="21"/>
          <w:highlight w:val="none"/>
          <w:u w:val="single"/>
        </w:rPr>
        <w:t>根据本项目实际情况调整后的施工组织设计</w:t>
      </w:r>
      <w:r>
        <w:rPr>
          <w:rFonts w:ascii="宋体" w:hAnsi="宋体"/>
          <w:color w:val="auto"/>
          <w:szCs w:val="21"/>
          <w:highlight w:val="none"/>
          <w:u w:val="single"/>
        </w:rPr>
        <w:t>、施工总进度计划</w:t>
      </w:r>
      <w:r>
        <w:rPr>
          <w:rFonts w:hint="eastAsia" w:ascii="宋体" w:hAnsi="宋体"/>
          <w:color w:val="auto"/>
          <w:szCs w:val="21"/>
          <w:highlight w:val="none"/>
          <w:u w:val="single"/>
        </w:rPr>
        <w:t>及材料设备招标采购计划等。承包人所提交的施工组织设计不能低于承包人在投标施工方案内所说明的所有工程内容和承诺的标准。因承包人提交的施工方案不能通过监理工程师审查而造成工期延误，承包人自行承担</w:t>
      </w:r>
      <w:r>
        <w:rPr>
          <w:rFonts w:ascii="宋体" w:hAnsi="宋体"/>
          <w:color w:val="auto"/>
          <w:szCs w:val="21"/>
          <w:highlight w:val="none"/>
          <w:u w:val="single"/>
        </w:rPr>
        <w:t xml:space="preserve"> </w:t>
      </w:r>
      <w:r>
        <w:rPr>
          <w:rFonts w:hint="eastAsia" w:ascii="宋体" w:hAnsi="宋体"/>
          <w:color w:val="auto"/>
          <w:szCs w:val="21"/>
          <w:highlight w:val="none"/>
          <w:u w:val="single"/>
        </w:rPr>
        <w:t>。</w:t>
      </w:r>
    </w:p>
    <w:p w14:paraId="13BEE1C8">
      <w:pPr>
        <w:spacing w:line="360" w:lineRule="auto"/>
        <w:ind w:firstLine="420" w:firstLineChars="200"/>
        <w:rPr>
          <w:rFonts w:ascii="宋体"/>
          <w:color w:val="auto"/>
          <w:szCs w:val="21"/>
          <w:highlight w:val="none"/>
        </w:rPr>
      </w:pPr>
      <w:r>
        <w:rPr>
          <w:rFonts w:hint="eastAsia" w:ascii="宋体" w:hAnsi="宋体"/>
          <w:color w:val="auto"/>
          <w:szCs w:val="21"/>
          <w:highlight w:val="none"/>
        </w:rPr>
        <w:t>承包人提供文件的期限：</w:t>
      </w:r>
      <w:r>
        <w:rPr>
          <w:rFonts w:hint="eastAsia" w:ascii="宋体" w:hAnsi="宋体"/>
          <w:color w:val="auto"/>
          <w:szCs w:val="21"/>
          <w:highlight w:val="none"/>
          <w:u w:val="single"/>
        </w:rPr>
        <w:t>在本合同签订后3日内，应按监理工程师要求，向监理提交一份完整的工程进度计划，每月25日提供当月工程统计报表，承包人在合同生效后14天内提交施工组织设计，一式五份。</w:t>
      </w:r>
      <w:r>
        <w:rPr>
          <w:rFonts w:ascii="宋体" w:hAnsi="宋体"/>
          <w:color w:val="auto"/>
          <w:szCs w:val="21"/>
          <w:highlight w:val="none"/>
          <w:u w:val="single"/>
        </w:rPr>
        <w:t xml:space="preserve">  </w:t>
      </w:r>
    </w:p>
    <w:p w14:paraId="226BE4A2">
      <w:pPr>
        <w:spacing w:line="360" w:lineRule="auto"/>
        <w:ind w:firstLine="420" w:firstLineChars="200"/>
        <w:rPr>
          <w:rFonts w:ascii="宋体"/>
          <w:color w:val="auto"/>
          <w:szCs w:val="21"/>
          <w:highlight w:val="none"/>
          <w:u w:val="single"/>
        </w:rPr>
      </w:pPr>
      <w:r>
        <w:rPr>
          <w:rFonts w:hint="eastAsia" w:ascii="宋体" w:hAnsi="宋体"/>
          <w:color w:val="auto"/>
          <w:szCs w:val="21"/>
          <w:highlight w:val="none"/>
        </w:rPr>
        <w:t>承包人提供文件的数量：</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三套 （</w:t>
      </w:r>
      <w:r>
        <w:rPr>
          <w:rFonts w:hint="eastAsia" w:ascii="宋体" w:hAnsi="宋体"/>
          <w:color w:val="auto"/>
          <w:szCs w:val="21"/>
          <w:highlight w:val="none"/>
          <w:u w:val="single"/>
          <w:lang w:eastAsia="zh-Hans"/>
        </w:rPr>
        <w:t>每套文件应包括一份工程进度计划、一份当月工程统计报表、五份施工组织设计</w:t>
      </w:r>
      <w:r>
        <w:rPr>
          <w:rFonts w:ascii="宋体" w:hAnsi="宋体"/>
          <w:color w:val="auto"/>
          <w:szCs w:val="21"/>
          <w:highlight w:val="none"/>
          <w:u w:val="single"/>
          <w:lang w:eastAsia="zh-Hans"/>
        </w:rPr>
        <w:t>）</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p>
    <w:p w14:paraId="0C0F9168">
      <w:pPr>
        <w:spacing w:line="360" w:lineRule="auto"/>
        <w:ind w:firstLine="420" w:firstLineChars="200"/>
        <w:rPr>
          <w:rFonts w:ascii="宋体"/>
          <w:color w:val="auto"/>
          <w:szCs w:val="21"/>
          <w:highlight w:val="none"/>
          <w:u w:val="single"/>
        </w:rPr>
      </w:pPr>
      <w:r>
        <w:rPr>
          <w:rFonts w:hint="eastAsia" w:ascii="宋体" w:hAnsi="宋体"/>
          <w:color w:val="auto"/>
          <w:szCs w:val="21"/>
          <w:highlight w:val="none"/>
        </w:rPr>
        <w:t>监理人批复承包人提供文件的期限：</w:t>
      </w:r>
      <w:r>
        <w:rPr>
          <w:rFonts w:hint="eastAsia" w:ascii="宋体" w:hAnsi="宋体"/>
          <w:color w:val="auto"/>
          <w:szCs w:val="21"/>
          <w:highlight w:val="none"/>
          <w:u w:val="single"/>
        </w:rPr>
        <w:t>收到承包人提供文件3日内</w:t>
      </w:r>
      <w:r>
        <w:rPr>
          <w:rFonts w:ascii="宋体" w:hAnsi="宋体"/>
          <w:color w:val="auto"/>
          <w:szCs w:val="21"/>
          <w:highlight w:val="none"/>
          <w:u w:val="single"/>
        </w:rPr>
        <w:t xml:space="preserve">                </w:t>
      </w:r>
    </w:p>
    <w:p w14:paraId="016FEDEA">
      <w:pPr>
        <w:spacing w:line="360" w:lineRule="auto"/>
        <w:ind w:firstLine="420" w:firstLineChars="200"/>
        <w:rPr>
          <w:rFonts w:ascii="宋体"/>
          <w:color w:val="auto"/>
          <w:szCs w:val="21"/>
          <w:highlight w:val="none"/>
        </w:rPr>
      </w:pPr>
      <w:r>
        <w:rPr>
          <w:rFonts w:hint="eastAsia" w:ascii="宋体" w:hAnsi="宋体"/>
          <w:color w:val="auto"/>
          <w:szCs w:val="21"/>
          <w:highlight w:val="none"/>
        </w:rPr>
        <w:t>其他约定：</w:t>
      </w:r>
      <w:r>
        <w:rPr>
          <w:rFonts w:ascii="宋体" w:hAnsi="宋体"/>
          <w:color w:val="auto"/>
          <w:szCs w:val="21"/>
          <w:highlight w:val="none"/>
          <w:u w:val="single"/>
        </w:rPr>
        <w:t xml:space="preserve">  /                                                              </w:t>
      </w:r>
    </w:p>
    <w:p w14:paraId="40D6BBDC">
      <w:pPr>
        <w:keepNext/>
        <w:keepLines/>
        <w:spacing w:before="120" w:beforeLines="50" w:after="120" w:afterLines="50" w:line="360" w:lineRule="auto"/>
        <w:outlineLvl w:val="2"/>
        <w:rPr>
          <w:rFonts w:ascii="宋体" w:hAnsi="宋体"/>
          <w:color w:val="auto"/>
          <w:kern w:val="0"/>
          <w:sz w:val="24"/>
          <w:szCs w:val="20"/>
          <w:highlight w:val="none"/>
        </w:rPr>
      </w:pPr>
      <w:bookmarkStart w:id="1560" w:name="_Toc490331670"/>
      <w:bookmarkStart w:id="1561" w:name="_Toc486580379"/>
      <w:bookmarkStart w:id="1562" w:name="_Toc489280185"/>
      <w:bookmarkStart w:id="1563" w:name="_Toc14558"/>
      <w:bookmarkStart w:id="1564" w:name="_Toc497214048"/>
      <w:bookmarkStart w:id="1565" w:name="_Toc12258"/>
      <w:bookmarkStart w:id="1566" w:name="_Toc485323153"/>
      <w:r>
        <w:rPr>
          <w:rFonts w:ascii="宋体" w:hAnsi="宋体"/>
          <w:color w:val="auto"/>
          <w:kern w:val="0"/>
          <w:sz w:val="24"/>
          <w:szCs w:val="20"/>
          <w:highlight w:val="none"/>
        </w:rPr>
        <w:t xml:space="preserve">1.7  </w:t>
      </w:r>
      <w:r>
        <w:rPr>
          <w:rFonts w:hint="eastAsia" w:ascii="宋体" w:hAnsi="宋体"/>
          <w:color w:val="auto"/>
          <w:kern w:val="0"/>
          <w:sz w:val="24"/>
          <w:szCs w:val="20"/>
          <w:highlight w:val="none"/>
        </w:rPr>
        <w:t>联</w:t>
      </w:r>
      <w:r>
        <w:rPr>
          <w:rFonts w:ascii="宋体" w:hAnsi="宋体"/>
          <w:color w:val="auto"/>
          <w:kern w:val="0"/>
          <w:sz w:val="24"/>
          <w:szCs w:val="20"/>
          <w:highlight w:val="none"/>
        </w:rPr>
        <w:t xml:space="preserve"> </w:t>
      </w:r>
      <w:r>
        <w:rPr>
          <w:rFonts w:hint="eastAsia" w:ascii="宋体" w:hAnsi="宋体"/>
          <w:color w:val="auto"/>
          <w:kern w:val="0"/>
          <w:sz w:val="24"/>
          <w:szCs w:val="20"/>
          <w:highlight w:val="none"/>
        </w:rPr>
        <w:t>络</w:t>
      </w:r>
      <w:bookmarkEnd w:id="1560"/>
      <w:bookmarkEnd w:id="1561"/>
      <w:bookmarkEnd w:id="1562"/>
      <w:bookmarkEnd w:id="1563"/>
      <w:bookmarkEnd w:id="1564"/>
      <w:bookmarkEnd w:id="1565"/>
      <w:bookmarkEnd w:id="1566"/>
    </w:p>
    <w:p w14:paraId="22E1858A">
      <w:pPr>
        <w:spacing w:line="360" w:lineRule="auto"/>
        <w:ind w:firstLine="420" w:firstLineChars="200"/>
        <w:jc w:val="left"/>
        <w:rPr>
          <w:rFonts w:ascii="宋体" w:cs="Arial"/>
          <w:color w:val="auto"/>
          <w:szCs w:val="21"/>
          <w:highlight w:val="none"/>
        </w:rPr>
      </w:pPr>
      <w:r>
        <w:rPr>
          <w:rFonts w:ascii="宋体" w:hAnsi="宋体"/>
          <w:color w:val="auto"/>
          <w:szCs w:val="21"/>
          <w:highlight w:val="none"/>
        </w:rPr>
        <w:t xml:space="preserve">1.7.2  </w:t>
      </w:r>
      <w:r>
        <w:rPr>
          <w:rFonts w:hint="eastAsia" w:ascii="宋体" w:hAnsi="宋体"/>
          <w:color w:val="auto"/>
          <w:szCs w:val="21"/>
          <w:highlight w:val="none"/>
        </w:rPr>
        <w:t>联络来往函件的送达和接收</w:t>
      </w:r>
    </w:p>
    <w:p w14:paraId="33E1C88D">
      <w:pPr>
        <w:spacing w:line="360" w:lineRule="auto"/>
        <w:ind w:firstLine="420" w:firstLineChars="200"/>
        <w:rPr>
          <w:rFonts w:asci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2</w:t>
      </w:r>
      <w:r>
        <w:rPr>
          <w:rFonts w:hint="eastAsia" w:ascii="宋体" w:hAnsi="宋体"/>
          <w:color w:val="auto"/>
          <w:szCs w:val="21"/>
          <w:highlight w:val="none"/>
        </w:rPr>
        <w:t>）发包人指定的接收地点：</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p>
    <w:p w14:paraId="5B9401FB">
      <w:pPr>
        <w:spacing w:line="360" w:lineRule="auto"/>
        <w:ind w:firstLine="567" w:firstLineChars="270"/>
        <w:jc w:val="left"/>
        <w:rPr>
          <w:rFonts w:ascii="宋体"/>
          <w:color w:val="auto"/>
          <w:szCs w:val="21"/>
          <w:highlight w:val="none"/>
        </w:rPr>
      </w:pPr>
      <w:r>
        <w:rPr>
          <w:rFonts w:hint="eastAsia" w:ascii="宋体" w:hAnsi="宋体"/>
          <w:color w:val="auto"/>
          <w:szCs w:val="21"/>
          <w:highlight w:val="none"/>
        </w:rPr>
        <w:t>发包人指定的接收人为：</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p>
    <w:p w14:paraId="19FBFFD3">
      <w:pPr>
        <w:spacing w:line="360" w:lineRule="auto"/>
        <w:ind w:firstLine="420" w:firstLineChars="200"/>
        <w:jc w:val="left"/>
        <w:rPr>
          <w:rFonts w:asci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3</w:t>
      </w:r>
      <w:r>
        <w:rPr>
          <w:rFonts w:hint="eastAsia" w:ascii="宋体" w:hAnsi="宋体"/>
          <w:color w:val="auto"/>
          <w:szCs w:val="21"/>
          <w:highlight w:val="none"/>
        </w:rPr>
        <w:t>）监理人指定的接收地点：</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p>
    <w:p w14:paraId="54B41FD3">
      <w:pPr>
        <w:spacing w:line="360" w:lineRule="auto"/>
        <w:ind w:firstLine="567" w:firstLineChars="270"/>
        <w:rPr>
          <w:rFonts w:ascii="宋体"/>
          <w:color w:val="auto"/>
          <w:szCs w:val="21"/>
          <w:highlight w:val="none"/>
          <w:u w:val="single"/>
        </w:rPr>
      </w:pPr>
      <w:r>
        <w:rPr>
          <w:rFonts w:hint="eastAsia" w:ascii="宋体" w:hAnsi="宋体"/>
          <w:color w:val="auto"/>
          <w:szCs w:val="21"/>
          <w:highlight w:val="none"/>
        </w:rPr>
        <w:t>监理人指定的接收人为：</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p>
    <w:p w14:paraId="7BA7FC6A">
      <w:pPr>
        <w:spacing w:line="360" w:lineRule="auto"/>
        <w:ind w:firstLine="420" w:firstLineChars="200"/>
        <w:jc w:val="left"/>
        <w:rPr>
          <w:rFonts w:ascii="宋体"/>
          <w:color w:val="auto"/>
          <w:highlight w:val="none"/>
        </w:rPr>
      </w:pPr>
      <w:r>
        <w:rPr>
          <w:rFonts w:hint="eastAsia" w:ascii="宋体" w:hAnsi="宋体"/>
          <w:color w:val="auto"/>
          <w:szCs w:val="21"/>
          <w:highlight w:val="none"/>
        </w:rPr>
        <w:t>（</w:t>
      </w:r>
      <w:r>
        <w:rPr>
          <w:rFonts w:ascii="宋体" w:hAnsi="宋体"/>
          <w:color w:val="auto"/>
          <w:szCs w:val="21"/>
          <w:highlight w:val="none"/>
        </w:rPr>
        <w:t>4</w:t>
      </w:r>
      <w:r>
        <w:rPr>
          <w:rFonts w:hint="eastAsia" w:ascii="宋体" w:hAnsi="宋体"/>
          <w:color w:val="auto"/>
          <w:szCs w:val="21"/>
          <w:highlight w:val="none"/>
        </w:rPr>
        <w:t>）承包人指定的接收地点：</w:t>
      </w:r>
      <w:r>
        <w:rPr>
          <w:rFonts w:ascii="宋体" w:hAnsi="宋体"/>
          <w:color w:val="auto"/>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p>
    <w:p w14:paraId="6FD79B7F">
      <w:pPr>
        <w:keepNext/>
        <w:keepLines/>
        <w:spacing w:before="120" w:beforeLines="50" w:after="120" w:afterLines="50" w:line="360" w:lineRule="auto"/>
        <w:outlineLvl w:val="1"/>
        <w:rPr>
          <w:rFonts w:ascii="宋体" w:hAnsi="宋体" w:cs="宋体"/>
          <w:color w:val="auto"/>
          <w:sz w:val="28"/>
          <w:szCs w:val="20"/>
          <w:highlight w:val="none"/>
        </w:rPr>
      </w:pPr>
      <w:bookmarkStart w:id="1567" w:name="_Toc27366"/>
      <w:bookmarkStart w:id="1568" w:name="_Toc490331671"/>
      <w:bookmarkStart w:id="1569" w:name="_Toc486580380"/>
      <w:bookmarkStart w:id="1570" w:name="_Toc3600"/>
      <w:bookmarkStart w:id="1571" w:name="_Toc489280186"/>
      <w:bookmarkStart w:id="1572" w:name="_Toc485323154"/>
      <w:bookmarkStart w:id="1573" w:name="_Toc497214049"/>
      <w:r>
        <w:rPr>
          <w:rFonts w:ascii="宋体" w:hAnsi="宋体" w:cs="宋体"/>
          <w:color w:val="auto"/>
          <w:sz w:val="28"/>
          <w:szCs w:val="20"/>
          <w:highlight w:val="none"/>
        </w:rPr>
        <w:t>2.</w:t>
      </w:r>
      <w:r>
        <w:rPr>
          <w:rFonts w:hint="eastAsia" w:ascii="宋体" w:hAnsi="宋体" w:cs="宋体"/>
          <w:color w:val="auto"/>
          <w:sz w:val="28"/>
          <w:szCs w:val="20"/>
          <w:highlight w:val="none"/>
        </w:rPr>
        <w:t>发包人义务</w:t>
      </w:r>
      <w:bookmarkEnd w:id="1567"/>
      <w:bookmarkEnd w:id="1568"/>
      <w:bookmarkEnd w:id="1569"/>
      <w:bookmarkEnd w:id="1570"/>
      <w:bookmarkEnd w:id="1571"/>
      <w:bookmarkEnd w:id="1572"/>
      <w:bookmarkEnd w:id="1573"/>
    </w:p>
    <w:p w14:paraId="0FB97F2A">
      <w:pPr>
        <w:keepNext/>
        <w:keepLines/>
        <w:spacing w:before="120" w:beforeLines="50" w:after="120" w:afterLines="50" w:line="360" w:lineRule="auto"/>
        <w:outlineLvl w:val="2"/>
        <w:rPr>
          <w:rFonts w:ascii="宋体" w:hAnsi="宋体"/>
          <w:color w:val="auto"/>
          <w:kern w:val="0"/>
          <w:sz w:val="24"/>
          <w:szCs w:val="20"/>
          <w:highlight w:val="none"/>
        </w:rPr>
      </w:pPr>
      <w:bookmarkStart w:id="1574" w:name="_Toc486580381"/>
      <w:bookmarkStart w:id="1575" w:name="_Toc490331672"/>
      <w:bookmarkStart w:id="1576" w:name="_Toc497214050"/>
      <w:bookmarkStart w:id="1577" w:name="_Toc538"/>
      <w:bookmarkStart w:id="1578" w:name="_Toc1771"/>
      <w:bookmarkStart w:id="1579" w:name="_Toc489280187"/>
      <w:bookmarkStart w:id="1580" w:name="_Toc485323155"/>
      <w:r>
        <w:rPr>
          <w:rFonts w:ascii="宋体" w:hAnsi="宋体"/>
          <w:color w:val="auto"/>
          <w:kern w:val="0"/>
          <w:sz w:val="24"/>
          <w:szCs w:val="20"/>
          <w:highlight w:val="none"/>
        </w:rPr>
        <w:t xml:space="preserve">2.3  </w:t>
      </w:r>
      <w:r>
        <w:rPr>
          <w:rFonts w:hint="eastAsia" w:ascii="宋体" w:hAnsi="宋体"/>
          <w:color w:val="auto"/>
          <w:kern w:val="0"/>
          <w:sz w:val="24"/>
          <w:szCs w:val="20"/>
          <w:highlight w:val="none"/>
        </w:rPr>
        <w:t>提供施工场地</w:t>
      </w:r>
      <w:bookmarkEnd w:id="1574"/>
      <w:bookmarkEnd w:id="1575"/>
      <w:bookmarkEnd w:id="1576"/>
      <w:bookmarkEnd w:id="1577"/>
      <w:bookmarkEnd w:id="1578"/>
      <w:bookmarkEnd w:id="1579"/>
      <w:bookmarkEnd w:id="1580"/>
    </w:p>
    <w:p w14:paraId="6E92C8DE">
      <w:pPr>
        <w:spacing w:line="360" w:lineRule="auto"/>
        <w:ind w:firstLine="420" w:firstLineChars="200"/>
        <w:rPr>
          <w:rFonts w:ascii="宋体"/>
          <w:color w:val="auto"/>
          <w:szCs w:val="21"/>
          <w:highlight w:val="none"/>
        </w:rPr>
      </w:pPr>
      <w:r>
        <w:rPr>
          <w:rFonts w:hint="eastAsia" w:ascii="宋体" w:hAnsi="宋体"/>
          <w:color w:val="auto"/>
          <w:szCs w:val="21"/>
          <w:highlight w:val="none"/>
        </w:rPr>
        <w:t>发包人移交施工场地的期限：发包人应当将具备施工条件的施工场地，在监理人发出开工通知中载明的开工日期</w:t>
      </w:r>
      <w:r>
        <w:rPr>
          <w:rFonts w:ascii="宋体" w:hAnsi="宋体"/>
          <w:color w:val="auto"/>
          <w:szCs w:val="21"/>
          <w:highlight w:val="none"/>
          <w:u w:val="single"/>
        </w:rPr>
        <w:t xml:space="preserve"> 7 </w:t>
      </w:r>
      <w:r>
        <w:rPr>
          <w:rFonts w:hint="eastAsia" w:ascii="宋体" w:hAnsi="宋体"/>
          <w:color w:val="auto"/>
          <w:szCs w:val="21"/>
          <w:highlight w:val="none"/>
        </w:rPr>
        <w:t>天前移交给承包人。</w:t>
      </w:r>
    </w:p>
    <w:p w14:paraId="21ED631E">
      <w:pPr>
        <w:keepNext/>
        <w:keepLines/>
        <w:spacing w:before="120" w:beforeLines="50" w:after="120" w:afterLines="50" w:line="360" w:lineRule="auto"/>
        <w:outlineLvl w:val="2"/>
        <w:rPr>
          <w:rFonts w:ascii="宋体" w:hAnsi="宋体"/>
          <w:color w:val="auto"/>
          <w:kern w:val="0"/>
          <w:sz w:val="24"/>
          <w:szCs w:val="20"/>
          <w:highlight w:val="none"/>
        </w:rPr>
      </w:pPr>
      <w:bookmarkStart w:id="1581" w:name="_Toc489280188"/>
      <w:bookmarkStart w:id="1582" w:name="_Toc21724"/>
      <w:bookmarkStart w:id="1583" w:name="_Toc22600"/>
      <w:bookmarkStart w:id="1584" w:name="_Toc485323156"/>
      <w:bookmarkStart w:id="1585" w:name="_Toc490331673"/>
      <w:bookmarkStart w:id="1586" w:name="_Toc486580382"/>
      <w:bookmarkStart w:id="1587" w:name="_Toc497214051"/>
      <w:r>
        <w:rPr>
          <w:rFonts w:ascii="宋体" w:hAnsi="宋体"/>
          <w:color w:val="auto"/>
          <w:kern w:val="0"/>
          <w:sz w:val="24"/>
          <w:szCs w:val="20"/>
          <w:highlight w:val="none"/>
        </w:rPr>
        <w:t xml:space="preserve">2.8  </w:t>
      </w:r>
      <w:r>
        <w:rPr>
          <w:rFonts w:hint="eastAsia" w:ascii="宋体" w:hAnsi="宋体"/>
          <w:color w:val="auto"/>
          <w:kern w:val="0"/>
          <w:sz w:val="24"/>
          <w:szCs w:val="20"/>
          <w:highlight w:val="none"/>
        </w:rPr>
        <w:t>向承包人提交支付担保</w:t>
      </w:r>
      <w:bookmarkEnd w:id="1581"/>
      <w:bookmarkEnd w:id="1582"/>
      <w:bookmarkEnd w:id="1583"/>
      <w:bookmarkEnd w:id="1584"/>
      <w:bookmarkEnd w:id="1585"/>
      <w:bookmarkEnd w:id="1586"/>
      <w:bookmarkEnd w:id="1587"/>
    </w:p>
    <w:p w14:paraId="7D1A31DD">
      <w:pPr>
        <w:spacing w:line="360" w:lineRule="auto"/>
        <w:ind w:firstLine="420" w:firstLineChars="200"/>
        <w:rPr>
          <w:rFonts w:asci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1</w:t>
      </w:r>
      <w:r>
        <w:rPr>
          <w:rFonts w:hint="eastAsia" w:ascii="宋体" w:hAnsi="宋体"/>
          <w:color w:val="auto"/>
          <w:szCs w:val="21"/>
          <w:highlight w:val="none"/>
        </w:rPr>
        <w:t>）发包人向承包人提交支付担保的金额：</w:t>
      </w:r>
      <w:r>
        <w:rPr>
          <w:rFonts w:ascii="宋体" w:hAnsi="宋体"/>
          <w:color w:val="auto"/>
          <w:szCs w:val="21"/>
          <w:highlight w:val="none"/>
          <w:u w:val="single"/>
        </w:rPr>
        <w:t xml:space="preserve"> /                                 </w:t>
      </w:r>
    </w:p>
    <w:p w14:paraId="6DFDB313">
      <w:pPr>
        <w:keepNext/>
        <w:keepLines/>
        <w:spacing w:before="120" w:beforeLines="50" w:after="120" w:afterLines="50" w:line="360" w:lineRule="auto"/>
        <w:outlineLvl w:val="2"/>
        <w:rPr>
          <w:rFonts w:ascii="宋体" w:hAnsi="宋体"/>
          <w:color w:val="auto"/>
          <w:kern w:val="0"/>
          <w:sz w:val="24"/>
          <w:szCs w:val="20"/>
          <w:highlight w:val="none"/>
        </w:rPr>
      </w:pPr>
      <w:bookmarkStart w:id="1588" w:name="_Toc490331674"/>
      <w:bookmarkStart w:id="1589" w:name="_Toc22350"/>
      <w:bookmarkStart w:id="1590" w:name="_Toc10621"/>
      <w:bookmarkStart w:id="1591" w:name="_Toc489280189"/>
      <w:bookmarkStart w:id="1592" w:name="_Toc485323157"/>
      <w:bookmarkStart w:id="1593" w:name="_Toc497214052"/>
      <w:bookmarkStart w:id="1594" w:name="_Toc486580383"/>
      <w:r>
        <w:rPr>
          <w:rFonts w:ascii="宋体" w:hAnsi="宋体"/>
          <w:color w:val="auto"/>
          <w:kern w:val="0"/>
          <w:sz w:val="24"/>
          <w:szCs w:val="20"/>
          <w:highlight w:val="none"/>
        </w:rPr>
        <w:t xml:space="preserve">2.13  </w:t>
      </w:r>
      <w:r>
        <w:rPr>
          <w:rFonts w:hint="eastAsia" w:ascii="宋体" w:hAnsi="宋体"/>
          <w:color w:val="auto"/>
          <w:kern w:val="0"/>
          <w:sz w:val="24"/>
          <w:szCs w:val="20"/>
          <w:highlight w:val="none"/>
        </w:rPr>
        <w:t>其他义务</w:t>
      </w:r>
      <w:bookmarkEnd w:id="1588"/>
      <w:bookmarkEnd w:id="1589"/>
      <w:bookmarkEnd w:id="1590"/>
      <w:bookmarkEnd w:id="1591"/>
      <w:bookmarkEnd w:id="1592"/>
      <w:bookmarkEnd w:id="1593"/>
      <w:bookmarkEnd w:id="1594"/>
    </w:p>
    <w:p w14:paraId="7BEB0379">
      <w:pPr>
        <w:spacing w:line="360" w:lineRule="auto"/>
        <w:ind w:firstLine="420" w:firstLineChars="200"/>
        <w:rPr>
          <w:rFonts w:ascii="宋体" w:cs="Arial"/>
          <w:color w:val="auto"/>
          <w:szCs w:val="21"/>
          <w:highlight w:val="none"/>
        </w:rPr>
      </w:pPr>
      <w:r>
        <w:rPr>
          <w:rFonts w:hint="eastAsia" w:ascii="宋体" w:hAnsi="宋体"/>
          <w:color w:val="auto"/>
          <w:szCs w:val="21"/>
          <w:highlight w:val="none"/>
        </w:rPr>
        <w:t>发包人应当履行的其他义务</w:t>
      </w:r>
      <w:r>
        <w:rPr>
          <w:rFonts w:hint="eastAsia" w:ascii="宋体" w:hAnsi="宋体" w:cs="Arial"/>
          <w:color w:val="auto"/>
          <w:highlight w:val="none"/>
          <w:u w:val="single"/>
        </w:rPr>
        <w:t xml:space="preserve">  / </w:t>
      </w:r>
      <w:r>
        <w:rPr>
          <w:rFonts w:ascii="宋体" w:hAnsi="宋体"/>
          <w:color w:val="auto"/>
          <w:szCs w:val="21"/>
          <w:highlight w:val="none"/>
          <w:u w:val="single"/>
        </w:rPr>
        <w:t xml:space="preserve">  </w:t>
      </w:r>
    </w:p>
    <w:p w14:paraId="0FF2004A">
      <w:pPr>
        <w:keepNext/>
        <w:keepLines/>
        <w:spacing w:before="120" w:beforeLines="50" w:after="120" w:afterLines="50" w:line="360" w:lineRule="auto"/>
        <w:outlineLvl w:val="1"/>
        <w:rPr>
          <w:rFonts w:ascii="宋体" w:hAnsi="宋体" w:cs="宋体"/>
          <w:color w:val="auto"/>
          <w:sz w:val="28"/>
          <w:szCs w:val="20"/>
          <w:highlight w:val="none"/>
        </w:rPr>
      </w:pPr>
      <w:bookmarkStart w:id="1595" w:name="_Toc490331675"/>
      <w:bookmarkStart w:id="1596" w:name="_Toc497214053"/>
      <w:bookmarkStart w:id="1597" w:name="_Toc17132"/>
      <w:bookmarkStart w:id="1598" w:name="_Toc489280190"/>
      <w:bookmarkStart w:id="1599" w:name="_Toc485323158"/>
      <w:bookmarkStart w:id="1600" w:name="_Toc19522"/>
      <w:bookmarkStart w:id="1601" w:name="_Toc486580384"/>
      <w:r>
        <w:rPr>
          <w:rFonts w:ascii="宋体" w:hAnsi="宋体" w:cs="宋体"/>
          <w:color w:val="auto"/>
          <w:sz w:val="28"/>
          <w:szCs w:val="20"/>
          <w:highlight w:val="none"/>
        </w:rPr>
        <w:t>3.</w:t>
      </w:r>
      <w:r>
        <w:rPr>
          <w:rFonts w:hint="eastAsia" w:ascii="宋体" w:hAnsi="宋体" w:cs="宋体"/>
          <w:color w:val="auto"/>
          <w:sz w:val="28"/>
          <w:szCs w:val="20"/>
          <w:highlight w:val="none"/>
        </w:rPr>
        <w:t>监理人</w:t>
      </w:r>
      <w:bookmarkEnd w:id="1595"/>
      <w:bookmarkEnd w:id="1596"/>
      <w:bookmarkEnd w:id="1597"/>
      <w:bookmarkEnd w:id="1598"/>
      <w:bookmarkEnd w:id="1599"/>
      <w:bookmarkEnd w:id="1600"/>
      <w:bookmarkEnd w:id="1601"/>
    </w:p>
    <w:p w14:paraId="73C67749">
      <w:pPr>
        <w:keepNext/>
        <w:keepLines/>
        <w:spacing w:before="120" w:beforeLines="50" w:after="120" w:afterLines="50" w:line="360" w:lineRule="auto"/>
        <w:outlineLvl w:val="2"/>
        <w:rPr>
          <w:rFonts w:ascii="宋体" w:hAnsi="宋体"/>
          <w:color w:val="auto"/>
          <w:kern w:val="0"/>
          <w:sz w:val="24"/>
          <w:szCs w:val="20"/>
          <w:highlight w:val="none"/>
        </w:rPr>
      </w:pPr>
      <w:bookmarkStart w:id="1602" w:name="_Toc490331676"/>
      <w:bookmarkStart w:id="1603" w:name="_Toc486580385"/>
      <w:bookmarkStart w:id="1604" w:name="_Toc30876"/>
      <w:bookmarkStart w:id="1605" w:name="_Toc485323159"/>
      <w:bookmarkStart w:id="1606" w:name="_Toc497214054"/>
      <w:bookmarkStart w:id="1607" w:name="_Toc29506"/>
      <w:bookmarkStart w:id="1608" w:name="_Toc489280191"/>
      <w:r>
        <w:rPr>
          <w:rFonts w:ascii="宋体" w:hAnsi="宋体"/>
          <w:color w:val="auto"/>
          <w:kern w:val="0"/>
          <w:sz w:val="24"/>
          <w:szCs w:val="20"/>
          <w:highlight w:val="none"/>
        </w:rPr>
        <w:t xml:space="preserve">3.1  </w:t>
      </w:r>
      <w:r>
        <w:rPr>
          <w:rFonts w:hint="eastAsia" w:ascii="宋体" w:hAnsi="宋体"/>
          <w:color w:val="auto"/>
          <w:kern w:val="0"/>
          <w:sz w:val="24"/>
          <w:szCs w:val="20"/>
          <w:highlight w:val="none"/>
        </w:rPr>
        <w:t>监理人的职责和权力</w:t>
      </w:r>
      <w:bookmarkEnd w:id="1602"/>
      <w:bookmarkEnd w:id="1603"/>
      <w:bookmarkEnd w:id="1604"/>
      <w:bookmarkEnd w:id="1605"/>
      <w:bookmarkEnd w:id="1606"/>
      <w:bookmarkEnd w:id="1607"/>
      <w:bookmarkEnd w:id="1608"/>
    </w:p>
    <w:p w14:paraId="52D9D36C">
      <w:pPr>
        <w:spacing w:line="360" w:lineRule="auto"/>
        <w:ind w:firstLine="420" w:firstLineChars="200"/>
        <w:rPr>
          <w:rFonts w:ascii="宋体"/>
          <w:color w:val="auto"/>
          <w:szCs w:val="21"/>
          <w:highlight w:val="none"/>
        </w:rPr>
      </w:pPr>
      <w:r>
        <w:rPr>
          <w:rFonts w:ascii="宋体" w:hAnsi="宋体"/>
          <w:color w:val="auto"/>
          <w:szCs w:val="21"/>
          <w:highlight w:val="none"/>
        </w:rPr>
        <w:t xml:space="preserve">3.1.1  </w:t>
      </w:r>
      <w:r>
        <w:rPr>
          <w:rFonts w:hint="eastAsia" w:ascii="宋体" w:hAnsi="宋体"/>
          <w:color w:val="auto"/>
          <w:szCs w:val="21"/>
          <w:highlight w:val="none"/>
        </w:rPr>
        <w:t>发包人需批准明确行使的权力：</w:t>
      </w:r>
      <w:r>
        <w:rPr>
          <w:rFonts w:hint="eastAsia" w:hAnsi="宋体" w:cs="宋体"/>
          <w:color w:val="auto"/>
          <w:highlight w:val="none"/>
          <w:u w:val="single"/>
        </w:rPr>
        <w:t>（</w:t>
      </w:r>
      <w:r>
        <w:rPr>
          <w:rFonts w:hAnsi="宋体"/>
          <w:color w:val="auto"/>
          <w:highlight w:val="none"/>
          <w:u w:val="single"/>
        </w:rPr>
        <w:t>1</w:t>
      </w:r>
      <w:r>
        <w:rPr>
          <w:rFonts w:hint="eastAsia" w:hAnsi="宋体" w:cs="宋体"/>
          <w:color w:val="auto"/>
          <w:highlight w:val="none"/>
          <w:u w:val="single"/>
        </w:rPr>
        <w:t>）同意分包本工程的某些非主体和非关键性工作。（</w:t>
      </w:r>
      <w:r>
        <w:rPr>
          <w:rFonts w:hAnsi="宋体"/>
          <w:color w:val="auto"/>
          <w:highlight w:val="none"/>
          <w:u w:val="single"/>
        </w:rPr>
        <w:t>2</w:t>
      </w:r>
      <w:r>
        <w:rPr>
          <w:rFonts w:hint="eastAsia" w:hAnsi="宋体" w:cs="宋体"/>
          <w:color w:val="auto"/>
          <w:highlight w:val="none"/>
          <w:u w:val="single"/>
        </w:rPr>
        <w:t>）产生的费用增加额。（</w:t>
      </w:r>
      <w:r>
        <w:rPr>
          <w:rFonts w:hAnsi="宋体"/>
          <w:color w:val="auto"/>
          <w:highlight w:val="none"/>
          <w:u w:val="single"/>
        </w:rPr>
        <w:t>3</w:t>
      </w:r>
      <w:r>
        <w:rPr>
          <w:rFonts w:hint="eastAsia" w:hAnsi="宋体" w:cs="宋体"/>
          <w:color w:val="auto"/>
          <w:highlight w:val="none"/>
          <w:u w:val="single"/>
        </w:rPr>
        <w:t>）发布开工通知、暂停施工指示或者复工通知。（</w:t>
      </w:r>
      <w:r>
        <w:rPr>
          <w:rFonts w:hAnsi="宋体"/>
          <w:color w:val="auto"/>
          <w:highlight w:val="none"/>
          <w:u w:val="single"/>
        </w:rPr>
        <w:t>4</w:t>
      </w:r>
      <w:r>
        <w:rPr>
          <w:rFonts w:hint="eastAsia" w:hAnsi="宋体" w:cs="宋体"/>
          <w:color w:val="auto"/>
          <w:highlight w:val="none"/>
          <w:u w:val="single"/>
        </w:rPr>
        <w:t>）工程延长。（</w:t>
      </w:r>
      <w:r>
        <w:rPr>
          <w:rFonts w:hAnsi="宋体"/>
          <w:color w:val="auto"/>
          <w:highlight w:val="none"/>
          <w:u w:val="single"/>
        </w:rPr>
        <w:t>5</w:t>
      </w:r>
      <w:r>
        <w:rPr>
          <w:rFonts w:hint="eastAsia" w:hAnsi="宋体" w:cs="宋体"/>
          <w:color w:val="auto"/>
          <w:highlight w:val="none"/>
          <w:u w:val="single"/>
        </w:rPr>
        <w:t>）审查批准技术规范或设计的变更。（</w:t>
      </w:r>
      <w:r>
        <w:rPr>
          <w:rFonts w:hAnsi="宋体"/>
          <w:color w:val="auto"/>
          <w:highlight w:val="none"/>
          <w:u w:val="single"/>
        </w:rPr>
        <w:t>6</w:t>
      </w:r>
      <w:r>
        <w:rPr>
          <w:rFonts w:hint="eastAsia" w:hAnsi="宋体" w:cs="宋体"/>
          <w:color w:val="auto"/>
          <w:highlight w:val="none"/>
          <w:u w:val="single"/>
        </w:rPr>
        <w:t>）发出的变更指令，其单项工程变更或者累计变更涉及的金额超过了项目专用合同条款数据表规定的金额。（</w:t>
      </w:r>
      <w:r>
        <w:rPr>
          <w:rFonts w:hAnsi="宋体"/>
          <w:color w:val="auto"/>
          <w:highlight w:val="none"/>
          <w:u w:val="single"/>
        </w:rPr>
        <w:t>7</w:t>
      </w:r>
      <w:r>
        <w:rPr>
          <w:rFonts w:hint="eastAsia" w:hAnsi="宋体" w:cs="宋体"/>
          <w:color w:val="auto"/>
          <w:highlight w:val="none"/>
          <w:u w:val="single"/>
        </w:rPr>
        <w:t>）变更工作的单价。（</w:t>
      </w:r>
      <w:r>
        <w:rPr>
          <w:rFonts w:hAnsi="宋体"/>
          <w:color w:val="auto"/>
          <w:highlight w:val="none"/>
          <w:u w:val="single"/>
        </w:rPr>
        <w:t>8</w:t>
      </w:r>
      <w:r>
        <w:rPr>
          <w:rFonts w:hint="eastAsia" w:hAnsi="宋体" w:cs="宋体"/>
          <w:color w:val="auto"/>
          <w:highlight w:val="none"/>
          <w:u w:val="single"/>
        </w:rPr>
        <w:t>）有关暂列金额的使用。（</w:t>
      </w:r>
      <w:r>
        <w:rPr>
          <w:rFonts w:hAnsi="宋体"/>
          <w:color w:val="auto"/>
          <w:highlight w:val="none"/>
          <w:u w:val="single"/>
        </w:rPr>
        <w:t>9</w:t>
      </w:r>
      <w:r>
        <w:rPr>
          <w:rFonts w:hint="eastAsia" w:hAnsi="宋体" w:cs="宋体"/>
          <w:color w:val="auto"/>
          <w:highlight w:val="none"/>
          <w:u w:val="single"/>
        </w:rPr>
        <w:t>）暂估价金额。（</w:t>
      </w:r>
      <w:r>
        <w:rPr>
          <w:rFonts w:hAnsi="宋体"/>
          <w:color w:val="auto"/>
          <w:highlight w:val="none"/>
          <w:u w:val="single"/>
        </w:rPr>
        <w:t>10</w:t>
      </w:r>
      <w:r>
        <w:rPr>
          <w:rFonts w:hint="eastAsia" w:hAnsi="宋体" w:cs="宋体"/>
          <w:color w:val="auto"/>
          <w:highlight w:val="none"/>
          <w:u w:val="single"/>
        </w:rPr>
        <w:t>）索赔额</w:t>
      </w:r>
      <w:r>
        <w:rPr>
          <w:rFonts w:hint="eastAsia" w:ascii="宋体" w:hAnsi="宋体"/>
          <w:color w:val="auto"/>
          <w:szCs w:val="21"/>
          <w:highlight w:val="none"/>
          <w:u w:val="single"/>
        </w:rPr>
        <w:t>。不管通用合同条款第3.1.1项如何约定，监理人履行须经发包人批准行使的权力时，应当向承包人出示其行使该权力已经取得发包人批准的文件或者其他合法有效的证明。</w:t>
      </w:r>
      <w:r>
        <w:rPr>
          <w:rFonts w:ascii="宋体" w:hAnsi="宋体"/>
          <w:color w:val="auto"/>
          <w:szCs w:val="21"/>
          <w:highlight w:val="none"/>
          <w:u w:val="single"/>
        </w:rPr>
        <w:t xml:space="preserve"> </w:t>
      </w:r>
    </w:p>
    <w:p w14:paraId="66613AF8">
      <w:pPr>
        <w:keepNext/>
        <w:keepLines/>
        <w:spacing w:before="120" w:beforeLines="50" w:after="120" w:afterLines="50" w:line="360" w:lineRule="auto"/>
        <w:outlineLvl w:val="1"/>
        <w:rPr>
          <w:rFonts w:ascii="宋体" w:hAnsi="宋体" w:cs="宋体"/>
          <w:color w:val="auto"/>
          <w:sz w:val="28"/>
          <w:szCs w:val="20"/>
          <w:highlight w:val="none"/>
        </w:rPr>
      </w:pPr>
      <w:bookmarkStart w:id="1609" w:name="_Toc490331677"/>
      <w:bookmarkStart w:id="1610" w:name="_Toc14791"/>
      <w:bookmarkStart w:id="1611" w:name="_Toc486580386"/>
      <w:bookmarkStart w:id="1612" w:name="_Toc497214055"/>
      <w:bookmarkStart w:id="1613" w:name="_Toc489280192"/>
      <w:bookmarkStart w:id="1614" w:name="_Toc485323160"/>
      <w:bookmarkStart w:id="1615" w:name="_Toc6362"/>
      <w:r>
        <w:rPr>
          <w:rFonts w:ascii="宋体" w:hAnsi="宋体" w:cs="宋体"/>
          <w:color w:val="auto"/>
          <w:sz w:val="28"/>
          <w:szCs w:val="20"/>
          <w:highlight w:val="none"/>
        </w:rPr>
        <w:t>4.</w:t>
      </w:r>
      <w:r>
        <w:rPr>
          <w:rFonts w:hint="eastAsia" w:ascii="宋体" w:hAnsi="宋体" w:cs="宋体"/>
          <w:color w:val="auto"/>
          <w:sz w:val="28"/>
          <w:szCs w:val="20"/>
          <w:highlight w:val="none"/>
        </w:rPr>
        <w:t>承包人</w:t>
      </w:r>
      <w:bookmarkEnd w:id="1609"/>
      <w:bookmarkEnd w:id="1610"/>
      <w:bookmarkEnd w:id="1611"/>
      <w:bookmarkEnd w:id="1612"/>
      <w:bookmarkEnd w:id="1613"/>
      <w:bookmarkEnd w:id="1614"/>
      <w:bookmarkEnd w:id="1615"/>
    </w:p>
    <w:p w14:paraId="168805AB">
      <w:pPr>
        <w:keepNext/>
        <w:keepLines/>
        <w:spacing w:before="120" w:beforeLines="50" w:after="120" w:afterLines="50" w:line="360" w:lineRule="auto"/>
        <w:outlineLvl w:val="2"/>
        <w:rPr>
          <w:rFonts w:ascii="宋体" w:hAnsi="宋体"/>
          <w:color w:val="auto"/>
          <w:kern w:val="0"/>
          <w:sz w:val="24"/>
          <w:szCs w:val="20"/>
          <w:highlight w:val="none"/>
        </w:rPr>
      </w:pPr>
      <w:bookmarkStart w:id="1616" w:name="_Toc489280193"/>
      <w:bookmarkStart w:id="1617" w:name="_Toc497214056"/>
      <w:bookmarkStart w:id="1618" w:name="_Toc22274"/>
      <w:bookmarkStart w:id="1619" w:name="_Toc485323161"/>
      <w:bookmarkStart w:id="1620" w:name="_Toc5051"/>
      <w:bookmarkStart w:id="1621" w:name="_Toc490331678"/>
      <w:bookmarkStart w:id="1622" w:name="_Toc486580387"/>
      <w:r>
        <w:rPr>
          <w:rFonts w:ascii="宋体" w:hAnsi="宋体"/>
          <w:color w:val="auto"/>
          <w:kern w:val="0"/>
          <w:sz w:val="24"/>
          <w:szCs w:val="20"/>
          <w:highlight w:val="none"/>
        </w:rPr>
        <w:t xml:space="preserve">4.1  </w:t>
      </w:r>
      <w:r>
        <w:rPr>
          <w:rFonts w:hint="eastAsia" w:ascii="宋体" w:hAnsi="宋体"/>
          <w:color w:val="auto"/>
          <w:kern w:val="0"/>
          <w:sz w:val="24"/>
          <w:szCs w:val="20"/>
          <w:highlight w:val="none"/>
        </w:rPr>
        <w:t>承包人的一般义务</w:t>
      </w:r>
      <w:bookmarkEnd w:id="1616"/>
      <w:bookmarkEnd w:id="1617"/>
      <w:bookmarkEnd w:id="1618"/>
      <w:bookmarkEnd w:id="1619"/>
      <w:bookmarkEnd w:id="1620"/>
      <w:bookmarkEnd w:id="1621"/>
      <w:bookmarkEnd w:id="1622"/>
    </w:p>
    <w:p w14:paraId="2C8DBC18">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4.1.8  </w:t>
      </w:r>
      <w:r>
        <w:rPr>
          <w:rFonts w:hint="eastAsia" w:ascii="宋体" w:hAnsi="宋体"/>
          <w:color w:val="auto"/>
          <w:szCs w:val="21"/>
          <w:highlight w:val="none"/>
        </w:rPr>
        <w:t>为他人提供方便</w:t>
      </w:r>
    </w:p>
    <w:p w14:paraId="4C2F23B1">
      <w:pPr>
        <w:pStyle w:val="30"/>
        <w:ind w:firstLine="420" w:firstLineChars="200"/>
        <w:rPr>
          <w:rFonts w:ascii="宋体" w:hAnsi="宋体" w:cs="Times New Roman"/>
          <w:color w:val="auto"/>
          <w:kern w:val="2"/>
          <w:sz w:val="21"/>
          <w:szCs w:val="21"/>
          <w:highlight w:val="none"/>
        </w:rPr>
      </w:pPr>
      <w:r>
        <w:rPr>
          <w:rFonts w:hint="eastAsia" w:ascii="宋体" w:hAnsi="宋体" w:cs="Times New Roman"/>
          <w:color w:val="auto"/>
          <w:kern w:val="2"/>
          <w:sz w:val="21"/>
          <w:szCs w:val="21"/>
          <w:highlight w:val="none"/>
        </w:rPr>
        <w:t>（1）承包人应当对在施工场地或者附近实施与合同工程有关的其他工作的独立承包人履行管理、协调、配合、照管和服务义务的具体工作内容和要求：</w:t>
      </w:r>
    </w:p>
    <w:p w14:paraId="34C0FD6C">
      <w:pPr>
        <w:numPr>
          <w:ilvl w:val="0"/>
          <w:numId w:val="10"/>
        </w:numPr>
        <w:tabs>
          <w:tab w:val="left" w:pos="-5148"/>
        </w:tabs>
        <w:spacing w:line="400" w:lineRule="exact"/>
        <w:ind w:left="0" w:firstLine="420" w:firstLineChars="200"/>
        <w:rPr>
          <w:color w:val="auto"/>
          <w:szCs w:val="21"/>
          <w:highlight w:val="none"/>
          <w:u w:val="single"/>
        </w:rPr>
      </w:pPr>
      <w:r>
        <w:rPr>
          <w:color w:val="auto"/>
          <w:szCs w:val="21"/>
          <w:highlight w:val="none"/>
          <w:u w:val="single"/>
        </w:rPr>
        <w:t>提供施工现场水源、电源及通道。</w:t>
      </w:r>
    </w:p>
    <w:p w14:paraId="55136576">
      <w:pPr>
        <w:numPr>
          <w:ilvl w:val="0"/>
          <w:numId w:val="10"/>
        </w:numPr>
        <w:spacing w:line="400" w:lineRule="exact"/>
        <w:ind w:left="0" w:firstLine="420" w:firstLineChars="200"/>
        <w:rPr>
          <w:color w:val="auto"/>
          <w:szCs w:val="21"/>
          <w:highlight w:val="none"/>
          <w:u w:val="single"/>
        </w:rPr>
      </w:pPr>
      <w:r>
        <w:rPr>
          <w:color w:val="auto"/>
          <w:szCs w:val="21"/>
          <w:highlight w:val="none"/>
          <w:u w:val="single"/>
        </w:rPr>
        <w:t>提供用于施工及发包人现场检查的照明设备，包括照明线路、照明灯具， 在正常施工时间内及发包人批准的抢工时间内保证照明系统处于正常使用状态。</w:t>
      </w:r>
    </w:p>
    <w:p w14:paraId="78DE48B7">
      <w:pPr>
        <w:numPr>
          <w:ilvl w:val="0"/>
          <w:numId w:val="10"/>
        </w:numPr>
        <w:tabs>
          <w:tab w:val="left" w:pos="-5148"/>
        </w:tabs>
        <w:spacing w:line="400" w:lineRule="exact"/>
        <w:ind w:left="0" w:firstLine="420" w:firstLineChars="200"/>
        <w:rPr>
          <w:color w:val="auto"/>
          <w:szCs w:val="21"/>
          <w:highlight w:val="none"/>
          <w:u w:val="single"/>
        </w:rPr>
      </w:pPr>
      <w:r>
        <w:rPr>
          <w:color w:val="auto"/>
          <w:szCs w:val="21"/>
          <w:highlight w:val="none"/>
          <w:u w:val="single"/>
        </w:rPr>
        <w:t>提供在约定计划工期内的临时工程或承包人在现场已存在的运输机械、设备等临时设施。如果根据工程实际进展情况，承包人需拆除现场已存在的临时设施时，承包人须征得发包人和监理人的认可后方可拆除。</w:t>
      </w:r>
    </w:p>
    <w:p w14:paraId="0F72826F">
      <w:pPr>
        <w:numPr>
          <w:ilvl w:val="0"/>
          <w:numId w:val="10"/>
        </w:numPr>
        <w:spacing w:line="400" w:lineRule="exact"/>
        <w:ind w:left="0" w:firstLine="420" w:firstLineChars="200"/>
        <w:rPr>
          <w:color w:val="auto"/>
          <w:szCs w:val="21"/>
          <w:highlight w:val="none"/>
          <w:u w:val="single"/>
        </w:rPr>
      </w:pPr>
      <w:r>
        <w:rPr>
          <w:color w:val="auto"/>
          <w:szCs w:val="21"/>
          <w:highlight w:val="none"/>
          <w:u w:val="single"/>
        </w:rPr>
        <w:t>为保证承包人和其他承包人的工作面不发生冲突，承包人应对其他承包人的工作场所及材料存放场所等的安排、布置负责协调。</w:t>
      </w:r>
    </w:p>
    <w:p w14:paraId="4A671CBF">
      <w:pPr>
        <w:numPr>
          <w:ilvl w:val="0"/>
          <w:numId w:val="10"/>
        </w:numPr>
        <w:tabs>
          <w:tab w:val="left" w:pos="-5148"/>
        </w:tabs>
        <w:spacing w:line="400" w:lineRule="exact"/>
        <w:ind w:left="0" w:firstLine="420" w:firstLineChars="200"/>
        <w:rPr>
          <w:color w:val="auto"/>
          <w:szCs w:val="21"/>
          <w:highlight w:val="none"/>
          <w:u w:val="single"/>
        </w:rPr>
      </w:pPr>
      <w:r>
        <w:rPr>
          <w:color w:val="auto"/>
          <w:szCs w:val="21"/>
          <w:highlight w:val="none"/>
          <w:u w:val="single"/>
        </w:rPr>
        <w:t>提供足够的和</w:t>
      </w:r>
      <w:r>
        <w:rPr>
          <w:rFonts w:hint="eastAsia"/>
          <w:color w:val="auto"/>
          <w:szCs w:val="21"/>
          <w:highlight w:val="none"/>
          <w:u w:val="single"/>
        </w:rPr>
        <w:t>无</w:t>
      </w:r>
      <w:r>
        <w:rPr>
          <w:color w:val="auto"/>
          <w:szCs w:val="21"/>
          <w:highlight w:val="none"/>
          <w:u w:val="single"/>
        </w:rPr>
        <w:t>障碍的工作面。</w:t>
      </w:r>
    </w:p>
    <w:p w14:paraId="38F1E531">
      <w:pPr>
        <w:numPr>
          <w:ilvl w:val="0"/>
          <w:numId w:val="10"/>
        </w:numPr>
        <w:tabs>
          <w:tab w:val="left" w:pos="-5148"/>
        </w:tabs>
        <w:spacing w:line="400" w:lineRule="exact"/>
        <w:ind w:left="0" w:firstLine="420" w:firstLineChars="200"/>
        <w:rPr>
          <w:color w:val="auto"/>
          <w:szCs w:val="21"/>
          <w:highlight w:val="none"/>
          <w:u w:val="single"/>
        </w:rPr>
      </w:pPr>
      <w:r>
        <w:rPr>
          <w:color w:val="auto"/>
          <w:szCs w:val="21"/>
          <w:highlight w:val="none"/>
          <w:u w:val="single"/>
        </w:rPr>
        <w:t>提供正常的临时照明和施工及调试运行所必需的设施。</w:t>
      </w:r>
    </w:p>
    <w:p w14:paraId="55B49AAC">
      <w:pPr>
        <w:numPr>
          <w:ilvl w:val="0"/>
          <w:numId w:val="10"/>
        </w:numPr>
        <w:tabs>
          <w:tab w:val="left" w:pos="-5148"/>
        </w:tabs>
        <w:spacing w:line="400" w:lineRule="exact"/>
        <w:ind w:left="0" w:firstLine="420" w:firstLineChars="200"/>
        <w:rPr>
          <w:color w:val="auto"/>
          <w:szCs w:val="21"/>
          <w:highlight w:val="none"/>
          <w:u w:val="single"/>
        </w:rPr>
      </w:pPr>
      <w:r>
        <w:rPr>
          <w:color w:val="auto"/>
          <w:szCs w:val="21"/>
          <w:highlight w:val="none"/>
          <w:u w:val="single"/>
        </w:rPr>
        <w:t>负责清理现场垃圾（各独立承包人将其施工所产生的垃圾堆放至承包人指定的合理堆放点后）。</w:t>
      </w:r>
    </w:p>
    <w:p w14:paraId="595A9904">
      <w:pPr>
        <w:numPr>
          <w:ilvl w:val="0"/>
          <w:numId w:val="10"/>
        </w:numPr>
        <w:tabs>
          <w:tab w:val="left" w:pos="-5148"/>
        </w:tabs>
        <w:spacing w:line="400" w:lineRule="exact"/>
        <w:ind w:left="0" w:firstLine="420" w:firstLineChars="200"/>
        <w:rPr>
          <w:color w:val="auto"/>
          <w:szCs w:val="21"/>
          <w:highlight w:val="none"/>
          <w:u w:val="single"/>
        </w:rPr>
      </w:pPr>
      <w:r>
        <w:rPr>
          <w:color w:val="auto"/>
          <w:szCs w:val="21"/>
          <w:highlight w:val="none"/>
          <w:u w:val="single"/>
        </w:rPr>
        <w:t>负责对承包工程施工进度计划的安排、协调和管理，确保总体工程进度。</w:t>
      </w:r>
    </w:p>
    <w:p w14:paraId="19AA22C0">
      <w:pPr>
        <w:numPr>
          <w:ilvl w:val="0"/>
          <w:numId w:val="10"/>
        </w:numPr>
        <w:tabs>
          <w:tab w:val="left" w:pos="-5148"/>
        </w:tabs>
        <w:spacing w:line="400" w:lineRule="exact"/>
        <w:ind w:left="0" w:firstLine="420" w:firstLineChars="200"/>
        <w:rPr>
          <w:color w:val="auto"/>
          <w:szCs w:val="21"/>
          <w:highlight w:val="none"/>
          <w:u w:val="single"/>
        </w:rPr>
      </w:pPr>
      <w:r>
        <w:rPr>
          <w:color w:val="auto"/>
          <w:szCs w:val="21"/>
          <w:highlight w:val="none"/>
          <w:u w:val="single"/>
        </w:rPr>
        <w:t>负责对承包工程的质量进行监督、管理，确保总体工程质量。</w:t>
      </w:r>
    </w:p>
    <w:p w14:paraId="2AF00995">
      <w:pPr>
        <w:numPr>
          <w:ilvl w:val="0"/>
          <w:numId w:val="10"/>
        </w:numPr>
        <w:tabs>
          <w:tab w:val="left" w:pos="-5148"/>
        </w:tabs>
        <w:spacing w:line="400" w:lineRule="exact"/>
        <w:ind w:left="0" w:firstLine="420" w:firstLineChars="200"/>
        <w:rPr>
          <w:color w:val="auto"/>
          <w:szCs w:val="21"/>
          <w:highlight w:val="none"/>
          <w:u w:val="single"/>
        </w:rPr>
      </w:pPr>
      <w:r>
        <w:rPr>
          <w:color w:val="auto"/>
          <w:szCs w:val="21"/>
          <w:highlight w:val="none"/>
          <w:u w:val="single"/>
        </w:rPr>
        <w:t>负责对承包工程的安全防护、文明施工进行监督、管理，确保总体工程安全，杜绝伤亡事故。如发生事故，及时按照相关规定进行全面救护、上报、处理和善后，尽最大可能降低事故损失。</w:t>
      </w:r>
    </w:p>
    <w:p w14:paraId="52C74B96">
      <w:pPr>
        <w:numPr>
          <w:ilvl w:val="0"/>
          <w:numId w:val="10"/>
        </w:numPr>
        <w:spacing w:line="400" w:lineRule="exact"/>
        <w:ind w:left="0" w:firstLine="420" w:firstLineChars="200"/>
        <w:rPr>
          <w:color w:val="auto"/>
          <w:szCs w:val="21"/>
          <w:highlight w:val="none"/>
        </w:rPr>
      </w:pPr>
      <w:r>
        <w:rPr>
          <w:color w:val="auto"/>
          <w:szCs w:val="21"/>
          <w:highlight w:val="none"/>
          <w:u w:val="single"/>
        </w:rPr>
        <w:t>负责对已完成并移交给承包人的独立承包工程采取有效的成品保护措施。</w:t>
      </w:r>
    </w:p>
    <w:p w14:paraId="32D6D032">
      <w:pPr>
        <w:numPr>
          <w:ilvl w:val="0"/>
          <w:numId w:val="10"/>
        </w:numPr>
        <w:spacing w:line="400" w:lineRule="exact"/>
        <w:ind w:left="0" w:firstLine="420" w:firstLineChars="200"/>
        <w:rPr>
          <w:color w:val="auto"/>
          <w:szCs w:val="21"/>
          <w:highlight w:val="none"/>
          <w:u w:val="single"/>
        </w:rPr>
      </w:pPr>
      <w:r>
        <w:rPr>
          <w:color w:val="auto"/>
          <w:szCs w:val="21"/>
          <w:highlight w:val="none"/>
          <w:u w:val="single"/>
        </w:rPr>
        <w:t>对于政府有关部门发送发包人的有关本工程施工现场的任何意见及通知，其中涉及承包人的，承包人应承担相关责任和工作</w:t>
      </w:r>
      <w:r>
        <w:rPr>
          <w:rFonts w:hint="eastAsia"/>
          <w:color w:val="auto"/>
          <w:szCs w:val="21"/>
          <w:highlight w:val="none"/>
          <w:u w:val="single"/>
        </w:rPr>
        <w:t>。</w:t>
      </w:r>
    </w:p>
    <w:p w14:paraId="0E106A78">
      <w:pPr>
        <w:numPr>
          <w:ilvl w:val="0"/>
          <w:numId w:val="10"/>
        </w:numPr>
        <w:spacing w:line="400" w:lineRule="exact"/>
        <w:ind w:left="0" w:firstLine="420" w:firstLineChars="200"/>
        <w:rPr>
          <w:color w:val="auto"/>
          <w:szCs w:val="21"/>
          <w:highlight w:val="none"/>
          <w:u w:val="single"/>
        </w:rPr>
      </w:pPr>
      <w:r>
        <w:rPr>
          <w:color w:val="auto"/>
          <w:szCs w:val="21"/>
          <w:highlight w:val="none"/>
          <w:u w:val="single"/>
        </w:rPr>
        <w:t>承包人确保本工程</w:t>
      </w:r>
      <w:r>
        <w:rPr>
          <w:rFonts w:hint="eastAsia"/>
          <w:color w:val="auto"/>
          <w:szCs w:val="21"/>
          <w:highlight w:val="none"/>
          <w:u w:val="single"/>
        </w:rPr>
        <w:t>无</w:t>
      </w:r>
      <w:r>
        <w:rPr>
          <w:color w:val="auto"/>
          <w:szCs w:val="21"/>
          <w:highlight w:val="none"/>
          <w:u w:val="single"/>
        </w:rPr>
        <w:t>安全事故发生，安全员在施工过程中实行全程旁站制度，即安全员施工全过程现场监督。</w:t>
      </w:r>
    </w:p>
    <w:p w14:paraId="5675FCB3">
      <w:pPr>
        <w:numPr>
          <w:ilvl w:val="0"/>
          <w:numId w:val="10"/>
        </w:numPr>
        <w:spacing w:line="400" w:lineRule="exact"/>
        <w:ind w:left="0" w:firstLine="420" w:firstLineChars="200"/>
        <w:rPr>
          <w:color w:val="auto"/>
          <w:szCs w:val="21"/>
          <w:highlight w:val="none"/>
          <w:u w:val="single"/>
        </w:rPr>
      </w:pPr>
      <w:r>
        <w:rPr>
          <w:color w:val="auto"/>
          <w:szCs w:val="21"/>
          <w:highlight w:val="none"/>
          <w:u w:val="single"/>
        </w:rPr>
        <w:t>承包人须按照有关规定做好施工工地的防止扬尘污染工作。</w:t>
      </w:r>
    </w:p>
    <w:p w14:paraId="58D70F2B">
      <w:pPr>
        <w:numPr>
          <w:ilvl w:val="0"/>
          <w:numId w:val="10"/>
        </w:numPr>
        <w:spacing w:line="400" w:lineRule="exact"/>
        <w:ind w:left="0" w:firstLine="420" w:firstLineChars="200"/>
        <w:rPr>
          <w:color w:val="auto"/>
          <w:szCs w:val="21"/>
          <w:highlight w:val="none"/>
          <w:u w:val="single"/>
        </w:rPr>
      </w:pPr>
      <w:r>
        <w:rPr>
          <w:color w:val="auto"/>
          <w:szCs w:val="21"/>
          <w:highlight w:val="none"/>
          <w:u w:val="single"/>
        </w:rPr>
        <w:t>在施工过程中承包人有责任保护地上或地下管线的完整性，在施工范围内地上或地下管线受损而产生的损害赔偿、行政处罚等费用均由承包人自行承担</w:t>
      </w:r>
      <w:r>
        <w:rPr>
          <w:rFonts w:hint="eastAsia"/>
          <w:color w:val="auto"/>
          <w:szCs w:val="21"/>
          <w:highlight w:val="none"/>
          <w:u w:val="single"/>
        </w:rPr>
        <w:t>。</w:t>
      </w:r>
    </w:p>
    <w:p w14:paraId="3131FC5B">
      <w:pPr>
        <w:numPr>
          <w:ilvl w:val="0"/>
          <w:numId w:val="10"/>
        </w:numPr>
        <w:spacing w:line="400" w:lineRule="exact"/>
        <w:ind w:left="0" w:firstLine="420" w:firstLineChars="200"/>
        <w:rPr>
          <w:color w:val="auto"/>
          <w:szCs w:val="21"/>
          <w:highlight w:val="none"/>
          <w:u w:val="single"/>
        </w:rPr>
      </w:pPr>
      <w:r>
        <w:rPr>
          <w:color w:val="auto"/>
          <w:szCs w:val="21"/>
          <w:highlight w:val="none"/>
          <w:u w:val="single"/>
        </w:rPr>
        <w:t>承包人在进行渣土清运过程中，与相关主管部门的协调工作应自行解决。（如</w:t>
      </w:r>
      <w:r>
        <w:rPr>
          <w:rFonts w:hint="eastAsia"/>
          <w:color w:val="auto"/>
          <w:szCs w:val="21"/>
          <w:highlight w:val="none"/>
          <w:u w:val="single"/>
          <w:lang w:eastAsia="zh-CN"/>
        </w:rPr>
        <w:t>道路遗撒</w:t>
      </w:r>
      <w:r>
        <w:rPr>
          <w:color w:val="auto"/>
          <w:szCs w:val="21"/>
          <w:highlight w:val="none"/>
          <w:u w:val="single"/>
        </w:rPr>
        <w:t>、办理营运证等）</w:t>
      </w:r>
      <w:r>
        <w:rPr>
          <w:rFonts w:hint="eastAsia"/>
          <w:color w:val="auto"/>
          <w:szCs w:val="21"/>
          <w:highlight w:val="none"/>
          <w:u w:val="single"/>
        </w:rPr>
        <w:t>。</w:t>
      </w:r>
    </w:p>
    <w:p w14:paraId="30B6BAA9">
      <w:pPr>
        <w:numPr>
          <w:ilvl w:val="0"/>
          <w:numId w:val="10"/>
        </w:numPr>
        <w:spacing w:line="400" w:lineRule="exact"/>
        <w:ind w:left="0" w:firstLine="420" w:firstLineChars="200"/>
        <w:rPr>
          <w:color w:val="auto"/>
          <w:szCs w:val="21"/>
          <w:highlight w:val="none"/>
          <w:u w:val="single"/>
        </w:rPr>
      </w:pPr>
      <w:r>
        <w:rPr>
          <w:color w:val="auto"/>
          <w:szCs w:val="21"/>
          <w:highlight w:val="none"/>
          <w:u w:val="single"/>
        </w:rPr>
        <w:t>承包人应文明施工，施工应充分考虑对周边居民的影响,施工过程如发生扰民或民扰事件，由承包人解决，费用由承包人承担</w:t>
      </w:r>
      <w:r>
        <w:rPr>
          <w:rFonts w:hint="eastAsia"/>
          <w:color w:val="auto"/>
          <w:szCs w:val="21"/>
          <w:highlight w:val="none"/>
          <w:u w:val="single"/>
        </w:rPr>
        <w:t>。</w:t>
      </w:r>
    </w:p>
    <w:p w14:paraId="0D01C930">
      <w:pPr>
        <w:spacing w:line="400" w:lineRule="exact"/>
        <w:ind w:left="420" w:leftChars="200"/>
        <w:rPr>
          <w:color w:val="auto"/>
          <w:szCs w:val="21"/>
          <w:highlight w:val="none"/>
          <w:u w:val="single"/>
        </w:rPr>
      </w:pPr>
      <w:r>
        <w:rPr>
          <w:rFonts w:hint="eastAsia"/>
          <w:color w:val="auto"/>
          <w:szCs w:val="21"/>
          <w:highlight w:val="none"/>
          <w:u w:val="single"/>
        </w:rPr>
        <w:t>18）承包人因与其他独立承包人之间产生的工序交叉等产生的误工费用等，承包人自行承担。</w:t>
      </w:r>
      <w:r>
        <w:rPr>
          <w:color w:val="auto"/>
          <w:szCs w:val="21"/>
          <w:highlight w:val="none"/>
          <w:u w:val="single"/>
        </w:rPr>
        <w:t xml:space="preserve">  </w:t>
      </w:r>
    </w:p>
    <w:p w14:paraId="12360311">
      <w:pPr>
        <w:spacing w:line="360" w:lineRule="auto"/>
        <w:ind w:firstLine="420" w:firstLineChars="200"/>
        <w:rPr>
          <w:rFonts w:ascii="宋体"/>
          <w:color w:val="auto"/>
          <w:szCs w:val="21"/>
          <w:highlight w:val="none"/>
        </w:rPr>
      </w:pPr>
      <w:r>
        <w:rPr>
          <w:rFonts w:ascii="宋体" w:hAnsi="宋体"/>
          <w:color w:val="auto"/>
          <w:szCs w:val="21"/>
          <w:highlight w:val="none"/>
        </w:rPr>
        <w:t xml:space="preserve">4.1.10  </w:t>
      </w:r>
      <w:r>
        <w:rPr>
          <w:rFonts w:hint="eastAsia" w:ascii="宋体" w:hAnsi="宋体"/>
          <w:color w:val="auto"/>
          <w:szCs w:val="21"/>
          <w:highlight w:val="none"/>
        </w:rPr>
        <w:t>承包人的设计工作</w:t>
      </w:r>
      <w:r>
        <w:rPr>
          <w:rFonts w:ascii="宋体" w:hAnsi="宋体"/>
          <w:color w:val="auto"/>
          <w:szCs w:val="21"/>
          <w:highlight w:val="none"/>
        </w:rPr>
        <w:t xml:space="preserve"> </w:t>
      </w:r>
    </w:p>
    <w:p w14:paraId="6CA96DDF">
      <w:pPr>
        <w:spacing w:line="360" w:lineRule="auto"/>
        <w:ind w:firstLine="420" w:firstLineChars="200"/>
        <w:rPr>
          <w:rFonts w:ascii="宋体"/>
          <w:color w:val="auto"/>
          <w:szCs w:val="21"/>
          <w:highlight w:val="none"/>
        </w:rPr>
      </w:pPr>
      <w:r>
        <w:rPr>
          <w:rFonts w:hint="eastAsia" w:ascii="宋体" w:hAnsi="宋体"/>
          <w:color w:val="auto"/>
          <w:szCs w:val="21"/>
          <w:highlight w:val="none"/>
        </w:rPr>
        <w:t>承包人承担的施工图设计或与工程配套的设计工作内容：</w:t>
      </w:r>
      <w:r>
        <w:rPr>
          <w:rFonts w:ascii="宋体" w:hAnsi="宋体"/>
          <w:color w:val="auto"/>
          <w:szCs w:val="21"/>
          <w:highlight w:val="none"/>
          <w:u w:val="single"/>
        </w:rPr>
        <w:t xml:space="preserve"> </w:t>
      </w:r>
      <w:r>
        <w:rPr>
          <w:rFonts w:hint="eastAsia" w:ascii="宋体" w:hAnsi="宋体"/>
          <w:color w:val="auto"/>
          <w:szCs w:val="21"/>
          <w:highlight w:val="none"/>
          <w:u w:val="single"/>
        </w:rPr>
        <w:t>/</w:t>
      </w:r>
    </w:p>
    <w:p w14:paraId="6635BD40">
      <w:pPr>
        <w:spacing w:line="360" w:lineRule="auto"/>
        <w:ind w:firstLine="420" w:firstLineChars="200"/>
        <w:rPr>
          <w:rFonts w:ascii="宋体"/>
          <w:color w:val="auto"/>
          <w:szCs w:val="21"/>
          <w:highlight w:val="none"/>
        </w:rPr>
      </w:pPr>
      <w:r>
        <w:rPr>
          <w:rFonts w:ascii="宋体" w:hAnsi="宋体"/>
          <w:color w:val="auto"/>
          <w:szCs w:val="21"/>
          <w:highlight w:val="none"/>
        </w:rPr>
        <w:t xml:space="preserve">4.1.12  </w:t>
      </w:r>
      <w:r>
        <w:rPr>
          <w:rFonts w:hint="eastAsia" w:ascii="宋体" w:hAnsi="宋体"/>
          <w:color w:val="auto"/>
          <w:szCs w:val="21"/>
          <w:highlight w:val="none"/>
        </w:rPr>
        <w:t>其他义务</w:t>
      </w:r>
      <w:r>
        <w:rPr>
          <w:rFonts w:ascii="宋体" w:hAnsi="宋体"/>
          <w:color w:val="auto"/>
          <w:szCs w:val="21"/>
          <w:highlight w:val="none"/>
        </w:rPr>
        <w:t xml:space="preserve">  </w:t>
      </w:r>
    </w:p>
    <w:p w14:paraId="4A44A1D5">
      <w:pPr>
        <w:spacing w:line="400" w:lineRule="exact"/>
        <w:ind w:firstLine="315" w:firstLineChars="150"/>
        <w:rPr>
          <w:rFonts w:ascii="宋体" w:hAnsi="宋体"/>
          <w:color w:val="auto"/>
          <w:szCs w:val="21"/>
          <w:highlight w:val="none"/>
        </w:rPr>
      </w:pPr>
      <w:r>
        <w:rPr>
          <w:rFonts w:hint="eastAsia" w:ascii="宋体" w:hAnsi="宋体"/>
          <w:color w:val="auto"/>
          <w:szCs w:val="21"/>
          <w:highlight w:val="none"/>
        </w:rPr>
        <w:t>（1）安全文明施工费由承包人统一管理，承包人对工程安全文明施工负总责。承包人不按分包合同约定支付安全文明施工费，造成分包人不能及时落实安全防护措施导致发生事故的，由承包人负主要责任。</w:t>
      </w:r>
    </w:p>
    <w:p w14:paraId="0FFB9606">
      <w:pPr>
        <w:spacing w:line="400" w:lineRule="exact"/>
        <w:ind w:firstLine="315" w:firstLineChars="150"/>
        <w:rPr>
          <w:rFonts w:ascii="宋体" w:hAnsi="宋体"/>
          <w:color w:val="auto"/>
          <w:szCs w:val="21"/>
          <w:highlight w:val="none"/>
        </w:rPr>
      </w:pPr>
      <w:r>
        <w:rPr>
          <w:rFonts w:hint="eastAsia" w:ascii="宋体" w:hAnsi="宋体"/>
          <w:color w:val="auto"/>
          <w:szCs w:val="21"/>
          <w:highlight w:val="none"/>
        </w:rPr>
        <w:t>（2）对于超过一定规模的危大工程（如有），承包人应当组织召开专家论证会对专项施</w:t>
      </w:r>
    </w:p>
    <w:p w14:paraId="5D0981D3">
      <w:pPr>
        <w:spacing w:line="400" w:lineRule="exact"/>
        <w:rPr>
          <w:rFonts w:hint="eastAsia" w:ascii="宋体" w:hAnsi="宋体"/>
          <w:color w:val="auto"/>
          <w:szCs w:val="21"/>
          <w:highlight w:val="none"/>
        </w:rPr>
      </w:pPr>
      <w:r>
        <w:rPr>
          <w:rFonts w:hint="eastAsia" w:ascii="宋体" w:hAnsi="宋体"/>
          <w:color w:val="auto"/>
          <w:szCs w:val="21"/>
          <w:highlight w:val="none"/>
        </w:rPr>
        <w:t>工方案进行论证，并根据专家论证意见对专项方案进行调整，发包人原因造成的专项方案调整，其费用变化由发包人承担。</w:t>
      </w:r>
    </w:p>
    <w:p w14:paraId="6A91EDDF">
      <w:pPr>
        <w:widowControl/>
        <w:spacing w:line="400" w:lineRule="exact"/>
        <w:ind w:firstLine="315" w:firstLineChars="150"/>
        <w:rPr>
          <w:rFonts w:hint="eastAsia" w:ascii="宋体" w:hAnsi="宋体" w:cs="Times New Roman"/>
          <w:color w:val="auto"/>
          <w:szCs w:val="21"/>
          <w:highlight w:val="none"/>
        </w:rPr>
      </w:pPr>
      <w:r>
        <w:rPr>
          <w:rFonts w:hint="eastAsia" w:ascii="宋体" w:hAnsi="宋体" w:cs="Times New Roman"/>
          <w:color w:val="auto"/>
          <w:szCs w:val="21"/>
          <w:highlight w:val="none"/>
        </w:rPr>
        <w:t>（3）承包人应履行合同约定的其他义务以及下述义务：</w:t>
      </w:r>
    </w:p>
    <w:p w14:paraId="61C27519">
      <w:pPr>
        <w:widowControl w:val="0"/>
        <w:numPr>
          <w:ilvl w:val="0"/>
          <w:numId w:val="0"/>
        </w:numPr>
        <w:spacing w:line="360" w:lineRule="auto"/>
        <w:ind w:firstLine="420" w:firstLineChars="200"/>
        <w:rPr>
          <w:rFonts w:ascii="宋体" w:hAnsi="宋体" w:cs="宋体"/>
          <w:color w:val="auto"/>
          <w:szCs w:val="21"/>
          <w:highlight w:val="none"/>
          <w:u w:val="single"/>
        </w:rPr>
      </w:pPr>
      <w:r>
        <w:rPr>
          <w:rFonts w:hint="eastAsia" w:ascii="宋体" w:hAnsi="宋体" w:cs="宋体"/>
          <w:color w:val="auto"/>
          <w:szCs w:val="21"/>
          <w:highlight w:val="none"/>
          <w:u w:val="single"/>
        </w:rPr>
        <w:t>1)委派负责现场管理的承包人代表须持有与本工程相应的资格证书。</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承包人派驻本工程的承包人代表和主要技术负责人在工程施工过程中不得随意更换。未经过发包人、监理人批准更换承包人代表和主要技术负责人，承包人需承担相应的违约责任。承包人代表应专职于本工程，不得兼职于其他工程或其他职务。每周在现场工作时间应不得少于5个工作日，如有特殊情况需提前征得发包人、监理人同意，未获得批准不得擅自离场。</w:t>
      </w:r>
    </w:p>
    <w:p w14:paraId="28ED24B1">
      <w:pPr>
        <w:widowControl/>
        <w:spacing w:line="360" w:lineRule="auto"/>
        <w:ind w:firstLine="420" w:firstLineChars="200"/>
        <w:rPr>
          <w:rFonts w:ascii="宋体" w:hAnsi="宋体" w:cs="宋体"/>
          <w:color w:val="auto"/>
          <w:szCs w:val="21"/>
          <w:highlight w:val="none"/>
          <w:u w:val="single"/>
        </w:rPr>
      </w:pPr>
      <w:r>
        <w:rPr>
          <w:rFonts w:hint="eastAsia" w:ascii="宋体" w:hAnsi="宋体" w:cs="宋体"/>
          <w:color w:val="auto"/>
          <w:szCs w:val="21"/>
          <w:highlight w:val="none"/>
          <w:u w:val="single"/>
        </w:rPr>
        <w:t>2)承包人为实施本合同雇用的特殊工种的工人和操作人员应受过专门的培训并已取得政府有关管理机构规定的上岗证书，这些特殊工程包括但不限于：电工、焊工、塔吊司机、信号工、架子工、施工机械操作人员等，如因承包人违反上述约定用工导致第三方或发包人的损失，承包人应当负责赔偿；</w:t>
      </w:r>
    </w:p>
    <w:p w14:paraId="4DA3F56C">
      <w:pPr>
        <w:widowControl/>
        <w:spacing w:line="360" w:lineRule="auto"/>
        <w:ind w:firstLine="420" w:firstLineChars="200"/>
        <w:rPr>
          <w:rFonts w:ascii="宋体" w:hAnsi="宋体" w:cs="宋体"/>
          <w:color w:val="auto"/>
          <w:szCs w:val="21"/>
          <w:highlight w:val="none"/>
          <w:u w:val="single"/>
        </w:rPr>
      </w:pPr>
      <w:r>
        <w:rPr>
          <w:rFonts w:hint="eastAsia" w:ascii="宋体" w:hAnsi="宋体" w:cs="宋体"/>
          <w:color w:val="auto"/>
          <w:szCs w:val="21"/>
          <w:highlight w:val="none"/>
          <w:u w:val="single"/>
        </w:rPr>
        <w:t xml:space="preserve">3)施工中如发现设计错误或严重不合理时，承包人应立即以书面形式通知监理人并经监理人报发包人，按照发包人指示处理。 </w:t>
      </w:r>
    </w:p>
    <w:p w14:paraId="6C04C16C">
      <w:pPr>
        <w:widowControl/>
        <w:spacing w:line="360" w:lineRule="auto"/>
        <w:ind w:firstLine="420" w:firstLineChars="200"/>
        <w:rPr>
          <w:rFonts w:ascii="宋体" w:hAnsi="宋体" w:cs="宋体"/>
          <w:color w:val="auto"/>
          <w:szCs w:val="21"/>
          <w:highlight w:val="none"/>
          <w:u w:val="single"/>
        </w:rPr>
      </w:pPr>
      <w:r>
        <w:rPr>
          <w:rFonts w:hint="eastAsia" w:ascii="宋体" w:hAnsi="宋体" w:cs="宋体"/>
          <w:color w:val="auto"/>
          <w:szCs w:val="21"/>
          <w:highlight w:val="none"/>
          <w:u w:val="single"/>
        </w:rPr>
        <w:t>4)承包人应自觉遵守执行国家及北京市行业主管部门颁布实施的有关安全生产的法规、规章、制度、标准。</w:t>
      </w:r>
    </w:p>
    <w:p w14:paraId="032D8DB6">
      <w:pPr>
        <w:widowControl/>
        <w:spacing w:line="360" w:lineRule="auto"/>
        <w:ind w:firstLine="420" w:firstLineChars="200"/>
        <w:rPr>
          <w:rFonts w:ascii="宋体" w:hAnsi="宋体" w:cs="宋体"/>
          <w:color w:val="auto"/>
          <w:szCs w:val="21"/>
          <w:highlight w:val="none"/>
          <w:u w:val="single"/>
        </w:rPr>
      </w:pPr>
      <w:r>
        <w:rPr>
          <w:rFonts w:hint="eastAsia" w:ascii="宋体" w:hAnsi="宋体" w:cs="宋体"/>
          <w:color w:val="auto"/>
          <w:szCs w:val="21"/>
          <w:highlight w:val="none"/>
          <w:u w:val="single"/>
        </w:rPr>
        <w:t>5)承包人应当服从发包人现行的施工现场统一管理的规定及有关安全生产法规、规章、制度、标准，严格执行发包人下达的各项安全指令，确保安全施工，并按合同有关条款加强自身管理，履行承包人责任。</w:t>
      </w:r>
    </w:p>
    <w:p w14:paraId="2524E884">
      <w:pPr>
        <w:widowControl/>
        <w:spacing w:line="360" w:lineRule="auto"/>
        <w:ind w:firstLine="420" w:firstLineChars="200"/>
        <w:rPr>
          <w:rFonts w:ascii="宋体" w:hAnsi="宋体" w:cs="宋体"/>
          <w:color w:val="auto"/>
          <w:szCs w:val="21"/>
          <w:highlight w:val="none"/>
          <w:u w:val="single"/>
        </w:rPr>
      </w:pPr>
      <w:r>
        <w:rPr>
          <w:rFonts w:hint="eastAsia" w:ascii="宋体" w:hAnsi="宋体" w:cs="宋体"/>
          <w:color w:val="auto"/>
          <w:szCs w:val="21"/>
          <w:highlight w:val="none"/>
          <w:u w:val="single"/>
        </w:rPr>
        <w:t>6)已竣工工程未交付发包人之前，承包人负责其保护工作。保护期间发生损坏的，由承包人予以修复并承担相应费用。</w:t>
      </w:r>
    </w:p>
    <w:p w14:paraId="5130AFE8">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u w:val="single"/>
        </w:rPr>
        <w:t>7)对竣工验收后保修期内发现的工程质量问题负责免费返修，对造成的间接损失负全部赔偿责任。</w:t>
      </w:r>
    </w:p>
    <w:p w14:paraId="52CE4CB5">
      <w:pPr>
        <w:spacing w:line="360" w:lineRule="auto"/>
        <w:ind w:firstLine="420" w:firstLineChars="200"/>
        <w:rPr>
          <w:rFonts w:ascii="宋体" w:hAnsi="宋体" w:cs="宋体"/>
          <w:color w:val="auto"/>
          <w:szCs w:val="21"/>
          <w:highlight w:val="none"/>
          <w:u w:val="single"/>
        </w:rPr>
      </w:pPr>
      <w:r>
        <w:rPr>
          <w:rFonts w:hint="eastAsia" w:ascii="宋体" w:hAnsi="宋体" w:cs="宋体"/>
          <w:color w:val="auto"/>
          <w:szCs w:val="21"/>
          <w:highlight w:val="none"/>
          <w:u w:val="single"/>
        </w:rPr>
        <w:t>8)承包人应负责编制符合要求的竣工资料(含分包工程的资料),并将竣工资料移交城建档案馆。</w:t>
      </w:r>
    </w:p>
    <w:p w14:paraId="3665353F">
      <w:pPr>
        <w:tabs>
          <w:tab w:val="left" w:pos="420"/>
          <w:tab w:val="left" w:pos="840"/>
        </w:tabs>
        <w:spacing w:line="360" w:lineRule="auto"/>
        <w:ind w:firstLine="420" w:firstLineChars="200"/>
        <w:rPr>
          <w:rFonts w:ascii="宋体" w:hAnsi="宋体" w:cs="宋体"/>
          <w:color w:val="auto"/>
          <w:szCs w:val="21"/>
          <w:highlight w:val="none"/>
          <w:u w:val="single"/>
        </w:rPr>
      </w:pPr>
      <w:r>
        <w:rPr>
          <w:rFonts w:hint="eastAsia" w:ascii="宋体" w:hAnsi="宋体" w:cs="宋体"/>
          <w:color w:val="auto"/>
          <w:szCs w:val="21"/>
          <w:highlight w:val="none"/>
          <w:u w:val="single"/>
        </w:rPr>
        <w:t>9)成品保护：承包人应提供必要的人员、材料和设备用于整个工程的成品保护，包括对已完成的工程或工作的保护，防止任何已完工作遭受任何损坏或破坏。承包人对施工现场所有工程都负有成品保护责任，如有损坏由承包人负责修复并承担修复费用</w:t>
      </w:r>
    </w:p>
    <w:p w14:paraId="79D8C420">
      <w:pPr>
        <w:spacing w:line="360" w:lineRule="auto"/>
        <w:ind w:firstLine="420" w:firstLineChars="200"/>
        <w:rPr>
          <w:rFonts w:ascii="宋体" w:hAnsi="宋体" w:cs="宋体"/>
          <w:color w:val="auto"/>
          <w:szCs w:val="21"/>
          <w:highlight w:val="none"/>
          <w:u w:val="single"/>
        </w:rPr>
      </w:pPr>
      <w:r>
        <w:rPr>
          <w:rFonts w:hint="eastAsia" w:ascii="宋体" w:hAnsi="宋体" w:cs="宋体"/>
          <w:color w:val="auto"/>
          <w:szCs w:val="21"/>
          <w:highlight w:val="none"/>
          <w:u w:val="single"/>
        </w:rPr>
        <w:t>10)对周边财产的保护：承包人不得非法侵占和妨害毗邻的财产、土地、街道、市政设施和他们下面的土壤和空间、他们的所有者、使用者或其他任何人，也不得在工程或工程任何部分的实施中采用可能会给这类财产、土地、街道、市政设施、树木和人员带来损害或伤害的施工方法；承包人应保障发包人免于因工程实施对周边毗邻财产或人身等的损害或伤害而可能招致的索赔、罚款和其它法律责任。承包人因临时或永久工程施工需临时中断任何市政设施的总管或其它设施时，应首先从政府有关管理机构取得相关许可，承包人应周密计划和科学组织，保证此类中断的时间应尽可能短。在整个工程施工期间，承包人应负责保护所有的现有道路、步行道、踏步和在它们地下的可能的服务设施；承包人应自费对那些因受他控制的任何原因引起的对上述设施的损害或损坏进行修缮直至达到政府有关管理机构满意，并支付与此相关的任何费用和罚款。</w:t>
      </w:r>
    </w:p>
    <w:p w14:paraId="6C104189">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u w:val="single"/>
        </w:rPr>
        <w:t>11)竣工清理：在工程竣工后10日内，不管发包人是否已办妥政府有关机构所要求的一切必要的批准、备案手续以及是否已发布移交证书，承包人应安排专业队伍全面履行其合同责任和义务，包括：(a)从现场清除所有剩余材料、杂物、垃圾等；(b)从现场拆除所有的临时建筑物和临时设施并恢复地面原状。</w:t>
      </w:r>
    </w:p>
    <w:p w14:paraId="50F5A1E4">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u w:val="single"/>
        </w:rPr>
        <w:t>12)其他责任和义务：如果任何为本工程正常使用功能和设计使用寿命所必须的或为本工程适用的任何规范、规程或标准所要求的工作既未以文字形式明确约定为属于发包人或任何其他承包人的工作，也未在本合同中以文字形式明确提及，则此类工作应由作为承担本工程承包责任和义务的承包人的工作。承包人不得就此类潜在责任和义务向发包人提出任何费用和工期的索赔要求，且在任何情况下，承包人也不得就此提出有关其投标价格考虑不周、有缺或漏、计算错误等的补偿要求。</w:t>
      </w:r>
    </w:p>
    <w:p w14:paraId="546D319D">
      <w:pPr>
        <w:spacing w:line="360" w:lineRule="auto"/>
        <w:ind w:firstLine="420" w:firstLineChars="200"/>
        <w:rPr>
          <w:rFonts w:ascii="宋体" w:hAnsi="宋体" w:cs="宋体"/>
          <w:color w:val="auto"/>
          <w:szCs w:val="21"/>
          <w:highlight w:val="none"/>
          <w:u w:val="single"/>
        </w:rPr>
      </w:pPr>
      <w:r>
        <w:rPr>
          <w:rFonts w:hint="eastAsia" w:ascii="宋体" w:hAnsi="宋体" w:cs="宋体"/>
          <w:color w:val="auto"/>
          <w:szCs w:val="21"/>
          <w:highlight w:val="none"/>
          <w:u w:val="single"/>
        </w:rPr>
        <w:t>13)承担施工安全保卫工作及非夜间施工照明的责任和要求：承包人应保证现场施工安全保卫工作和非夜间施工照明，以及场内、场内与场外接口处交通的通畅，符合国家及北京市的有关规定，以免除发包人人员、监理公司人员以及其他第三方人员在施工现场因承包人未完成本条之规定所造成的人员伤害损失和财产损失。</w:t>
      </w:r>
    </w:p>
    <w:p w14:paraId="2C75C28F">
      <w:pPr>
        <w:spacing w:line="360" w:lineRule="auto"/>
        <w:ind w:firstLine="420" w:firstLineChars="200"/>
        <w:rPr>
          <w:rFonts w:ascii="宋体" w:hAnsi="宋体" w:cs="宋体"/>
          <w:color w:val="auto"/>
          <w:szCs w:val="21"/>
          <w:highlight w:val="none"/>
          <w:u w:val="single"/>
        </w:rPr>
      </w:pPr>
      <w:r>
        <w:rPr>
          <w:rFonts w:hint="eastAsia" w:ascii="宋体" w:hAnsi="宋体" w:cs="宋体"/>
          <w:color w:val="auto"/>
          <w:szCs w:val="21"/>
          <w:highlight w:val="none"/>
          <w:u w:val="single"/>
        </w:rPr>
        <w:t>14)需承包人办理的有关施工场地交通、环卫和施工噪音管理等手续：承包人应按照北京市有关施工场地交通、环卫、施工噪音管理等的要求，自己承担费用办理相关手续（如交通特别通行证、排污手续、降噪措施），并保证这些规定在施工中得到贯彻执行，以免除发包人因承包人未能完成上述工作所承担的费用支出（包括但不限于政府部门罚款、工期延误期间的费用支出等）和工期延误责任。承包人须主动协调同周围居民及有关单位的关系，以免造成窝工、停工、延误工期的现象发生。</w:t>
      </w:r>
    </w:p>
    <w:p w14:paraId="03A7BCEB">
      <w:pPr>
        <w:spacing w:line="360" w:lineRule="auto"/>
        <w:ind w:firstLine="420" w:firstLineChars="200"/>
        <w:rPr>
          <w:rFonts w:ascii="宋体" w:hAnsi="宋体" w:cs="宋体"/>
          <w:color w:val="auto"/>
          <w:szCs w:val="21"/>
          <w:highlight w:val="none"/>
          <w:u w:val="single"/>
        </w:rPr>
      </w:pPr>
      <w:r>
        <w:rPr>
          <w:rFonts w:hint="eastAsia" w:ascii="宋体" w:hAnsi="宋体" w:cs="宋体"/>
          <w:color w:val="auto"/>
          <w:szCs w:val="21"/>
          <w:highlight w:val="none"/>
          <w:u w:val="single"/>
        </w:rPr>
        <w:t>15)施工场地清洁卫生的要求：保证施工现场清洁符合环境卫生以及消防、街道、防疫、园林、供电、交通、市政文物及安全管理等建设行政主管部门和相关部门的有关规定，应达到北京市文明工地标准。</w:t>
      </w:r>
      <w:r>
        <w:rPr>
          <w:rFonts w:hint="eastAsia" w:ascii="宋体" w:hAnsi="宋体" w:cs="宋体"/>
          <w:bCs/>
          <w:color w:val="auto"/>
          <w:szCs w:val="21"/>
          <w:highlight w:val="none"/>
          <w:u w:val="single"/>
        </w:rPr>
        <w:t>如果承包人违反上述规定，给发包人或第三方造成损失，承包人应当承担由此产生的赔偿责任。</w:t>
      </w:r>
    </w:p>
    <w:p w14:paraId="1851E1E5">
      <w:pPr>
        <w:numPr>
          <w:ilvl w:val="0"/>
          <w:numId w:val="0"/>
        </w:numPr>
        <w:spacing w:line="360" w:lineRule="auto"/>
        <w:ind w:firstLine="420" w:firstLineChars="200"/>
        <w:outlineLvl w:val="9"/>
        <w:rPr>
          <w:rFonts w:ascii="宋体" w:hAnsi="宋体" w:cs="宋体"/>
          <w:color w:val="auto"/>
          <w:szCs w:val="21"/>
          <w:highlight w:val="none"/>
          <w:u w:val="single"/>
        </w:rPr>
      </w:pPr>
      <w:r>
        <w:rPr>
          <w:rFonts w:hint="eastAsia" w:ascii="宋体" w:hAnsi="宋体" w:cs="宋体"/>
          <w:color w:val="auto"/>
          <w:szCs w:val="21"/>
          <w:highlight w:val="none"/>
          <w:u w:val="single"/>
        </w:rPr>
        <w:t>16)生活用水、施工用电由</w:t>
      </w:r>
      <w:r>
        <w:rPr>
          <w:rFonts w:hint="eastAsia" w:ascii="宋体" w:hAnsi="宋体" w:cs="宋体"/>
          <w:color w:val="auto"/>
          <w:szCs w:val="21"/>
          <w:highlight w:val="none"/>
          <w:u w:val="single"/>
          <w:lang w:eastAsia="zh-CN"/>
        </w:rPr>
        <w:t>承</w:t>
      </w:r>
      <w:r>
        <w:rPr>
          <w:rFonts w:hint="eastAsia" w:ascii="宋体" w:hAnsi="宋体" w:cs="宋体"/>
          <w:color w:val="auto"/>
          <w:szCs w:val="21"/>
          <w:highlight w:val="none"/>
          <w:u w:val="single"/>
        </w:rPr>
        <w:t>包人</w:t>
      </w:r>
      <w:r>
        <w:rPr>
          <w:rFonts w:hint="eastAsia" w:ascii="宋体" w:hAnsi="宋体" w:cs="宋体"/>
          <w:color w:val="auto"/>
          <w:szCs w:val="21"/>
          <w:highlight w:val="none"/>
          <w:u w:val="single"/>
          <w:lang w:eastAsia="zh-CN"/>
        </w:rPr>
        <w:t>自行解决</w:t>
      </w:r>
      <w:r>
        <w:rPr>
          <w:rFonts w:hint="eastAsia" w:ascii="宋体" w:hAnsi="宋体" w:cs="宋体"/>
          <w:color w:val="auto"/>
          <w:szCs w:val="21"/>
          <w:highlight w:val="none"/>
          <w:u w:val="single"/>
        </w:rPr>
        <w:t>，</w:t>
      </w:r>
      <w:r>
        <w:rPr>
          <w:rFonts w:hint="eastAsia" w:ascii="宋体" w:hAnsi="宋体" w:cs="宋体"/>
          <w:color w:val="auto"/>
          <w:szCs w:val="21"/>
          <w:highlight w:val="none"/>
          <w:u w:val="single"/>
          <w:lang w:val="en-US" w:eastAsia="zh-CN"/>
        </w:rPr>
        <w:t>以</w:t>
      </w:r>
      <w:r>
        <w:rPr>
          <w:rFonts w:hint="eastAsia" w:ascii="宋体" w:hAnsi="宋体" w:cs="宋体"/>
          <w:color w:val="auto"/>
          <w:szCs w:val="21"/>
          <w:highlight w:val="none"/>
          <w:u w:val="single"/>
        </w:rPr>
        <w:t>满足现场使用要求。</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完成本合同项下的全部工作所发生的现场其它费用，均已完全包含在合同总价中，承包人</w:t>
      </w:r>
      <w:r>
        <w:rPr>
          <w:rFonts w:hint="eastAsia" w:ascii="宋体" w:hAnsi="宋体" w:cs="宋体"/>
          <w:color w:val="000000" w:themeColor="text1"/>
          <w:sz w:val="21"/>
          <w:szCs w:val="21"/>
          <w:highlight w:val="none"/>
          <w:u w:val="single"/>
          <w:lang w:val="en-US" w:eastAsia="zh-CN"/>
          <w14:textFill>
            <w14:solidFill>
              <w14:schemeClr w14:val="tx1"/>
            </w14:solidFill>
          </w14:textFill>
        </w:rPr>
        <w:t>原则上</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不以任何理由提出此项费用的增加。</w:t>
      </w:r>
    </w:p>
    <w:p w14:paraId="62A38177">
      <w:pPr>
        <w:spacing w:line="360" w:lineRule="auto"/>
        <w:ind w:firstLine="420" w:firstLineChars="200"/>
        <w:rPr>
          <w:rFonts w:ascii="宋体" w:hAnsi="宋体" w:cs="宋体"/>
          <w:b/>
          <w:color w:val="auto"/>
          <w:szCs w:val="21"/>
          <w:highlight w:val="none"/>
          <w:u w:val="single"/>
        </w:rPr>
      </w:pPr>
      <w:r>
        <w:rPr>
          <w:rFonts w:hint="eastAsia" w:ascii="宋体" w:hAnsi="宋体" w:cs="宋体"/>
          <w:color w:val="auto"/>
          <w:szCs w:val="21"/>
          <w:highlight w:val="none"/>
          <w:u w:val="single"/>
        </w:rPr>
        <w:t>17) 施工区内临时设施、临时道路、水电管线安装和保养，施工现场内地下管线和临近建筑物、构筑物及临街交通要道、人行道的保护，费用由承包人负担。因承包人防护</w:t>
      </w:r>
      <w:r>
        <w:rPr>
          <w:rFonts w:hint="eastAsia" w:ascii="宋体" w:hAnsi="宋体" w:cs="宋体"/>
          <w:color w:val="auto"/>
          <w:szCs w:val="21"/>
          <w:highlight w:val="none"/>
          <w:u w:val="single"/>
          <w:lang w:eastAsia="zh-CN"/>
        </w:rPr>
        <w:t>不力</w:t>
      </w:r>
      <w:r>
        <w:rPr>
          <w:rFonts w:hint="eastAsia" w:ascii="宋体" w:hAnsi="宋体" w:cs="宋体"/>
          <w:color w:val="auto"/>
          <w:szCs w:val="21"/>
          <w:highlight w:val="none"/>
          <w:u w:val="single"/>
        </w:rPr>
        <w:t>而发生事故，相关责任和费用由承包人承担。承包人施工完毕后，对所破坏的市政公共设施及道路应修复原貌，若承包人无力或未在规定的时间内修复，由发包人代为修复，费用由承包人承担。</w:t>
      </w:r>
    </w:p>
    <w:p w14:paraId="17887D82">
      <w:pPr>
        <w:spacing w:line="360" w:lineRule="auto"/>
        <w:ind w:firstLine="420" w:firstLineChars="200"/>
        <w:rPr>
          <w:rFonts w:ascii="宋体" w:hAnsi="宋体" w:cs="宋体"/>
          <w:color w:val="auto"/>
          <w:szCs w:val="21"/>
          <w:highlight w:val="none"/>
          <w:u w:val="single"/>
        </w:rPr>
      </w:pPr>
      <w:r>
        <w:rPr>
          <w:rFonts w:hint="eastAsia" w:ascii="宋体" w:hAnsi="宋体" w:cs="宋体"/>
          <w:color w:val="auto"/>
          <w:szCs w:val="21"/>
          <w:highlight w:val="none"/>
          <w:u w:val="single"/>
        </w:rPr>
        <w:t>18)对于承包人在施工过程中有需要发包人配合完成的工作，承包人应于施工总控制进度计划中明确表述或提前足够的时间通知发包人</w:t>
      </w:r>
      <w:r>
        <w:rPr>
          <w:rFonts w:hint="eastAsia" w:ascii="宋体" w:hAnsi="宋体" w:cs="宋体"/>
          <w:color w:val="auto"/>
          <w:sz w:val="24"/>
          <w:highlight w:val="none"/>
          <w:u w:val="single"/>
        </w:rPr>
        <w:t>，</w:t>
      </w:r>
      <w:r>
        <w:rPr>
          <w:rFonts w:hint="eastAsia" w:ascii="宋体" w:hAnsi="宋体" w:cs="宋体"/>
          <w:color w:val="auto"/>
          <w:szCs w:val="21"/>
          <w:highlight w:val="none"/>
          <w:u w:val="single"/>
        </w:rPr>
        <w:t>否则，由此造成发包人无法完成相关工作的由承包人承担相应的责任。</w:t>
      </w:r>
    </w:p>
    <w:p w14:paraId="2267E754">
      <w:pPr>
        <w:spacing w:line="360" w:lineRule="auto"/>
        <w:ind w:firstLine="420" w:firstLineChars="200"/>
        <w:rPr>
          <w:rFonts w:ascii="宋体" w:hAnsi="宋体" w:cs="宋体"/>
          <w:color w:val="auto"/>
          <w:szCs w:val="21"/>
          <w:highlight w:val="none"/>
          <w:u w:val="single"/>
        </w:rPr>
      </w:pPr>
      <w:r>
        <w:rPr>
          <w:rFonts w:hint="eastAsia" w:ascii="宋体" w:hAnsi="宋体" w:cs="宋体"/>
          <w:color w:val="auto"/>
          <w:szCs w:val="21"/>
          <w:highlight w:val="none"/>
          <w:u w:val="single"/>
        </w:rPr>
        <w:t>19)承包人确认已充分考察了解施工现场的使用条件，承担办理施工临建设施相关的工作，并在投标报价中已考虑相关费用。特别提醒投标人，因施工场地狭小发生的租用临时用地的费用及相关交通费在投标时列入投标总价，结算时不予调整。</w:t>
      </w:r>
    </w:p>
    <w:p w14:paraId="2BFA706F">
      <w:pPr>
        <w:spacing w:line="360" w:lineRule="auto"/>
        <w:ind w:firstLine="420" w:firstLineChars="200"/>
        <w:rPr>
          <w:rFonts w:ascii="宋体" w:hAnsi="宋体" w:cs="宋体"/>
          <w:color w:val="auto"/>
          <w:szCs w:val="21"/>
          <w:highlight w:val="none"/>
          <w:u w:val="single"/>
        </w:rPr>
      </w:pPr>
      <w:r>
        <w:rPr>
          <w:rFonts w:hint="eastAsia" w:ascii="宋体" w:hAnsi="宋体" w:cs="宋体"/>
          <w:color w:val="auto"/>
          <w:szCs w:val="21"/>
          <w:highlight w:val="none"/>
          <w:u w:val="single"/>
        </w:rPr>
        <w:t>20)如承包人未履行自己的职责致使现场发生安全事故或致使发包人遭受经济损失，对发包人因此</w:t>
      </w:r>
      <w:r>
        <w:rPr>
          <w:rFonts w:hint="eastAsia" w:ascii="宋体" w:hAnsi="宋体" w:cs="宋体"/>
          <w:color w:val="auto"/>
          <w:szCs w:val="21"/>
          <w:highlight w:val="none"/>
          <w:u w:val="single"/>
          <w:lang w:eastAsia="zh-CN"/>
        </w:rPr>
        <w:t>遭受</w:t>
      </w:r>
      <w:r>
        <w:rPr>
          <w:rFonts w:hint="eastAsia" w:ascii="宋体" w:hAnsi="宋体" w:cs="宋体"/>
          <w:color w:val="auto"/>
          <w:szCs w:val="21"/>
          <w:highlight w:val="none"/>
          <w:u w:val="single"/>
        </w:rPr>
        <w:t>的经济损失超过该违约金的部分，承包人应当承担赔偿责任。对于以上违约金和赔偿金，发包人有权在支付承包人工程款时将该违约金或赔偿金扣除。</w:t>
      </w:r>
    </w:p>
    <w:p w14:paraId="168B3D8A">
      <w:pPr>
        <w:numPr>
          <w:ilvl w:val="0"/>
          <w:numId w:val="0"/>
        </w:numPr>
        <w:spacing w:line="360" w:lineRule="auto"/>
        <w:ind w:firstLine="420" w:firstLineChars="200"/>
        <w:rPr>
          <w:rFonts w:ascii="宋体" w:hAnsi="宋体" w:cs="宋体"/>
          <w:color w:val="auto"/>
          <w:szCs w:val="21"/>
          <w:highlight w:val="none"/>
          <w:u w:val="single"/>
        </w:rPr>
      </w:pPr>
      <w:r>
        <w:rPr>
          <w:rFonts w:hint="eastAsia" w:ascii="宋体" w:hAnsi="宋体" w:cs="宋体"/>
          <w:color w:val="auto"/>
          <w:szCs w:val="21"/>
          <w:highlight w:val="none"/>
          <w:u w:val="single"/>
        </w:rPr>
        <w:t>21)</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在承包人的材料、设备进入施工现场后需经监理方及发包人进行质量检验，并按照规范要求进行复验。监理方及发包人的这种检验并不免除承包人采购的材料设备的质量责任，如对进场材料有怀疑时，监理方及发包人有权要求承包人随时进行材料抽验。</w:t>
      </w:r>
      <w:r>
        <w:rPr>
          <w:rFonts w:hint="eastAsia" w:ascii="宋体" w:hAnsi="宋体" w:cs="宋体"/>
          <w:color w:val="auto"/>
          <w:szCs w:val="21"/>
          <w:highlight w:val="none"/>
          <w:u w:val="single"/>
        </w:rPr>
        <w:t>与本工程无关的人员及设备材料均不得进入现场，发包人有权进行检查。</w:t>
      </w:r>
    </w:p>
    <w:p w14:paraId="14543E2B">
      <w:pPr>
        <w:spacing w:line="360" w:lineRule="auto"/>
        <w:ind w:firstLine="420" w:firstLineChars="200"/>
        <w:rPr>
          <w:rFonts w:ascii="宋体" w:hAnsi="宋体"/>
          <w:color w:val="auto"/>
          <w:szCs w:val="21"/>
          <w:highlight w:val="none"/>
          <w:u w:val="single"/>
        </w:rPr>
      </w:pPr>
      <w:r>
        <w:rPr>
          <w:rFonts w:hint="eastAsia" w:ascii="宋体" w:hAnsi="宋体" w:cs="宋体"/>
          <w:color w:val="auto"/>
          <w:szCs w:val="21"/>
          <w:highlight w:val="none"/>
          <w:u w:val="single"/>
        </w:rPr>
        <w:t>22)对于监理、发包人认定不合格的材料或设备，承包人必须在24小时内清理出场。</w:t>
      </w:r>
    </w:p>
    <w:p w14:paraId="524E1F5F">
      <w:pPr>
        <w:spacing w:line="360" w:lineRule="auto"/>
        <w:ind w:firstLine="420" w:firstLineChars="200"/>
        <w:rPr>
          <w:rFonts w:ascii="宋体" w:hAnsi="宋体"/>
          <w:color w:val="auto"/>
          <w:szCs w:val="21"/>
          <w:highlight w:val="none"/>
          <w:u w:val="single"/>
        </w:rPr>
      </w:pPr>
      <w:r>
        <w:rPr>
          <w:rFonts w:hint="eastAsia" w:ascii="宋体" w:hAnsi="宋体"/>
          <w:color w:val="auto"/>
          <w:szCs w:val="21"/>
          <w:highlight w:val="none"/>
          <w:u w:val="single"/>
        </w:rPr>
        <w:t>2</w:t>
      </w:r>
      <w:r>
        <w:rPr>
          <w:rFonts w:ascii="宋体" w:hAnsi="宋体"/>
          <w:color w:val="auto"/>
          <w:szCs w:val="21"/>
          <w:highlight w:val="none"/>
          <w:u w:val="single"/>
        </w:rPr>
        <w:t>3）</w:t>
      </w:r>
      <w:r>
        <w:rPr>
          <w:rFonts w:hint="eastAsia" w:ascii="宋体" w:hAnsi="宋体" w:cs="Arial"/>
          <w:color w:val="auto"/>
          <w:highlight w:val="none"/>
          <w:u w:val="single"/>
        </w:rPr>
        <w:t>承包人应遵循京建法【2017】27号、京建法【2018】5号文，建筑拆除工程产生的建筑垃圾应当优先选择资源化处置，优先选择使用建筑垃圾再利用产品；无法进行资源化处置的，应当按规定及时清运，对不能及时处置或清运的，应当进行覆盖或密封存放。</w:t>
      </w:r>
      <w:r>
        <w:rPr>
          <w:rFonts w:ascii="宋体" w:hAnsi="宋体"/>
          <w:color w:val="auto"/>
          <w:szCs w:val="21"/>
          <w:highlight w:val="none"/>
          <w:u w:val="single"/>
        </w:rPr>
        <w:t xml:space="preserve"> </w:t>
      </w:r>
    </w:p>
    <w:p w14:paraId="34BC8D00">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pPr>
      <w:r>
        <w:rPr>
          <w:rFonts w:hint="eastAsia" w:ascii="宋体" w:hAnsi="宋体"/>
          <w:color w:val="auto"/>
          <w:szCs w:val="21"/>
          <w:highlight w:val="none"/>
          <w:u w:val="single"/>
          <w:lang w:val="en-US" w:eastAsia="zh-CN"/>
        </w:rPr>
        <w:t>24）</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承包人应按照《关于加强建设等行业农民工劳动合同管理的通知》的有关规定,认真做好农民工劳动合同签订和履行工作，依法与所招用的农民工建立劳动合同，依法按劳动合同约定按时足额支付农民工工资，不得无故拖欠和克扣。按照《通知》要求做好农民工劳动合同管理工作，建立健全劳动合同管理制度，接受发包人或监理人的监督，配合提供相关资料等工作，并向劳动保障行政部门提供用工备案。若农民工因工作原因受到事故伤害或患职业病，积极配合劳动保障监察部门对所发生的劳动争议进行处理，并按处理意见解决劳动争议。承包人必须按照现行规定，设立农民工工资专用账户，并严格执行北京市相关农民工工资规定。承包人应当在工程施工合同签订之日起30日内开立农民工工资专用账户，专用账户名称必须明确工程建设项目名称，且后加“农民工工资专用账户”，总包单位应当在专用账户开立后30日内报项目所在地专用账户监管部门备案。</w:t>
      </w:r>
    </w:p>
    <w:p w14:paraId="6224AC6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25)承包人在施工过程中要遵守本项目所在地的各项管理的规章制度，文明施工，注意防火、防盗，安全生产。</w:t>
      </w:r>
    </w:p>
    <w:p w14:paraId="1221C6D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26)建筑垃圾需堆放至指定位置，并做好清理、降尘等措施。施工结束后，承包人除应及时清运渣土、垃圾、按正常使用要求做好保洁外，应及时缴纳水电费等费用，由施工造成的既有设施设备的损毁须予以恢复或赔偿。</w:t>
      </w:r>
    </w:p>
    <w:p w14:paraId="4881C2A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27)施工人员的吃、住、行等由承包人自行解决，所发生的费用由承包人承担。</w:t>
      </w:r>
    </w:p>
    <w:p w14:paraId="46D6DDB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28)承包方赶工须符合《北京市住房和域乡建设委员会关于进一步规范本市建筑市场秩序的通知》(京建发[2015]36号)和《北京市住房和域乡建设委员会关于执行2018年&lt;北京市建设工程工期定额&gt;和2018年&lt;北京市房屋修缮工程工期定额&gt;的通知》(京建法[2019]4号)文件的要求。由于本项目工期紧张，在保证安全和质量的前提下，承包人应合理安排工序，按时完工，同时对周边居民及师生可能发生的扰民及民扰问题须有针对性措施。</w:t>
      </w:r>
    </w:p>
    <w:p w14:paraId="32FEFDD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29)承包人须明确知悉:除发包人代表本人或发包人法定代表人外，任何人(包含但不限于 发包人代表助理、发包人任何管理人员、监理人代表、监理人代表助理等)都无权签认有关工程款增减、工期变更或工程质量标准变更的文件;任何涉及工程款增减、工期变更或工程质量标准变更的变更单、洽商文件、备忘录、工作联系单、通知等，如果没有发包人代表本人或发包人法定代表人的亲笔签署并加盖发包人公章，均为无效文件；对此，承包人己明确知悉并承诺放弃因自身原因未按上述要求办理签证等文件，而提出索赔的权利或抗辩。</w:t>
      </w:r>
    </w:p>
    <w:p w14:paraId="45B1EDF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30)承包人负责按照政府等相关部门的要求，办理本合同项下工程所需的有关施工的交通、施工噪音、环境保护、安全文明施工等各种报批、许可等文件和手续。</w:t>
      </w:r>
    </w:p>
    <w:p w14:paraId="3CD9679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31)承包人负责竣工档案资料(包括全部工程承包范围内的全过程纸质、声像及电子档案)的收集整理归集，并于竣工验收前向发包人提交完整且符合要求的竣工资料；</w:t>
      </w:r>
    </w:p>
    <w:p w14:paraId="3D704D8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32)承包人负责在施工期间所有相关政府部门的现场检查和验收中涉及到承包人需配合、协调、完成的各项工作(包括但不限于:现场准备、资料准备、于续办理等)。</w:t>
      </w:r>
    </w:p>
    <w:p w14:paraId="7B0ED48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33)承包人须按照施工图纸、合同及清单内容，根据发包人、监理人的具体要求，及时有效的提供装修装饰材料、设备、管线等材料样品，经发包人确认后方可进行采购、进场，用于工程施工。</w:t>
      </w:r>
    </w:p>
    <w:p w14:paraId="1150277E">
      <w:pPr>
        <w:keepNext w:val="0"/>
        <w:keepLines w:val="0"/>
        <w:numPr>
          <w:ilvl w:val="0"/>
          <w:numId w:val="0"/>
        </w:numPr>
        <w:spacing w:before="0" w:beforeLines="-2147483648" w:after="0" w:afterLines="-2147483648" w:line="360" w:lineRule="auto"/>
        <w:ind w:firstLine="480" w:firstLineChars="200"/>
        <w:outlineLvl w:val="9"/>
        <w:rPr>
          <w:rFonts w:ascii="宋体" w:hAnsi="宋体"/>
          <w:color w:val="auto"/>
          <w:kern w:val="0"/>
          <w:sz w:val="24"/>
          <w:szCs w:val="20"/>
          <w:highlight w:val="none"/>
        </w:rPr>
      </w:pPr>
      <w:bookmarkStart w:id="1623" w:name="_Toc486580388"/>
      <w:bookmarkStart w:id="1624" w:name="_Toc28113"/>
      <w:bookmarkStart w:id="1625" w:name="_Toc1734"/>
      <w:bookmarkStart w:id="1626" w:name="_Toc490331679"/>
      <w:bookmarkStart w:id="1627" w:name="_Toc489280194"/>
      <w:bookmarkStart w:id="1628" w:name="_Toc485323162"/>
      <w:bookmarkStart w:id="1629" w:name="_Toc497214057"/>
      <w:r>
        <w:rPr>
          <w:rFonts w:ascii="宋体" w:hAnsi="宋体"/>
          <w:color w:val="auto"/>
          <w:kern w:val="0"/>
          <w:sz w:val="24"/>
          <w:szCs w:val="20"/>
          <w:highlight w:val="none"/>
        </w:rPr>
        <w:t xml:space="preserve">4.2  </w:t>
      </w:r>
      <w:r>
        <w:rPr>
          <w:rFonts w:hint="eastAsia" w:ascii="宋体" w:hAnsi="宋体"/>
          <w:color w:val="auto"/>
          <w:kern w:val="0"/>
          <w:sz w:val="24"/>
          <w:szCs w:val="20"/>
          <w:highlight w:val="none"/>
        </w:rPr>
        <w:t>履约担保</w:t>
      </w:r>
      <w:bookmarkEnd w:id="1623"/>
      <w:bookmarkEnd w:id="1624"/>
      <w:bookmarkEnd w:id="1625"/>
      <w:bookmarkEnd w:id="1626"/>
      <w:bookmarkEnd w:id="1627"/>
      <w:bookmarkEnd w:id="1628"/>
      <w:bookmarkEnd w:id="1629"/>
      <w:r>
        <w:rPr>
          <w:rFonts w:ascii="宋体" w:hAnsi="宋体"/>
          <w:color w:val="auto"/>
          <w:kern w:val="0"/>
          <w:sz w:val="24"/>
          <w:szCs w:val="20"/>
          <w:highlight w:val="none"/>
        </w:rPr>
        <w:t xml:space="preserve"> </w:t>
      </w:r>
    </w:p>
    <w:p w14:paraId="4E00E2D0">
      <w:pPr>
        <w:spacing w:line="360" w:lineRule="auto"/>
        <w:ind w:firstLine="420" w:firstLineChars="200"/>
        <w:rPr>
          <w:rFonts w:ascii="宋体"/>
          <w:color w:val="auto"/>
          <w:szCs w:val="21"/>
          <w:highlight w:val="none"/>
        </w:rPr>
      </w:pPr>
      <w:r>
        <w:rPr>
          <w:rFonts w:ascii="宋体" w:hAnsi="宋体"/>
          <w:color w:val="auto"/>
          <w:szCs w:val="21"/>
          <w:highlight w:val="none"/>
        </w:rPr>
        <w:t xml:space="preserve">4.2.1  </w:t>
      </w:r>
      <w:r>
        <w:rPr>
          <w:rFonts w:hint="eastAsia" w:ascii="宋体" w:hAnsi="宋体"/>
          <w:color w:val="auto"/>
          <w:szCs w:val="21"/>
          <w:highlight w:val="none"/>
        </w:rPr>
        <w:t>承包人履约担保的格式和金额</w:t>
      </w:r>
    </w:p>
    <w:p w14:paraId="7D20D8C3">
      <w:pPr>
        <w:spacing w:line="360" w:lineRule="auto"/>
        <w:ind w:firstLine="420" w:firstLineChars="200"/>
        <w:rPr>
          <w:rFonts w:ascii="宋体"/>
          <w:color w:val="auto"/>
          <w:szCs w:val="21"/>
          <w:highlight w:val="none"/>
        </w:rPr>
      </w:pPr>
      <w:r>
        <w:rPr>
          <w:rFonts w:hint="eastAsia" w:ascii="宋体" w:hAnsi="宋体"/>
          <w:color w:val="auto"/>
          <w:szCs w:val="21"/>
          <w:highlight w:val="none"/>
        </w:rPr>
        <w:t>发包人</w:t>
      </w:r>
      <w:r>
        <w:rPr>
          <w:rFonts w:ascii="宋体" w:hAnsi="宋体"/>
          <w:color w:val="auto"/>
          <w:szCs w:val="21"/>
          <w:highlight w:val="none"/>
          <w:u w:val="single"/>
        </w:rPr>
        <w:t xml:space="preserve">  </w:t>
      </w:r>
      <w:r>
        <w:rPr>
          <w:rFonts w:hint="eastAsia" w:ascii="宋体" w:hAnsi="宋体"/>
          <w:color w:val="auto"/>
          <w:szCs w:val="21"/>
          <w:highlight w:val="none"/>
          <w:u w:val="single"/>
        </w:rPr>
        <w:t>不要求</w:t>
      </w:r>
      <w:r>
        <w:rPr>
          <w:rFonts w:hint="eastAsia" w:ascii="宋体" w:hAnsi="宋体"/>
          <w:color w:val="auto"/>
          <w:szCs w:val="21"/>
          <w:highlight w:val="none"/>
        </w:rPr>
        <w:t>（要求/不要求）承包人提供承包人履约担保。</w:t>
      </w:r>
    </w:p>
    <w:p w14:paraId="109612C2">
      <w:pPr>
        <w:spacing w:line="360" w:lineRule="auto"/>
        <w:ind w:firstLine="420" w:firstLineChars="200"/>
        <w:rPr>
          <w:rFonts w:ascii="宋体"/>
          <w:color w:val="auto"/>
          <w:szCs w:val="21"/>
          <w:highlight w:val="none"/>
        </w:rPr>
      </w:pPr>
      <w:r>
        <w:rPr>
          <w:rFonts w:hint="eastAsia" w:ascii="宋体" w:hAnsi="宋体"/>
          <w:color w:val="auto"/>
          <w:szCs w:val="21"/>
          <w:highlight w:val="none"/>
        </w:rPr>
        <w:t>承包人履约担保的金额为</w:t>
      </w:r>
      <w:r>
        <w:rPr>
          <w:rFonts w:ascii="宋体" w:hAnsi="宋体"/>
          <w:color w:val="auto"/>
          <w:szCs w:val="21"/>
          <w:highlight w:val="none"/>
          <w:u w:val="single"/>
        </w:rPr>
        <w:t xml:space="preserve">   /                                                </w:t>
      </w:r>
    </w:p>
    <w:p w14:paraId="08FE5E7B">
      <w:pPr>
        <w:keepNext/>
        <w:keepLines/>
        <w:spacing w:before="120" w:beforeLines="50" w:after="120" w:afterLines="50" w:line="360" w:lineRule="auto"/>
        <w:outlineLvl w:val="2"/>
        <w:rPr>
          <w:rFonts w:ascii="宋体" w:hAnsi="宋体"/>
          <w:color w:val="auto"/>
          <w:kern w:val="0"/>
          <w:sz w:val="24"/>
          <w:szCs w:val="20"/>
          <w:highlight w:val="none"/>
        </w:rPr>
      </w:pPr>
      <w:bookmarkStart w:id="1630" w:name="_Toc486580389"/>
      <w:bookmarkStart w:id="1631" w:name="_Toc9232"/>
      <w:bookmarkStart w:id="1632" w:name="_Toc490331680"/>
      <w:bookmarkStart w:id="1633" w:name="_Toc485323163"/>
      <w:bookmarkStart w:id="1634" w:name="_Toc5716"/>
      <w:bookmarkStart w:id="1635" w:name="_Toc497214058"/>
      <w:bookmarkStart w:id="1636" w:name="_Toc489280195"/>
      <w:r>
        <w:rPr>
          <w:rFonts w:ascii="宋体" w:hAnsi="宋体"/>
          <w:color w:val="auto"/>
          <w:kern w:val="0"/>
          <w:sz w:val="24"/>
          <w:szCs w:val="20"/>
          <w:highlight w:val="none"/>
        </w:rPr>
        <w:t xml:space="preserve">4.11  </w:t>
      </w:r>
      <w:r>
        <w:rPr>
          <w:rFonts w:hint="eastAsia" w:ascii="宋体" w:hAnsi="宋体"/>
          <w:color w:val="auto"/>
          <w:kern w:val="0"/>
          <w:sz w:val="24"/>
          <w:szCs w:val="20"/>
          <w:highlight w:val="none"/>
        </w:rPr>
        <w:t>不利物质条件</w:t>
      </w:r>
      <w:bookmarkEnd w:id="1630"/>
      <w:bookmarkEnd w:id="1631"/>
      <w:bookmarkEnd w:id="1632"/>
      <w:bookmarkEnd w:id="1633"/>
      <w:bookmarkEnd w:id="1634"/>
      <w:bookmarkEnd w:id="1635"/>
      <w:bookmarkEnd w:id="1636"/>
    </w:p>
    <w:p w14:paraId="658BA10F">
      <w:pPr>
        <w:spacing w:line="360" w:lineRule="auto"/>
        <w:ind w:firstLine="420" w:firstLineChars="200"/>
        <w:rPr>
          <w:rFonts w:ascii="宋体" w:hAnsi="宋体"/>
          <w:color w:val="auto"/>
          <w:szCs w:val="21"/>
          <w:highlight w:val="none"/>
          <w:u w:val="single"/>
        </w:rPr>
      </w:pPr>
      <w:r>
        <w:rPr>
          <w:rFonts w:ascii="宋体" w:hAnsi="宋体"/>
          <w:color w:val="auto"/>
          <w:szCs w:val="21"/>
          <w:highlight w:val="none"/>
        </w:rPr>
        <w:t xml:space="preserve">4.11.1  </w:t>
      </w:r>
      <w:r>
        <w:rPr>
          <w:rFonts w:hint="eastAsia" w:ascii="宋体" w:hAnsi="宋体"/>
          <w:color w:val="auto"/>
          <w:szCs w:val="21"/>
          <w:highlight w:val="none"/>
        </w:rPr>
        <w:t>不利物质条件的范围：</w:t>
      </w:r>
      <w:r>
        <w:rPr>
          <w:rFonts w:ascii="宋体" w:hAnsi="宋体"/>
          <w:color w:val="auto"/>
          <w:szCs w:val="21"/>
          <w:highlight w:val="none"/>
          <w:u w:val="single"/>
        </w:rPr>
        <w:t xml:space="preserve"> </w:t>
      </w:r>
      <w:r>
        <w:rPr>
          <w:rFonts w:hint="eastAsia" w:ascii="宋体" w:hAnsi="宋体"/>
          <w:color w:val="auto"/>
          <w:szCs w:val="21"/>
          <w:highlight w:val="none"/>
          <w:u w:val="single"/>
        </w:rPr>
        <w:t>地下已存在的但未探明的非自然物质障碍和污染物等。</w:t>
      </w:r>
      <w:r>
        <w:rPr>
          <w:rFonts w:ascii="宋体" w:hAnsi="宋体"/>
          <w:color w:val="auto"/>
          <w:szCs w:val="21"/>
          <w:highlight w:val="none"/>
          <w:u w:val="single"/>
        </w:rPr>
        <w:t xml:space="preserve"> </w:t>
      </w:r>
    </w:p>
    <w:p w14:paraId="50999086">
      <w:pPr>
        <w:keepNext/>
        <w:keepLines/>
        <w:spacing w:before="120" w:beforeLines="50" w:after="120" w:afterLines="50" w:line="360" w:lineRule="auto"/>
        <w:outlineLvl w:val="1"/>
        <w:rPr>
          <w:rFonts w:ascii="宋体" w:hAnsi="宋体" w:cs="宋体"/>
          <w:color w:val="auto"/>
          <w:sz w:val="28"/>
          <w:szCs w:val="20"/>
          <w:highlight w:val="none"/>
        </w:rPr>
      </w:pPr>
      <w:bookmarkStart w:id="1637" w:name="_Toc489280196"/>
      <w:bookmarkStart w:id="1638" w:name="_Toc485323164"/>
      <w:bookmarkStart w:id="1639" w:name="_Toc29611"/>
      <w:bookmarkStart w:id="1640" w:name="_Toc490331681"/>
      <w:bookmarkStart w:id="1641" w:name="_Toc486580390"/>
      <w:bookmarkStart w:id="1642" w:name="_Toc497214059"/>
      <w:bookmarkStart w:id="1643" w:name="_Toc15780"/>
      <w:r>
        <w:rPr>
          <w:rFonts w:ascii="宋体" w:hAnsi="宋体" w:cs="宋体"/>
          <w:color w:val="auto"/>
          <w:sz w:val="28"/>
          <w:szCs w:val="20"/>
          <w:highlight w:val="none"/>
        </w:rPr>
        <w:t>5.</w:t>
      </w:r>
      <w:r>
        <w:rPr>
          <w:rFonts w:hint="eastAsia" w:ascii="宋体" w:hAnsi="宋体" w:cs="宋体"/>
          <w:color w:val="auto"/>
          <w:sz w:val="28"/>
          <w:szCs w:val="20"/>
          <w:highlight w:val="none"/>
        </w:rPr>
        <w:t>材料和工程设备</w:t>
      </w:r>
      <w:bookmarkEnd w:id="1637"/>
      <w:bookmarkEnd w:id="1638"/>
      <w:bookmarkEnd w:id="1639"/>
      <w:bookmarkEnd w:id="1640"/>
      <w:bookmarkEnd w:id="1641"/>
      <w:bookmarkEnd w:id="1642"/>
      <w:bookmarkEnd w:id="1643"/>
    </w:p>
    <w:p w14:paraId="1E82420C">
      <w:pPr>
        <w:keepNext/>
        <w:keepLines/>
        <w:spacing w:before="120" w:beforeLines="50" w:after="120" w:afterLines="50" w:line="360" w:lineRule="auto"/>
        <w:outlineLvl w:val="2"/>
        <w:rPr>
          <w:rFonts w:ascii="宋体" w:hAnsi="宋体"/>
          <w:color w:val="auto"/>
          <w:kern w:val="0"/>
          <w:sz w:val="24"/>
          <w:szCs w:val="20"/>
          <w:highlight w:val="none"/>
        </w:rPr>
      </w:pPr>
      <w:bookmarkStart w:id="1644" w:name="_Toc30461"/>
      <w:bookmarkStart w:id="1645" w:name="_Toc485323165"/>
      <w:bookmarkStart w:id="1646" w:name="_Toc9586"/>
      <w:bookmarkStart w:id="1647" w:name="_Toc486580391"/>
      <w:bookmarkStart w:id="1648" w:name="_Toc489280197"/>
      <w:bookmarkStart w:id="1649" w:name="_Toc490331682"/>
      <w:bookmarkStart w:id="1650" w:name="_Toc497214060"/>
      <w:r>
        <w:rPr>
          <w:rFonts w:ascii="宋体" w:hAnsi="宋体"/>
          <w:color w:val="auto"/>
          <w:kern w:val="0"/>
          <w:sz w:val="24"/>
          <w:szCs w:val="20"/>
          <w:highlight w:val="none"/>
        </w:rPr>
        <w:t xml:space="preserve">5.1  </w:t>
      </w:r>
      <w:r>
        <w:rPr>
          <w:rFonts w:hint="eastAsia" w:ascii="宋体" w:hAnsi="宋体"/>
          <w:color w:val="auto"/>
          <w:kern w:val="0"/>
          <w:sz w:val="24"/>
          <w:szCs w:val="20"/>
          <w:highlight w:val="none"/>
        </w:rPr>
        <w:t>承包人提供的材料和工程设备</w:t>
      </w:r>
      <w:bookmarkEnd w:id="1644"/>
      <w:bookmarkEnd w:id="1645"/>
      <w:bookmarkEnd w:id="1646"/>
      <w:bookmarkEnd w:id="1647"/>
      <w:bookmarkEnd w:id="1648"/>
      <w:bookmarkEnd w:id="1649"/>
      <w:bookmarkEnd w:id="1650"/>
    </w:p>
    <w:p w14:paraId="0ACBB16C">
      <w:pPr>
        <w:spacing w:line="360" w:lineRule="auto"/>
        <w:ind w:firstLine="420" w:firstLineChars="200"/>
        <w:rPr>
          <w:rFonts w:ascii="宋体" w:cs="Arial"/>
          <w:color w:val="auto"/>
          <w:highlight w:val="none"/>
        </w:rPr>
      </w:pPr>
      <w:r>
        <w:rPr>
          <w:rFonts w:ascii="宋体" w:hAnsi="宋体"/>
          <w:color w:val="auto"/>
          <w:szCs w:val="21"/>
          <w:highlight w:val="none"/>
        </w:rPr>
        <w:t xml:space="preserve">5.1.2 </w:t>
      </w:r>
      <w:r>
        <w:rPr>
          <w:rFonts w:hint="eastAsia" w:ascii="宋体" w:hAnsi="宋体"/>
          <w:color w:val="auto"/>
          <w:szCs w:val="21"/>
          <w:highlight w:val="none"/>
        </w:rPr>
        <w:t>承包人将由其提供的材料和工程设备的供货人和品种、规格、数量及供货时间等报送监理人审批的期限：</w:t>
      </w:r>
      <w:r>
        <w:rPr>
          <w:rFonts w:ascii="宋体" w:hAnsi="宋体"/>
          <w:color w:val="auto"/>
          <w:szCs w:val="21"/>
          <w:highlight w:val="none"/>
          <w:u w:val="single"/>
        </w:rPr>
        <w:t xml:space="preserve">  </w:t>
      </w:r>
      <w:r>
        <w:rPr>
          <w:rFonts w:hint="eastAsia" w:ascii="宋体" w:hAnsi="宋体"/>
          <w:color w:val="auto"/>
          <w:szCs w:val="21"/>
          <w:highlight w:val="none"/>
          <w:u w:val="single"/>
        </w:rPr>
        <w:t>承包人应当在相应材料和工程设备进场前</w:t>
      </w:r>
      <w:r>
        <w:rPr>
          <w:rFonts w:hint="eastAsia" w:hAnsi="宋体"/>
          <w:color w:val="auto"/>
          <w:szCs w:val="21"/>
          <w:highlight w:val="none"/>
          <w:u w:val="single"/>
        </w:rPr>
        <w:t>三个工作日将相应材料和工程设备的供货人及采购品种、规格、数量和供货时间等报送监理人审批</w:t>
      </w:r>
      <w:r>
        <w:rPr>
          <w:rFonts w:hint="eastAsia" w:hAnsi="宋体"/>
          <w:color w:val="auto"/>
          <w:szCs w:val="21"/>
          <w:highlight w:val="none"/>
          <w:u w:val="single"/>
          <w:lang w:eastAsia="zh-CN"/>
        </w:rPr>
        <w:t>，监理人应当在</w:t>
      </w:r>
      <w:r>
        <w:rPr>
          <w:rFonts w:hint="eastAsia" w:hAnsi="宋体"/>
          <w:color w:val="auto"/>
          <w:szCs w:val="21"/>
          <w:highlight w:val="none"/>
          <w:u w:val="single"/>
          <w:lang w:val="en-US" w:eastAsia="zh-CN"/>
        </w:rPr>
        <w:t>收到承包人审批申请</w:t>
      </w:r>
      <w:r>
        <w:rPr>
          <w:rFonts w:hint="eastAsia" w:hAnsi="宋体"/>
          <w:color w:val="auto"/>
          <w:szCs w:val="21"/>
          <w:highlight w:val="none"/>
          <w:u w:val="single"/>
          <w:lang w:eastAsia="zh-CN"/>
        </w:rPr>
        <w:t>7天内提出审批意见。未经监理人和发包人审批确定的该等材料和工程设备不得进入现场，否则发包人有权不支付相应的材料和工程设备价款。</w:t>
      </w:r>
    </w:p>
    <w:p w14:paraId="61B1C895">
      <w:pPr>
        <w:keepNext/>
        <w:keepLines/>
        <w:spacing w:before="120" w:beforeLines="50" w:after="120" w:afterLines="50" w:line="360" w:lineRule="auto"/>
        <w:outlineLvl w:val="1"/>
        <w:rPr>
          <w:rFonts w:ascii="宋体" w:hAnsi="宋体" w:cs="宋体"/>
          <w:color w:val="auto"/>
          <w:sz w:val="28"/>
          <w:szCs w:val="20"/>
          <w:highlight w:val="none"/>
        </w:rPr>
      </w:pPr>
      <w:bookmarkStart w:id="1651" w:name="_Toc489280198"/>
      <w:bookmarkStart w:id="1652" w:name="_Toc1892"/>
      <w:bookmarkStart w:id="1653" w:name="_Toc497214061"/>
      <w:bookmarkStart w:id="1654" w:name="_Toc26980"/>
      <w:bookmarkStart w:id="1655" w:name="_Toc486580392"/>
      <w:bookmarkStart w:id="1656" w:name="_Toc485323166"/>
      <w:bookmarkStart w:id="1657" w:name="_Toc490331683"/>
      <w:r>
        <w:rPr>
          <w:rFonts w:ascii="宋体" w:hAnsi="宋体" w:cs="宋体"/>
          <w:color w:val="auto"/>
          <w:sz w:val="28"/>
          <w:szCs w:val="20"/>
          <w:highlight w:val="none"/>
        </w:rPr>
        <w:t>6.</w:t>
      </w:r>
      <w:r>
        <w:rPr>
          <w:rFonts w:hint="eastAsia" w:ascii="宋体" w:hAnsi="宋体" w:cs="宋体"/>
          <w:color w:val="auto"/>
          <w:sz w:val="28"/>
          <w:szCs w:val="20"/>
          <w:highlight w:val="none"/>
        </w:rPr>
        <w:t>施工设备和临时设施</w:t>
      </w:r>
      <w:bookmarkEnd w:id="1651"/>
      <w:bookmarkEnd w:id="1652"/>
      <w:bookmarkEnd w:id="1653"/>
      <w:bookmarkEnd w:id="1654"/>
      <w:bookmarkEnd w:id="1655"/>
      <w:bookmarkEnd w:id="1656"/>
      <w:bookmarkEnd w:id="1657"/>
    </w:p>
    <w:p w14:paraId="6B969DCF">
      <w:pPr>
        <w:keepNext/>
        <w:keepLines/>
        <w:spacing w:before="120" w:beforeLines="50" w:after="120" w:afterLines="50" w:line="360" w:lineRule="auto"/>
        <w:outlineLvl w:val="2"/>
        <w:rPr>
          <w:rFonts w:ascii="宋体" w:hAnsi="宋体"/>
          <w:color w:val="auto"/>
          <w:kern w:val="0"/>
          <w:sz w:val="24"/>
          <w:szCs w:val="20"/>
          <w:highlight w:val="none"/>
        </w:rPr>
      </w:pPr>
      <w:bookmarkStart w:id="1658" w:name="_Toc25798"/>
      <w:bookmarkStart w:id="1659" w:name="_Toc485323167"/>
      <w:bookmarkStart w:id="1660" w:name="_Toc489280199"/>
      <w:bookmarkStart w:id="1661" w:name="_Toc490331684"/>
      <w:bookmarkStart w:id="1662" w:name="_Toc497214062"/>
      <w:bookmarkStart w:id="1663" w:name="_Toc486580393"/>
      <w:bookmarkStart w:id="1664" w:name="_Toc15784"/>
      <w:r>
        <w:rPr>
          <w:rFonts w:ascii="宋体" w:hAnsi="宋体"/>
          <w:color w:val="auto"/>
          <w:kern w:val="0"/>
          <w:sz w:val="24"/>
          <w:szCs w:val="20"/>
          <w:highlight w:val="none"/>
        </w:rPr>
        <w:t xml:space="preserve">6.1  </w:t>
      </w:r>
      <w:r>
        <w:rPr>
          <w:rFonts w:hint="eastAsia" w:ascii="宋体" w:hAnsi="宋体"/>
          <w:color w:val="auto"/>
          <w:kern w:val="0"/>
          <w:sz w:val="24"/>
          <w:szCs w:val="20"/>
          <w:highlight w:val="none"/>
        </w:rPr>
        <w:t>承包人提供的施工设备和临时设施</w:t>
      </w:r>
      <w:bookmarkEnd w:id="1658"/>
      <w:bookmarkEnd w:id="1659"/>
      <w:bookmarkEnd w:id="1660"/>
      <w:bookmarkEnd w:id="1661"/>
      <w:bookmarkEnd w:id="1662"/>
      <w:bookmarkEnd w:id="1663"/>
      <w:bookmarkEnd w:id="1664"/>
    </w:p>
    <w:p w14:paraId="5EF68E11">
      <w:pPr>
        <w:spacing w:line="360" w:lineRule="auto"/>
        <w:ind w:firstLine="420" w:firstLineChars="200"/>
        <w:rPr>
          <w:rFonts w:ascii="宋体"/>
          <w:color w:val="auto"/>
          <w:szCs w:val="21"/>
          <w:highlight w:val="none"/>
        </w:rPr>
      </w:pPr>
      <w:r>
        <w:rPr>
          <w:rFonts w:ascii="宋体" w:hAnsi="宋体"/>
          <w:color w:val="auto"/>
          <w:szCs w:val="21"/>
          <w:highlight w:val="none"/>
        </w:rPr>
        <w:t xml:space="preserve">6.1.2  </w:t>
      </w:r>
      <w:r>
        <w:rPr>
          <w:rFonts w:hint="eastAsia" w:ascii="宋体" w:hAnsi="宋体"/>
          <w:color w:val="auto"/>
          <w:szCs w:val="21"/>
          <w:highlight w:val="none"/>
        </w:rPr>
        <w:t>承包人承担自行修建临时设施费用的范围：</w:t>
      </w:r>
      <w:r>
        <w:rPr>
          <w:rFonts w:ascii="宋体" w:hAnsi="宋体"/>
          <w:color w:val="auto"/>
          <w:szCs w:val="21"/>
          <w:highlight w:val="none"/>
          <w:u w:val="single"/>
        </w:rPr>
        <w:t xml:space="preserve">  </w:t>
      </w:r>
      <w:r>
        <w:rPr>
          <w:rFonts w:hint="eastAsia" w:ascii="宋体" w:hAnsi="宋体"/>
          <w:color w:val="auto"/>
          <w:szCs w:val="21"/>
          <w:highlight w:val="none"/>
          <w:u w:val="single"/>
        </w:rPr>
        <w:t>/</w:t>
      </w:r>
      <w:r>
        <w:rPr>
          <w:rFonts w:ascii="宋体" w:hAnsi="宋体"/>
          <w:color w:val="auto"/>
          <w:szCs w:val="21"/>
          <w:highlight w:val="none"/>
          <w:u w:val="single"/>
        </w:rPr>
        <w:t xml:space="preserve">                          </w:t>
      </w:r>
    </w:p>
    <w:p w14:paraId="6166D371">
      <w:pPr>
        <w:spacing w:line="360" w:lineRule="auto"/>
        <w:ind w:firstLine="420" w:firstLineChars="200"/>
        <w:rPr>
          <w:rFonts w:ascii="宋体"/>
          <w:color w:val="auto"/>
          <w:highlight w:val="none"/>
          <w:u w:val="single"/>
        </w:rPr>
      </w:pPr>
      <w:r>
        <w:rPr>
          <w:rFonts w:hint="eastAsia" w:ascii="宋体" w:hAnsi="宋体"/>
          <w:color w:val="auto"/>
          <w:highlight w:val="none"/>
        </w:rPr>
        <w:t>发包人办理申请手续并承担相关费用的临时占地：</w:t>
      </w:r>
      <w:r>
        <w:rPr>
          <w:rFonts w:ascii="宋体" w:hAnsi="宋体"/>
          <w:color w:val="auto"/>
          <w:highlight w:val="none"/>
          <w:u w:val="single"/>
        </w:rPr>
        <w:t xml:space="preserve">   /                           </w:t>
      </w:r>
    </w:p>
    <w:p w14:paraId="5E0C577C">
      <w:pPr>
        <w:keepNext/>
        <w:keepLines/>
        <w:spacing w:before="120" w:beforeLines="50" w:after="120" w:afterLines="50" w:line="360" w:lineRule="auto"/>
        <w:outlineLvl w:val="2"/>
        <w:rPr>
          <w:rFonts w:ascii="宋体" w:hAnsi="宋体"/>
          <w:color w:val="auto"/>
          <w:kern w:val="0"/>
          <w:sz w:val="24"/>
          <w:szCs w:val="20"/>
          <w:highlight w:val="none"/>
        </w:rPr>
      </w:pPr>
      <w:bookmarkStart w:id="1665" w:name="_Toc497214063"/>
      <w:bookmarkStart w:id="1666" w:name="_Toc195"/>
      <w:bookmarkStart w:id="1667" w:name="_Toc489280200"/>
      <w:bookmarkStart w:id="1668" w:name="_Toc490331685"/>
      <w:bookmarkStart w:id="1669" w:name="_Toc485323168"/>
      <w:bookmarkStart w:id="1670" w:name="_Toc12553"/>
      <w:bookmarkStart w:id="1671" w:name="_Toc486580394"/>
      <w:r>
        <w:rPr>
          <w:rFonts w:ascii="宋体" w:hAnsi="宋体"/>
          <w:color w:val="auto"/>
          <w:kern w:val="0"/>
          <w:sz w:val="24"/>
          <w:szCs w:val="20"/>
          <w:highlight w:val="none"/>
        </w:rPr>
        <w:t xml:space="preserve">6.2  </w:t>
      </w:r>
      <w:r>
        <w:rPr>
          <w:rFonts w:hint="eastAsia" w:ascii="宋体" w:hAnsi="宋体"/>
          <w:color w:val="auto"/>
          <w:kern w:val="0"/>
          <w:sz w:val="24"/>
          <w:szCs w:val="20"/>
          <w:highlight w:val="none"/>
        </w:rPr>
        <w:t>发包人提供的施工设备和临时设施</w:t>
      </w:r>
      <w:bookmarkEnd w:id="1665"/>
      <w:bookmarkEnd w:id="1666"/>
      <w:bookmarkEnd w:id="1667"/>
      <w:bookmarkEnd w:id="1668"/>
      <w:bookmarkEnd w:id="1669"/>
      <w:bookmarkEnd w:id="1670"/>
      <w:bookmarkEnd w:id="1671"/>
    </w:p>
    <w:p w14:paraId="1B1FB8BD">
      <w:pPr>
        <w:spacing w:line="360" w:lineRule="auto"/>
        <w:ind w:firstLine="420" w:firstLineChars="200"/>
        <w:rPr>
          <w:rFonts w:ascii="宋体"/>
          <w:color w:val="auto"/>
          <w:szCs w:val="21"/>
          <w:highlight w:val="none"/>
        </w:rPr>
      </w:pPr>
      <w:r>
        <w:rPr>
          <w:rFonts w:hint="eastAsia" w:ascii="宋体" w:hAnsi="宋体"/>
          <w:color w:val="auto"/>
          <w:szCs w:val="21"/>
          <w:highlight w:val="none"/>
        </w:rPr>
        <w:t>发包人提供的施工设备和临时设施：</w:t>
      </w:r>
      <w:r>
        <w:rPr>
          <w:rFonts w:ascii="宋体" w:hAnsi="宋体"/>
          <w:color w:val="auto"/>
          <w:szCs w:val="21"/>
          <w:highlight w:val="none"/>
          <w:u w:val="single"/>
        </w:rPr>
        <w:t xml:space="preserve">      /                                  </w:t>
      </w:r>
    </w:p>
    <w:p w14:paraId="592CE601">
      <w:pPr>
        <w:spacing w:line="360" w:lineRule="auto"/>
        <w:ind w:firstLine="420" w:firstLineChars="200"/>
        <w:rPr>
          <w:rFonts w:ascii="宋体"/>
          <w:color w:val="auto"/>
          <w:szCs w:val="21"/>
          <w:highlight w:val="none"/>
        </w:rPr>
      </w:pPr>
      <w:r>
        <w:rPr>
          <w:rFonts w:hint="eastAsia" w:ascii="宋体" w:hAnsi="宋体"/>
          <w:color w:val="auto"/>
          <w:szCs w:val="21"/>
          <w:highlight w:val="none"/>
        </w:rPr>
        <w:t>发包人提供的施工设备和临时设施的运行、维护、拆除、清运费用的承担人：</w:t>
      </w:r>
      <w:r>
        <w:rPr>
          <w:rFonts w:hint="eastAsia" w:ascii="宋体" w:hAnsi="宋体"/>
          <w:color w:val="auto"/>
          <w:szCs w:val="21"/>
          <w:highlight w:val="none"/>
          <w:u w:val="single"/>
        </w:rPr>
        <w:t>/</w:t>
      </w:r>
      <w:r>
        <w:rPr>
          <w:rFonts w:ascii="宋体" w:hAnsi="宋体"/>
          <w:color w:val="auto"/>
          <w:szCs w:val="21"/>
          <w:highlight w:val="none"/>
          <w:u w:val="single"/>
        </w:rPr>
        <w:t xml:space="preserve">   </w:t>
      </w:r>
    </w:p>
    <w:p w14:paraId="4872E64E">
      <w:pPr>
        <w:keepNext/>
        <w:keepLines/>
        <w:spacing w:before="120" w:beforeLines="50" w:after="120" w:afterLines="50" w:line="360" w:lineRule="auto"/>
        <w:outlineLvl w:val="1"/>
        <w:rPr>
          <w:rFonts w:ascii="宋体" w:hAnsi="宋体" w:cs="宋体"/>
          <w:color w:val="auto"/>
          <w:sz w:val="28"/>
          <w:szCs w:val="20"/>
          <w:highlight w:val="none"/>
        </w:rPr>
      </w:pPr>
      <w:bookmarkStart w:id="1672" w:name="_Toc486580395"/>
      <w:bookmarkStart w:id="1673" w:name="_Toc22322"/>
      <w:bookmarkStart w:id="1674" w:name="_Toc497214064"/>
      <w:bookmarkStart w:id="1675" w:name="_Toc11895"/>
      <w:bookmarkStart w:id="1676" w:name="_Toc490331686"/>
      <w:bookmarkStart w:id="1677" w:name="_Toc489280201"/>
      <w:bookmarkStart w:id="1678" w:name="_Toc485323169"/>
      <w:r>
        <w:rPr>
          <w:rFonts w:ascii="宋体" w:hAnsi="宋体" w:cs="宋体"/>
          <w:color w:val="auto"/>
          <w:sz w:val="28"/>
          <w:szCs w:val="20"/>
          <w:highlight w:val="none"/>
        </w:rPr>
        <w:t>7.</w:t>
      </w:r>
      <w:r>
        <w:rPr>
          <w:rFonts w:hint="eastAsia" w:ascii="宋体" w:hAnsi="宋体" w:cs="宋体"/>
          <w:color w:val="auto"/>
          <w:sz w:val="28"/>
          <w:szCs w:val="20"/>
          <w:highlight w:val="none"/>
        </w:rPr>
        <w:t>交通运输</w:t>
      </w:r>
      <w:bookmarkEnd w:id="1672"/>
      <w:bookmarkEnd w:id="1673"/>
      <w:bookmarkEnd w:id="1674"/>
      <w:bookmarkEnd w:id="1675"/>
      <w:bookmarkEnd w:id="1676"/>
      <w:bookmarkEnd w:id="1677"/>
      <w:bookmarkEnd w:id="1678"/>
    </w:p>
    <w:p w14:paraId="39B0A179">
      <w:pPr>
        <w:keepNext/>
        <w:keepLines/>
        <w:spacing w:before="120" w:beforeLines="50" w:after="120" w:afterLines="50" w:line="360" w:lineRule="auto"/>
        <w:outlineLvl w:val="2"/>
        <w:rPr>
          <w:rFonts w:ascii="宋体" w:hAnsi="宋体"/>
          <w:color w:val="auto"/>
          <w:kern w:val="0"/>
          <w:sz w:val="24"/>
          <w:szCs w:val="20"/>
          <w:highlight w:val="none"/>
        </w:rPr>
      </w:pPr>
      <w:bookmarkStart w:id="1679" w:name="_Toc16471"/>
      <w:bookmarkStart w:id="1680" w:name="_Toc485323170"/>
      <w:bookmarkStart w:id="1681" w:name="_Toc497214065"/>
      <w:bookmarkStart w:id="1682" w:name="_Toc490331687"/>
      <w:bookmarkStart w:id="1683" w:name="_Toc489280202"/>
      <w:bookmarkStart w:id="1684" w:name="_Toc30524"/>
      <w:bookmarkStart w:id="1685" w:name="_Toc486580396"/>
      <w:r>
        <w:rPr>
          <w:rFonts w:ascii="宋体" w:hAnsi="宋体"/>
          <w:color w:val="auto"/>
          <w:kern w:val="0"/>
          <w:sz w:val="24"/>
          <w:szCs w:val="20"/>
          <w:highlight w:val="none"/>
        </w:rPr>
        <w:t xml:space="preserve">7.1  </w:t>
      </w:r>
      <w:r>
        <w:rPr>
          <w:rFonts w:hint="eastAsia" w:ascii="宋体" w:hAnsi="宋体"/>
          <w:color w:val="auto"/>
          <w:kern w:val="0"/>
          <w:sz w:val="24"/>
          <w:szCs w:val="20"/>
          <w:highlight w:val="none"/>
        </w:rPr>
        <w:t>道路通行权和场外设施</w:t>
      </w:r>
      <w:bookmarkEnd w:id="1679"/>
      <w:bookmarkEnd w:id="1680"/>
      <w:bookmarkEnd w:id="1681"/>
      <w:bookmarkEnd w:id="1682"/>
      <w:bookmarkEnd w:id="1683"/>
      <w:bookmarkEnd w:id="1684"/>
      <w:bookmarkEnd w:id="1685"/>
    </w:p>
    <w:p w14:paraId="6EB6ACAF">
      <w:pPr>
        <w:spacing w:line="360" w:lineRule="auto"/>
        <w:ind w:firstLine="420" w:firstLineChars="200"/>
        <w:rPr>
          <w:rFonts w:ascii="宋体"/>
          <w:color w:val="auto"/>
          <w:szCs w:val="21"/>
          <w:highlight w:val="none"/>
          <w:u w:val="single"/>
        </w:rPr>
      </w:pPr>
      <w:r>
        <w:rPr>
          <w:rFonts w:hint="eastAsia" w:ascii="宋体" w:hAnsi="宋体"/>
          <w:color w:val="auto"/>
          <w:szCs w:val="21"/>
          <w:highlight w:val="none"/>
        </w:rPr>
        <w:t>负责取得道路通行权、场外设施修建权的办理人</w:t>
      </w:r>
      <w:r>
        <w:rPr>
          <w:rFonts w:ascii="宋体" w:hAnsi="宋体"/>
          <w:color w:val="auto"/>
          <w:szCs w:val="21"/>
          <w:highlight w:val="none"/>
        </w:rPr>
        <w:t>:</w:t>
      </w:r>
      <w:r>
        <w:rPr>
          <w:rFonts w:ascii="宋体" w:hAnsi="宋体"/>
          <w:color w:val="auto"/>
          <w:szCs w:val="21"/>
          <w:highlight w:val="none"/>
          <w:u w:val="single"/>
        </w:rPr>
        <w:t xml:space="preserve">   </w:t>
      </w:r>
      <w:r>
        <w:rPr>
          <w:rFonts w:hint="eastAsia" w:hAnsi="宋体"/>
          <w:color w:val="auto"/>
          <w:szCs w:val="21"/>
          <w:highlight w:val="none"/>
          <w:u w:val="single"/>
        </w:rPr>
        <w:t xml:space="preserve">承包人 </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hint="eastAsia" w:ascii="宋体" w:hAnsi="宋体"/>
          <w:color w:val="auto"/>
          <w:szCs w:val="21"/>
          <w:highlight w:val="none"/>
        </w:rPr>
        <w:t>，其相关费用由发包人承担</w:t>
      </w:r>
      <w:r>
        <w:rPr>
          <w:rFonts w:hint="eastAsia" w:ascii="宋体" w:hAnsi="宋体"/>
          <w:color w:val="auto"/>
          <w:szCs w:val="21"/>
          <w:highlight w:val="none"/>
          <w:u w:val="none"/>
          <w:lang w:eastAsia="zh-CN"/>
        </w:rPr>
        <w:t>，</w:t>
      </w:r>
      <w:r>
        <w:rPr>
          <w:rFonts w:hint="eastAsia" w:ascii="宋体" w:hAnsi="宋体"/>
          <w:color w:val="auto"/>
          <w:szCs w:val="21"/>
          <w:highlight w:val="none"/>
          <w:u w:val="none"/>
          <w:lang w:val="en-US" w:eastAsia="zh-CN"/>
        </w:rPr>
        <w:t>此费用已包含在</w:t>
      </w:r>
      <w:r>
        <w:rPr>
          <w:rFonts w:hint="eastAsia" w:ascii="宋体" w:hAnsi="宋体"/>
          <w:color w:val="auto"/>
          <w:szCs w:val="21"/>
          <w:highlight w:val="none"/>
          <w:u w:val="none"/>
        </w:rPr>
        <w:t>合同价款</w:t>
      </w:r>
      <w:r>
        <w:rPr>
          <w:rFonts w:hint="eastAsia" w:ascii="宋体" w:hAnsi="宋体"/>
          <w:color w:val="auto"/>
          <w:szCs w:val="21"/>
          <w:highlight w:val="none"/>
          <w:u w:val="none"/>
          <w:lang w:val="en-US" w:eastAsia="zh-CN"/>
        </w:rPr>
        <w:t>中，发包人不再另行支付</w:t>
      </w:r>
      <w:r>
        <w:rPr>
          <w:rFonts w:hint="eastAsia" w:ascii="宋体" w:hAnsi="宋体"/>
          <w:color w:val="auto"/>
          <w:szCs w:val="21"/>
          <w:highlight w:val="none"/>
          <w:u w:val="none"/>
        </w:rPr>
        <w:t>。</w:t>
      </w:r>
      <w:r>
        <w:rPr>
          <w:rFonts w:ascii="宋体" w:hAnsi="宋体"/>
          <w:color w:val="auto"/>
          <w:szCs w:val="21"/>
          <w:highlight w:val="none"/>
        </w:rPr>
        <w:t xml:space="preserve">                       </w:t>
      </w:r>
    </w:p>
    <w:p w14:paraId="301E9768">
      <w:pPr>
        <w:keepNext/>
        <w:keepLines/>
        <w:spacing w:before="120" w:beforeLines="50" w:after="120" w:afterLines="50" w:line="360" w:lineRule="auto"/>
        <w:outlineLvl w:val="2"/>
        <w:rPr>
          <w:rFonts w:ascii="宋体" w:hAnsi="宋体"/>
          <w:color w:val="auto"/>
          <w:kern w:val="0"/>
          <w:sz w:val="24"/>
          <w:szCs w:val="20"/>
          <w:highlight w:val="none"/>
        </w:rPr>
      </w:pPr>
      <w:bookmarkStart w:id="1686" w:name="_Toc497214066"/>
      <w:bookmarkStart w:id="1687" w:name="_Toc25269"/>
      <w:bookmarkStart w:id="1688" w:name="_Toc490331688"/>
      <w:bookmarkStart w:id="1689" w:name="_Toc486580397"/>
      <w:bookmarkStart w:id="1690" w:name="_Toc7296"/>
      <w:bookmarkStart w:id="1691" w:name="_Toc485323171"/>
      <w:bookmarkStart w:id="1692" w:name="_Toc489280203"/>
      <w:r>
        <w:rPr>
          <w:rFonts w:ascii="宋体" w:hAnsi="宋体"/>
          <w:color w:val="auto"/>
          <w:kern w:val="0"/>
          <w:sz w:val="24"/>
          <w:szCs w:val="20"/>
          <w:highlight w:val="none"/>
        </w:rPr>
        <w:t xml:space="preserve">7.2  </w:t>
      </w:r>
      <w:r>
        <w:rPr>
          <w:rFonts w:hint="eastAsia" w:ascii="宋体" w:hAnsi="宋体"/>
          <w:color w:val="auto"/>
          <w:kern w:val="0"/>
          <w:sz w:val="24"/>
          <w:szCs w:val="20"/>
          <w:highlight w:val="none"/>
        </w:rPr>
        <w:t>场内施工道路</w:t>
      </w:r>
      <w:bookmarkEnd w:id="1686"/>
      <w:bookmarkEnd w:id="1687"/>
      <w:bookmarkEnd w:id="1688"/>
      <w:bookmarkEnd w:id="1689"/>
      <w:bookmarkEnd w:id="1690"/>
      <w:bookmarkEnd w:id="1691"/>
      <w:bookmarkEnd w:id="1692"/>
    </w:p>
    <w:p w14:paraId="061522B7">
      <w:pPr>
        <w:spacing w:line="360" w:lineRule="auto"/>
        <w:ind w:firstLine="420" w:firstLineChars="200"/>
        <w:rPr>
          <w:rFonts w:ascii="宋体"/>
          <w:color w:val="auto"/>
          <w:szCs w:val="21"/>
          <w:highlight w:val="none"/>
        </w:rPr>
      </w:pPr>
      <w:r>
        <w:rPr>
          <w:rFonts w:ascii="宋体" w:hAnsi="宋体"/>
          <w:color w:val="auto"/>
          <w:szCs w:val="21"/>
          <w:highlight w:val="none"/>
        </w:rPr>
        <w:t xml:space="preserve">7.2.1  </w:t>
      </w:r>
      <w:r>
        <w:rPr>
          <w:rFonts w:hint="eastAsia" w:ascii="宋体" w:hAnsi="宋体"/>
          <w:color w:val="auto"/>
          <w:szCs w:val="21"/>
          <w:highlight w:val="none"/>
        </w:rPr>
        <w:t>施工所需的场内临时道路和交通设施的修建、维护、养护和管理人：</w:t>
      </w:r>
      <w:r>
        <w:rPr>
          <w:rFonts w:hint="eastAsia" w:hAnsi="宋体"/>
          <w:color w:val="auto"/>
          <w:szCs w:val="21"/>
          <w:highlight w:val="none"/>
          <w:u w:val="single"/>
        </w:rPr>
        <w:t>承包人</w:t>
      </w:r>
      <w:r>
        <w:rPr>
          <w:rFonts w:hint="eastAsia" w:ascii="宋体" w:hAnsi="宋体"/>
          <w:color w:val="auto"/>
          <w:szCs w:val="21"/>
          <w:highlight w:val="none"/>
        </w:rPr>
        <w:t>，相关费用由</w:t>
      </w:r>
      <w:r>
        <w:rPr>
          <w:rFonts w:ascii="宋体" w:hAnsi="宋体"/>
          <w:color w:val="auto"/>
          <w:szCs w:val="21"/>
          <w:highlight w:val="none"/>
          <w:u w:val="single"/>
        </w:rPr>
        <w:t xml:space="preserve">  </w:t>
      </w:r>
      <w:r>
        <w:rPr>
          <w:rFonts w:hint="eastAsia" w:hAnsi="宋体"/>
          <w:color w:val="auto"/>
          <w:szCs w:val="21"/>
          <w:highlight w:val="none"/>
          <w:u w:val="single"/>
        </w:rPr>
        <w:t>承包人</w:t>
      </w:r>
      <w:r>
        <w:rPr>
          <w:rFonts w:ascii="宋体" w:hAnsi="宋体"/>
          <w:color w:val="auto"/>
          <w:szCs w:val="21"/>
          <w:highlight w:val="none"/>
          <w:u w:val="single"/>
        </w:rPr>
        <w:t xml:space="preserve">    </w:t>
      </w:r>
      <w:r>
        <w:rPr>
          <w:rFonts w:hint="eastAsia" w:ascii="宋体" w:hAnsi="宋体"/>
          <w:color w:val="auto"/>
          <w:szCs w:val="21"/>
          <w:highlight w:val="none"/>
        </w:rPr>
        <w:t>承担。</w:t>
      </w:r>
    </w:p>
    <w:p w14:paraId="471EBEB6">
      <w:pPr>
        <w:keepNext/>
        <w:keepLines/>
        <w:spacing w:before="120" w:beforeLines="50" w:after="120" w:afterLines="50" w:line="360" w:lineRule="auto"/>
        <w:outlineLvl w:val="2"/>
        <w:rPr>
          <w:rFonts w:ascii="宋体" w:hAnsi="宋体"/>
          <w:color w:val="auto"/>
          <w:kern w:val="0"/>
          <w:sz w:val="24"/>
          <w:szCs w:val="20"/>
          <w:highlight w:val="none"/>
        </w:rPr>
      </w:pPr>
      <w:bookmarkStart w:id="1693" w:name="_Toc497214067"/>
      <w:bookmarkStart w:id="1694" w:name="_Toc486580398"/>
      <w:bookmarkStart w:id="1695" w:name="_Toc490331689"/>
      <w:bookmarkStart w:id="1696" w:name="_Toc489280204"/>
      <w:bookmarkStart w:id="1697" w:name="_Toc485323172"/>
      <w:bookmarkStart w:id="1698" w:name="_Toc29731"/>
      <w:bookmarkStart w:id="1699" w:name="_Toc27242"/>
      <w:r>
        <w:rPr>
          <w:rFonts w:ascii="宋体" w:hAnsi="宋体"/>
          <w:color w:val="auto"/>
          <w:kern w:val="0"/>
          <w:sz w:val="24"/>
          <w:szCs w:val="20"/>
          <w:highlight w:val="none"/>
        </w:rPr>
        <w:t xml:space="preserve">7.4  </w:t>
      </w:r>
      <w:r>
        <w:rPr>
          <w:rFonts w:hint="eastAsia" w:ascii="宋体" w:hAnsi="宋体"/>
          <w:color w:val="auto"/>
          <w:kern w:val="0"/>
          <w:sz w:val="24"/>
          <w:szCs w:val="20"/>
          <w:highlight w:val="none"/>
        </w:rPr>
        <w:t>超大件和超重件的运输</w:t>
      </w:r>
      <w:bookmarkEnd w:id="1693"/>
      <w:bookmarkEnd w:id="1694"/>
      <w:bookmarkEnd w:id="1695"/>
      <w:bookmarkEnd w:id="1696"/>
      <w:bookmarkEnd w:id="1697"/>
      <w:bookmarkEnd w:id="1698"/>
      <w:bookmarkEnd w:id="1699"/>
    </w:p>
    <w:p w14:paraId="5D73E2F1">
      <w:pPr>
        <w:spacing w:line="360" w:lineRule="auto"/>
        <w:ind w:firstLine="420" w:firstLineChars="200"/>
        <w:rPr>
          <w:rFonts w:ascii="宋体"/>
          <w:color w:val="auto"/>
          <w:szCs w:val="21"/>
          <w:highlight w:val="none"/>
        </w:rPr>
      </w:pPr>
      <w:r>
        <w:rPr>
          <w:rFonts w:hint="eastAsia" w:ascii="宋体" w:hAnsi="宋体"/>
          <w:color w:val="auto"/>
          <w:szCs w:val="21"/>
          <w:highlight w:val="none"/>
        </w:rPr>
        <w:t>运输超大件或超重件所需的道路和桥梁临时加固改造等费用的承担人：</w:t>
      </w:r>
      <w:r>
        <w:rPr>
          <w:rFonts w:ascii="宋体" w:hAnsi="宋体"/>
          <w:color w:val="auto"/>
          <w:szCs w:val="21"/>
          <w:highlight w:val="none"/>
          <w:u w:val="single"/>
        </w:rPr>
        <w:t xml:space="preserve">  </w:t>
      </w:r>
      <w:r>
        <w:rPr>
          <w:rFonts w:hint="eastAsia" w:hAnsi="宋体"/>
          <w:color w:val="auto"/>
          <w:szCs w:val="21"/>
          <w:highlight w:val="none"/>
          <w:u w:val="single"/>
        </w:rPr>
        <w:t>承包人</w:t>
      </w:r>
      <w:r>
        <w:rPr>
          <w:rFonts w:ascii="宋体" w:hAnsi="宋体"/>
          <w:color w:val="auto"/>
          <w:szCs w:val="21"/>
          <w:highlight w:val="none"/>
          <w:u w:val="single"/>
        </w:rPr>
        <w:t xml:space="preserve">    </w:t>
      </w:r>
    </w:p>
    <w:p w14:paraId="544DA52C">
      <w:pPr>
        <w:keepNext/>
        <w:keepLines/>
        <w:spacing w:before="120" w:beforeLines="50" w:after="120" w:afterLines="50" w:line="360" w:lineRule="auto"/>
        <w:outlineLvl w:val="1"/>
        <w:rPr>
          <w:rFonts w:ascii="宋体" w:hAnsi="宋体" w:cs="宋体"/>
          <w:color w:val="auto"/>
          <w:sz w:val="28"/>
          <w:szCs w:val="20"/>
          <w:highlight w:val="none"/>
        </w:rPr>
      </w:pPr>
      <w:bookmarkStart w:id="1700" w:name="_Toc489280205"/>
      <w:bookmarkStart w:id="1701" w:name="_Toc497214068"/>
      <w:bookmarkStart w:id="1702" w:name="_Toc490331690"/>
      <w:bookmarkStart w:id="1703" w:name="_Toc5308"/>
      <w:bookmarkStart w:id="1704" w:name="_Toc7656"/>
      <w:bookmarkStart w:id="1705" w:name="_Toc485323173"/>
      <w:bookmarkStart w:id="1706" w:name="_Toc486580399"/>
      <w:r>
        <w:rPr>
          <w:rFonts w:ascii="宋体" w:hAnsi="宋体" w:cs="宋体"/>
          <w:color w:val="auto"/>
          <w:sz w:val="28"/>
          <w:szCs w:val="20"/>
          <w:highlight w:val="none"/>
        </w:rPr>
        <w:t>8.</w:t>
      </w:r>
      <w:r>
        <w:rPr>
          <w:rFonts w:hint="eastAsia" w:ascii="宋体" w:hAnsi="宋体" w:cs="宋体"/>
          <w:color w:val="auto"/>
          <w:sz w:val="28"/>
          <w:szCs w:val="20"/>
          <w:highlight w:val="none"/>
        </w:rPr>
        <w:t>测量放线</w:t>
      </w:r>
      <w:bookmarkEnd w:id="1700"/>
      <w:bookmarkEnd w:id="1701"/>
      <w:bookmarkEnd w:id="1702"/>
      <w:bookmarkEnd w:id="1703"/>
      <w:bookmarkEnd w:id="1704"/>
      <w:bookmarkEnd w:id="1705"/>
      <w:bookmarkEnd w:id="1706"/>
    </w:p>
    <w:p w14:paraId="023FE6C7">
      <w:pPr>
        <w:keepNext/>
        <w:keepLines/>
        <w:spacing w:before="120" w:beforeLines="50" w:after="120" w:afterLines="50" w:line="360" w:lineRule="auto"/>
        <w:outlineLvl w:val="2"/>
        <w:rPr>
          <w:rFonts w:ascii="宋体" w:hAnsi="宋体"/>
          <w:color w:val="auto"/>
          <w:kern w:val="0"/>
          <w:sz w:val="24"/>
          <w:szCs w:val="20"/>
          <w:highlight w:val="none"/>
        </w:rPr>
      </w:pPr>
      <w:bookmarkStart w:id="1707" w:name="_Toc485323174"/>
      <w:bookmarkStart w:id="1708" w:name="_Toc756"/>
      <w:bookmarkStart w:id="1709" w:name="_Toc489280206"/>
      <w:bookmarkStart w:id="1710" w:name="_Toc490331691"/>
      <w:bookmarkStart w:id="1711" w:name="_Toc7785"/>
      <w:bookmarkStart w:id="1712" w:name="_Toc486580400"/>
      <w:bookmarkStart w:id="1713" w:name="_Toc497214069"/>
      <w:r>
        <w:rPr>
          <w:rFonts w:ascii="宋体" w:hAnsi="宋体"/>
          <w:color w:val="auto"/>
          <w:kern w:val="0"/>
          <w:sz w:val="24"/>
          <w:szCs w:val="20"/>
          <w:highlight w:val="none"/>
        </w:rPr>
        <w:t xml:space="preserve">8.1  </w:t>
      </w:r>
      <w:r>
        <w:rPr>
          <w:rFonts w:hint="eastAsia" w:ascii="宋体" w:hAnsi="宋体"/>
          <w:color w:val="auto"/>
          <w:kern w:val="0"/>
          <w:sz w:val="24"/>
          <w:szCs w:val="20"/>
          <w:highlight w:val="none"/>
        </w:rPr>
        <w:t>施工控制网</w:t>
      </w:r>
      <w:bookmarkEnd w:id="1707"/>
      <w:bookmarkEnd w:id="1708"/>
      <w:bookmarkEnd w:id="1709"/>
      <w:bookmarkEnd w:id="1710"/>
      <w:bookmarkEnd w:id="1711"/>
      <w:bookmarkEnd w:id="1712"/>
      <w:bookmarkEnd w:id="1713"/>
    </w:p>
    <w:p w14:paraId="2556D251">
      <w:pPr>
        <w:spacing w:line="360" w:lineRule="auto"/>
        <w:ind w:firstLine="420" w:firstLineChars="200"/>
        <w:rPr>
          <w:rFonts w:ascii="宋体"/>
          <w:color w:val="auto"/>
          <w:szCs w:val="21"/>
          <w:highlight w:val="none"/>
          <w:u w:val="single"/>
        </w:rPr>
      </w:pPr>
      <w:r>
        <w:rPr>
          <w:rFonts w:ascii="宋体" w:hAnsi="宋体"/>
          <w:color w:val="auto"/>
          <w:szCs w:val="21"/>
          <w:highlight w:val="none"/>
        </w:rPr>
        <w:t xml:space="preserve">8.1.1  </w:t>
      </w:r>
      <w:r>
        <w:rPr>
          <w:rFonts w:hint="eastAsia" w:ascii="宋体" w:hAnsi="宋体"/>
          <w:color w:val="auto"/>
          <w:szCs w:val="21"/>
          <w:highlight w:val="none"/>
        </w:rPr>
        <w:t>发包人通过监理人提供测量基准点、基准线和水准点及其书面资料的期限：</w:t>
      </w:r>
      <w:r>
        <w:rPr>
          <w:rFonts w:ascii="宋体" w:hAnsi="宋体"/>
          <w:color w:val="auto"/>
          <w:szCs w:val="21"/>
          <w:highlight w:val="none"/>
          <w:u w:val="single"/>
        </w:rPr>
        <w:t xml:space="preserve">  </w:t>
      </w:r>
    </w:p>
    <w:p w14:paraId="7F788BE5">
      <w:pPr>
        <w:spacing w:line="360" w:lineRule="auto"/>
        <w:rPr>
          <w:rFonts w:ascii="宋体"/>
          <w:color w:val="auto"/>
          <w:szCs w:val="21"/>
          <w:highlight w:val="none"/>
        </w:rPr>
      </w:pPr>
      <w:r>
        <w:rPr>
          <w:rFonts w:ascii="宋体" w:hAnsi="宋体"/>
          <w:color w:val="auto"/>
          <w:szCs w:val="21"/>
          <w:highlight w:val="none"/>
          <w:u w:val="single"/>
        </w:rPr>
        <w:t xml:space="preserve">  </w:t>
      </w:r>
      <w:r>
        <w:rPr>
          <w:rFonts w:hint="eastAsia" w:ascii="宋体" w:hAnsi="宋体"/>
          <w:color w:val="auto"/>
          <w:szCs w:val="21"/>
          <w:highlight w:val="none"/>
          <w:u w:val="single"/>
        </w:rPr>
        <w:t>合同签订并完成备案后7天内</w:t>
      </w:r>
      <w:r>
        <w:rPr>
          <w:rFonts w:ascii="宋体" w:hAnsi="宋体"/>
          <w:color w:val="auto"/>
          <w:szCs w:val="21"/>
          <w:highlight w:val="none"/>
          <w:u w:val="single"/>
        </w:rPr>
        <w:t xml:space="preserve">                                                </w:t>
      </w:r>
    </w:p>
    <w:p w14:paraId="3C4A54D7">
      <w:pPr>
        <w:spacing w:line="360" w:lineRule="auto"/>
        <w:ind w:firstLine="420" w:firstLineChars="200"/>
        <w:rPr>
          <w:rFonts w:ascii="宋体"/>
          <w:color w:val="auto"/>
          <w:szCs w:val="21"/>
          <w:highlight w:val="none"/>
        </w:rPr>
      </w:pPr>
      <w:r>
        <w:rPr>
          <w:rFonts w:ascii="宋体" w:hAnsi="宋体"/>
          <w:color w:val="auto"/>
          <w:szCs w:val="21"/>
          <w:highlight w:val="none"/>
        </w:rPr>
        <w:t xml:space="preserve">8.1.2  </w:t>
      </w:r>
      <w:r>
        <w:rPr>
          <w:rFonts w:hint="eastAsia" w:ascii="宋体" w:hAnsi="宋体"/>
          <w:color w:val="auto"/>
          <w:szCs w:val="21"/>
          <w:highlight w:val="none"/>
        </w:rPr>
        <w:t>承包人测设施工控制网的其他要求：</w:t>
      </w:r>
      <w:r>
        <w:rPr>
          <w:rFonts w:ascii="宋体" w:hAnsi="宋体"/>
          <w:color w:val="auto"/>
          <w:szCs w:val="21"/>
          <w:highlight w:val="none"/>
          <w:u w:val="single"/>
        </w:rPr>
        <w:t xml:space="preserve">  </w:t>
      </w:r>
      <w:r>
        <w:rPr>
          <w:rFonts w:hint="eastAsia" w:hAnsi="宋体"/>
          <w:color w:val="auto"/>
          <w:szCs w:val="21"/>
          <w:highlight w:val="none"/>
          <w:u w:val="single"/>
        </w:rPr>
        <w:t>由承包人依据监理人提供的测量基准点、基准线和水准点以及国家的工程测量技术规范和合同要求的工程精度，测设自己的施工控制网。</w:t>
      </w:r>
      <w:r>
        <w:rPr>
          <w:rFonts w:ascii="宋体" w:hAnsi="宋体"/>
          <w:color w:val="auto"/>
          <w:szCs w:val="21"/>
          <w:highlight w:val="none"/>
          <w:u w:val="single"/>
        </w:rPr>
        <w:t xml:space="preserve">   </w:t>
      </w:r>
    </w:p>
    <w:p w14:paraId="19C70D0C">
      <w:pPr>
        <w:spacing w:line="360" w:lineRule="auto"/>
        <w:ind w:firstLine="420" w:firstLineChars="200"/>
        <w:rPr>
          <w:rFonts w:ascii="宋体"/>
          <w:color w:val="auto"/>
          <w:szCs w:val="21"/>
          <w:highlight w:val="none"/>
          <w:u w:val="single"/>
        </w:rPr>
      </w:pPr>
      <w:r>
        <w:rPr>
          <w:rFonts w:hint="eastAsia" w:ascii="宋体" w:hAnsi="宋体"/>
          <w:color w:val="auto"/>
          <w:szCs w:val="21"/>
          <w:highlight w:val="none"/>
        </w:rPr>
        <w:t>承包人将施工控制网资料报送监理人审批的期限：</w:t>
      </w:r>
      <w:r>
        <w:rPr>
          <w:rFonts w:hint="eastAsia" w:hAnsi="宋体"/>
          <w:color w:val="auto"/>
          <w:highlight w:val="none"/>
          <w:u w:val="single"/>
        </w:rPr>
        <w:t>在收到监理人按照通用合同条款第</w:t>
      </w:r>
      <w:r>
        <w:rPr>
          <w:rFonts w:hAnsi="宋体"/>
          <w:color w:val="auto"/>
          <w:highlight w:val="none"/>
          <w:u w:val="single"/>
        </w:rPr>
        <w:t>11.1.1</w:t>
      </w:r>
      <w:r>
        <w:rPr>
          <w:rFonts w:hint="eastAsia" w:hAnsi="宋体"/>
          <w:color w:val="auto"/>
          <w:highlight w:val="none"/>
          <w:u w:val="single"/>
        </w:rPr>
        <w:t>项发出的开工通知后</w:t>
      </w:r>
      <w:r>
        <w:rPr>
          <w:rFonts w:hAnsi="宋体"/>
          <w:color w:val="auto"/>
          <w:highlight w:val="none"/>
          <w:u w:val="single"/>
        </w:rPr>
        <w:t>7</w:t>
      </w:r>
      <w:r>
        <w:rPr>
          <w:rFonts w:hint="eastAsia" w:hAnsi="宋体"/>
          <w:color w:val="auto"/>
          <w:highlight w:val="none"/>
          <w:u w:val="single"/>
        </w:rPr>
        <w:t>天内</w:t>
      </w:r>
      <w:r>
        <w:rPr>
          <w:rFonts w:hint="eastAsia" w:ascii="宋体" w:hAnsi="宋体"/>
          <w:color w:val="auto"/>
          <w:szCs w:val="21"/>
          <w:highlight w:val="none"/>
        </w:rPr>
        <w:t>。</w:t>
      </w:r>
    </w:p>
    <w:p w14:paraId="3CFD4372">
      <w:pPr>
        <w:keepNext/>
        <w:keepLines/>
        <w:spacing w:before="120" w:beforeLines="50" w:after="120" w:afterLines="50" w:line="360" w:lineRule="auto"/>
        <w:outlineLvl w:val="1"/>
        <w:rPr>
          <w:rFonts w:ascii="宋体" w:hAnsi="宋体" w:cs="宋体"/>
          <w:color w:val="auto"/>
          <w:sz w:val="28"/>
          <w:szCs w:val="20"/>
          <w:highlight w:val="none"/>
        </w:rPr>
      </w:pPr>
      <w:bookmarkStart w:id="1714" w:name="_Toc486580401"/>
      <w:bookmarkStart w:id="1715" w:name="_Toc7215"/>
      <w:bookmarkStart w:id="1716" w:name="_Toc497214070"/>
      <w:bookmarkStart w:id="1717" w:name="_Toc489280207"/>
      <w:bookmarkStart w:id="1718" w:name="_Toc13291"/>
      <w:bookmarkStart w:id="1719" w:name="_Toc490331692"/>
      <w:bookmarkStart w:id="1720" w:name="_Toc485323175"/>
      <w:r>
        <w:rPr>
          <w:rFonts w:ascii="宋体" w:hAnsi="宋体" w:cs="宋体"/>
          <w:color w:val="auto"/>
          <w:sz w:val="28"/>
          <w:szCs w:val="20"/>
          <w:highlight w:val="none"/>
        </w:rPr>
        <w:t>9.</w:t>
      </w:r>
      <w:r>
        <w:rPr>
          <w:rFonts w:hint="eastAsia" w:ascii="宋体" w:hAnsi="宋体" w:cs="宋体"/>
          <w:color w:val="auto"/>
          <w:sz w:val="28"/>
          <w:szCs w:val="20"/>
          <w:highlight w:val="none"/>
        </w:rPr>
        <w:t>施工安全、治安保卫和环境保护</w:t>
      </w:r>
      <w:bookmarkEnd w:id="1714"/>
      <w:bookmarkEnd w:id="1715"/>
      <w:bookmarkEnd w:id="1716"/>
      <w:bookmarkEnd w:id="1717"/>
      <w:bookmarkEnd w:id="1718"/>
      <w:bookmarkEnd w:id="1719"/>
      <w:bookmarkEnd w:id="1720"/>
    </w:p>
    <w:p w14:paraId="06BF9F18">
      <w:pPr>
        <w:keepNext/>
        <w:keepLines/>
        <w:spacing w:before="120" w:beforeLines="50" w:after="120" w:afterLines="50" w:line="360" w:lineRule="auto"/>
        <w:outlineLvl w:val="2"/>
        <w:rPr>
          <w:rFonts w:ascii="宋体" w:hAnsi="宋体"/>
          <w:color w:val="auto"/>
          <w:kern w:val="0"/>
          <w:sz w:val="24"/>
          <w:szCs w:val="20"/>
          <w:highlight w:val="none"/>
        </w:rPr>
      </w:pPr>
      <w:bookmarkStart w:id="1721" w:name="_Toc486580402"/>
      <w:bookmarkStart w:id="1722" w:name="_Toc489280208"/>
      <w:bookmarkStart w:id="1723" w:name="_Toc26885"/>
      <w:bookmarkStart w:id="1724" w:name="_Toc13958"/>
      <w:bookmarkStart w:id="1725" w:name="_Toc485323176"/>
      <w:bookmarkStart w:id="1726" w:name="_Toc490331693"/>
      <w:bookmarkStart w:id="1727" w:name="_Toc497214071"/>
      <w:r>
        <w:rPr>
          <w:rFonts w:ascii="宋体" w:hAnsi="宋体"/>
          <w:color w:val="auto"/>
          <w:kern w:val="0"/>
          <w:sz w:val="24"/>
          <w:szCs w:val="20"/>
          <w:highlight w:val="none"/>
        </w:rPr>
        <w:t xml:space="preserve">9.2  </w:t>
      </w:r>
      <w:r>
        <w:rPr>
          <w:rFonts w:hint="eastAsia" w:ascii="宋体" w:hAnsi="宋体"/>
          <w:color w:val="auto"/>
          <w:kern w:val="0"/>
          <w:sz w:val="24"/>
          <w:szCs w:val="20"/>
          <w:highlight w:val="none"/>
        </w:rPr>
        <w:t>承包人的施工安全责任</w:t>
      </w:r>
      <w:bookmarkEnd w:id="1721"/>
      <w:bookmarkEnd w:id="1722"/>
      <w:bookmarkEnd w:id="1723"/>
      <w:bookmarkEnd w:id="1724"/>
      <w:bookmarkEnd w:id="1725"/>
      <w:bookmarkEnd w:id="1726"/>
      <w:bookmarkEnd w:id="1727"/>
    </w:p>
    <w:p w14:paraId="4C092466">
      <w:pPr>
        <w:spacing w:line="360" w:lineRule="auto"/>
        <w:ind w:left="420" w:leftChars="200"/>
        <w:rPr>
          <w:rFonts w:ascii="宋体"/>
          <w:color w:val="auto"/>
          <w:kern w:val="0"/>
          <w:szCs w:val="21"/>
          <w:highlight w:val="none"/>
        </w:rPr>
      </w:pPr>
      <w:bookmarkStart w:id="1728" w:name="_Toc485323177"/>
      <w:bookmarkStart w:id="1729" w:name="_Toc486580403"/>
      <w:bookmarkStart w:id="1730" w:name="_Toc489280209"/>
      <w:r>
        <w:rPr>
          <w:rFonts w:ascii="宋体" w:hAnsi="宋体"/>
          <w:color w:val="auto"/>
          <w:kern w:val="0"/>
          <w:szCs w:val="21"/>
          <w:highlight w:val="none"/>
        </w:rPr>
        <w:t xml:space="preserve">9.2.1  </w:t>
      </w:r>
      <w:r>
        <w:rPr>
          <w:rFonts w:hint="eastAsia" w:ascii="宋体" w:hAnsi="宋体"/>
          <w:color w:val="auto"/>
          <w:kern w:val="0"/>
          <w:szCs w:val="21"/>
          <w:highlight w:val="none"/>
        </w:rPr>
        <w:t>承包人向监理人报送施工安全措施计划的期限：</w:t>
      </w:r>
      <w:r>
        <w:rPr>
          <w:rFonts w:hint="eastAsia" w:ascii="宋体" w:hAnsi="宋体"/>
          <w:color w:val="auto"/>
          <w:kern w:val="0"/>
          <w:szCs w:val="21"/>
          <w:highlight w:val="none"/>
          <w:u w:val="single"/>
        </w:rPr>
        <w:t>在收到监理人按照通用合同条款第</w:t>
      </w:r>
      <w:r>
        <w:rPr>
          <w:rFonts w:ascii="宋体" w:hAnsi="宋体"/>
          <w:color w:val="auto"/>
          <w:kern w:val="0"/>
          <w:szCs w:val="21"/>
          <w:highlight w:val="none"/>
          <w:u w:val="single"/>
        </w:rPr>
        <w:t>11.1.1</w:t>
      </w:r>
      <w:r>
        <w:rPr>
          <w:rFonts w:hint="eastAsia" w:ascii="宋体" w:hAnsi="宋体"/>
          <w:color w:val="auto"/>
          <w:kern w:val="0"/>
          <w:szCs w:val="21"/>
          <w:highlight w:val="none"/>
          <w:u w:val="single"/>
        </w:rPr>
        <w:t>项发出的开工通知后</w:t>
      </w:r>
      <w:r>
        <w:rPr>
          <w:rFonts w:ascii="宋体" w:hAnsi="宋体"/>
          <w:color w:val="auto"/>
          <w:kern w:val="0"/>
          <w:szCs w:val="21"/>
          <w:highlight w:val="none"/>
          <w:u w:val="single"/>
        </w:rPr>
        <w:t>7</w:t>
      </w:r>
      <w:r>
        <w:rPr>
          <w:rFonts w:hint="eastAsia" w:ascii="宋体" w:hAnsi="宋体"/>
          <w:color w:val="auto"/>
          <w:kern w:val="0"/>
          <w:szCs w:val="21"/>
          <w:highlight w:val="none"/>
          <w:u w:val="single"/>
        </w:rPr>
        <w:t>天内。</w:t>
      </w:r>
      <w:r>
        <w:rPr>
          <w:rFonts w:ascii="宋体" w:hAnsi="宋体"/>
          <w:color w:val="auto"/>
          <w:kern w:val="0"/>
          <w:szCs w:val="21"/>
          <w:highlight w:val="none"/>
          <w:u w:val="single"/>
        </w:rPr>
        <w:t xml:space="preserve"> </w:t>
      </w:r>
    </w:p>
    <w:p w14:paraId="4539D2E6">
      <w:pPr>
        <w:spacing w:line="360" w:lineRule="auto"/>
        <w:ind w:left="420" w:leftChars="200"/>
        <w:rPr>
          <w:rFonts w:ascii="宋体"/>
          <w:color w:val="auto"/>
          <w:kern w:val="0"/>
          <w:szCs w:val="21"/>
          <w:highlight w:val="none"/>
        </w:rPr>
      </w:pPr>
      <w:r>
        <w:rPr>
          <w:rFonts w:hint="eastAsia" w:ascii="宋体" w:hAnsi="宋体"/>
          <w:color w:val="auto"/>
          <w:kern w:val="0"/>
          <w:szCs w:val="21"/>
          <w:highlight w:val="none"/>
        </w:rPr>
        <w:t>监理人收到承包人报送的施工安全措施计划后应当在</w:t>
      </w:r>
      <w:r>
        <w:rPr>
          <w:rFonts w:ascii="宋体" w:hAnsi="宋体"/>
          <w:color w:val="auto"/>
          <w:kern w:val="0"/>
          <w:szCs w:val="21"/>
          <w:highlight w:val="none"/>
          <w:u w:val="single"/>
        </w:rPr>
        <w:t xml:space="preserve">  7    </w:t>
      </w:r>
      <w:r>
        <w:rPr>
          <w:rFonts w:hint="eastAsia" w:ascii="宋体" w:hAnsi="宋体"/>
          <w:color w:val="auto"/>
          <w:kern w:val="0"/>
          <w:szCs w:val="21"/>
          <w:highlight w:val="none"/>
        </w:rPr>
        <w:t>天内给予批复。</w:t>
      </w:r>
    </w:p>
    <w:p w14:paraId="6C83557E">
      <w:pPr>
        <w:keepNext/>
        <w:keepLines/>
        <w:spacing w:before="120" w:beforeLines="50" w:after="120" w:afterLines="50" w:line="360" w:lineRule="auto"/>
        <w:outlineLvl w:val="2"/>
        <w:rPr>
          <w:rFonts w:ascii="宋体" w:hAnsi="宋体"/>
          <w:color w:val="auto"/>
          <w:kern w:val="0"/>
          <w:sz w:val="24"/>
          <w:szCs w:val="20"/>
          <w:highlight w:val="none"/>
        </w:rPr>
      </w:pPr>
      <w:bookmarkStart w:id="1731" w:name="_Toc490331694"/>
      <w:bookmarkStart w:id="1732" w:name="_Toc3261"/>
      <w:bookmarkStart w:id="1733" w:name="_Toc11362"/>
      <w:bookmarkStart w:id="1734" w:name="_Toc497214072"/>
      <w:r>
        <w:rPr>
          <w:rFonts w:ascii="宋体" w:hAnsi="宋体"/>
          <w:color w:val="auto"/>
          <w:kern w:val="0"/>
          <w:sz w:val="24"/>
          <w:szCs w:val="20"/>
          <w:highlight w:val="none"/>
        </w:rPr>
        <w:t xml:space="preserve">9.3  </w:t>
      </w:r>
      <w:r>
        <w:rPr>
          <w:rFonts w:hint="eastAsia" w:ascii="宋体" w:hAnsi="宋体"/>
          <w:color w:val="auto"/>
          <w:kern w:val="0"/>
          <w:sz w:val="24"/>
          <w:szCs w:val="20"/>
          <w:highlight w:val="none"/>
        </w:rPr>
        <w:t>治安保卫</w:t>
      </w:r>
      <w:bookmarkEnd w:id="1728"/>
      <w:bookmarkEnd w:id="1729"/>
      <w:bookmarkEnd w:id="1730"/>
      <w:bookmarkEnd w:id="1731"/>
      <w:bookmarkEnd w:id="1732"/>
      <w:bookmarkEnd w:id="1733"/>
      <w:bookmarkEnd w:id="1734"/>
    </w:p>
    <w:p w14:paraId="3BC3EB2B">
      <w:pPr>
        <w:spacing w:line="360" w:lineRule="auto"/>
        <w:ind w:left="420" w:leftChars="200"/>
        <w:rPr>
          <w:rFonts w:ascii="宋体"/>
          <w:color w:val="auto"/>
          <w:kern w:val="0"/>
          <w:szCs w:val="21"/>
          <w:highlight w:val="none"/>
        </w:rPr>
      </w:pPr>
      <w:bookmarkStart w:id="1735" w:name="_Toc485323178"/>
      <w:bookmarkStart w:id="1736" w:name="_Toc486580404"/>
      <w:bookmarkStart w:id="1737" w:name="_Toc489280210"/>
      <w:r>
        <w:rPr>
          <w:rFonts w:ascii="宋体" w:hAnsi="宋体"/>
          <w:color w:val="auto"/>
          <w:kern w:val="0"/>
          <w:szCs w:val="21"/>
          <w:highlight w:val="none"/>
        </w:rPr>
        <w:t xml:space="preserve">9.3.3 </w:t>
      </w:r>
      <w:r>
        <w:rPr>
          <w:rFonts w:hint="eastAsia" w:ascii="宋体" w:hAnsi="宋体"/>
          <w:color w:val="auto"/>
          <w:kern w:val="0"/>
          <w:szCs w:val="21"/>
          <w:highlight w:val="none"/>
        </w:rPr>
        <w:t>制定施工场地治安管理计划和突发治安事件紧急预案的责任人</w:t>
      </w:r>
      <w:r>
        <w:rPr>
          <w:rFonts w:hint="eastAsia" w:ascii="宋体" w:hAnsi="宋体"/>
          <w:color w:val="auto"/>
          <w:szCs w:val="21"/>
          <w:highlight w:val="none"/>
        </w:rPr>
        <w:t>：</w:t>
      </w:r>
      <w:r>
        <w:rPr>
          <w:rFonts w:hint="eastAsia" w:ascii="宋体" w:hAnsi="宋体"/>
          <w:color w:val="auto"/>
          <w:szCs w:val="21"/>
          <w:highlight w:val="none"/>
          <w:u w:val="single"/>
        </w:rPr>
        <w:t xml:space="preserve">  </w:t>
      </w:r>
      <w:r>
        <w:rPr>
          <w:rFonts w:hint="eastAsia" w:hAnsi="宋体"/>
          <w:color w:val="auto"/>
          <w:szCs w:val="21"/>
          <w:highlight w:val="none"/>
          <w:u w:val="single"/>
        </w:rPr>
        <w:t>承包人</w:t>
      </w:r>
      <w:r>
        <w:rPr>
          <w:rFonts w:hint="eastAsia" w:ascii="宋体" w:hAnsi="宋体"/>
          <w:color w:val="auto"/>
          <w:szCs w:val="21"/>
          <w:highlight w:val="none"/>
          <w:u w:val="single"/>
        </w:rPr>
        <w:t xml:space="preserve">      </w:t>
      </w:r>
    </w:p>
    <w:p w14:paraId="2BF38B26">
      <w:pPr>
        <w:keepNext/>
        <w:keepLines/>
        <w:spacing w:before="120" w:beforeLines="50" w:after="120" w:afterLines="50" w:line="360" w:lineRule="auto"/>
        <w:outlineLvl w:val="2"/>
        <w:rPr>
          <w:rFonts w:ascii="宋体" w:hAnsi="宋体"/>
          <w:color w:val="auto"/>
          <w:kern w:val="0"/>
          <w:sz w:val="24"/>
          <w:szCs w:val="20"/>
          <w:highlight w:val="none"/>
        </w:rPr>
      </w:pPr>
      <w:bookmarkStart w:id="1738" w:name="_Toc19042"/>
      <w:bookmarkStart w:id="1739" w:name="_Toc490331695"/>
      <w:bookmarkStart w:id="1740" w:name="_Toc497214073"/>
      <w:bookmarkStart w:id="1741" w:name="_Toc14772"/>
      <w:r>
        <w:rPr>
          <w:rFonts w:ascii="宋体" w:hAnsi="宋体"/>
          <w:color w:val="auto"/>
          <w:kern w:val="0"/>
          <w:sz w:val="24"/>
          <w:szCs w:val="20"/>
          <w:highlight w:val="none"/>
        </w:rPr>
        <w:t xml:space="preserve">9.4  </w:t>
      </w:r>
      <w:r>
        <w:rPr>
          <w:rFonts w:hint="eastAsia" w:ascii="宋体" w:hAnsi="宋体"/>
          <w:color w:val="auto"/>
          <w:kern w:val="0"/>
          <w:sz w:val="24"/>
          <w:szCs w:val="20"/>
          <w:highlight w:val="none"/>
        </w:rPr>
        <w:t>环境保护</w:t>
      </w:r>
      <w:bookmarkEnd w:id="1735"/>
      <w:bookmarkEnd w:id="1736"/>
      <w:bookmarkEnd w:id="1737"/>
      <w:bookmarkEnd w:id="1738"/>
      <w:bookmarkEnd w:id="1739"/>
      <w:bookmarkEnd w:id="1740"/>
      <w:bookmarkEnd w:id="1741"/>
    </w:p>
    <w:p w14:paraId="469C2E92">
      <w:pPr>
        <w:spacing w:line="360" w:lineRule="auto"/>
        <w:ind w:left="420" w:leftChars="200"/>
        <w:rPr>
          <w:rFonts w:ascii="宋体"/>
          <w:color w:val="auto"/>
          <w:kern w:val="0"/>
          <w:szCs w:val="21"/>
          <w:highlight w:val="none"/>
        </w:rPr>
      </w:pPr>
      <w:bookmarkStart w:id="1742" w:name="_Toc489280211"/>
      <w:bookmarkStart w:id="1743" w:name="_Toc486580405"/>
      <w:bookmarkStart w:id="1744" w:name="_Toc485323179"/>
      <w:r>
        <w:rPr>
          <w:rFonts w:ascii="宋体" w:hAnsi="宋体"/>
          <w:color w:val="auto"/>
          <w:kern w:val="0"/>
          <w:szCs w:val="21"/>
          <w:highlight w:val="none"/>
        </w:rPr>
        <w:t xml:space="preserve">9.4.3  </w:t>
      </w:r>
      <w:r>
        <w:rPr>
          <w:rFonts w:hint="eastAsia" w:ascii="宋体" w:hAnsi="宋体"/>
          <w:color w:val="auto"/>
          <w:kern w:val="0"/>
          <w:szCs w:val="21"/>
          <w:highlight w:val="none"/>
        </w:rPr>
        <w:t>施工环保措施计划报送监理人审批的时间</w:t>
      </w:r>
      <w:r>
        <w:rPr>
          <w:rFonts w:hint="eastAsia" w:ascii="宋体" w:hAnsi="宋体"/>
          <w:color w:val="auto"/>
          <w:szCs w:val="21"/>
          <w:highlight w:val="none"/>
        </w:rPr>
        <w:t>：</w:t>
      </w:r>
      <w:r>
        <w:rPr>
          <w:rFonts w:hint="eastAsia" w:ascii="宋体" w:hAnsi="宋体"/>
          <w:color w:val="auto"/>
          <w:szCs w:val="21"/>
          <w:highlight w:val="none"/>
          <w:u w:val="single"/>
        </w:rPr>
        <w:t xml:space="preserve">  开工令下达后7天内              </w:t>
      </w:r>
    </w:p>
    <w:p w14:paraId="5608916D">
      <w:pPr>
        <w:spacing w:line="360" w:lineRule="auto"/>
        <w:ind w:left="420" w:leftChars="200"/>
        <w:rPr>
          <w:rFonts w:ascii="宋体" w:hAnsi="宋体"/>
          <w:color w:val="auto"/>
          <w:kern w:val="0"/>
          <w:szCs w:val="21"/>
          <w:highlight w:val="none"/>
        </w:rPr>
      </w:pPr>
      <w:r>
        <w:rPr>
          <w:rFonts w:hint="eastAsia" w:ascii="宋体" w:hAnsi="宋体"/>
          <w:color w:val="auto"/>
          <w:kern w:val="0"/>
          <w:szCs w:val="21"/>
          <w:highlight w:val="none"/>
        </w:rPr>
        <w:t>监理人收到承包人报送的施工环保措施计划后应当在</w:t>
      </w:r>
      <w:r>
        <w:rPr>
          <w:rFonts w:hint="eastAsia" w:ascii="宋体" w:hAnsi="宋体"/>
          <w:color w:val="auto"/>
          <w:kern w:val="0"/>
          <w:szCs w:val="21"/>
          <w:highlight w:val="none"/>
          <w:u w:val="single"/>
        </w:rPr>
        <w:t xml:space="preserve">  </w:t>
      </w:r>
      <w:r>
        <w:rPr>
          <w:rFonts w:ascii="宋体" w:hAnsi="宋体"/>
          <w:color w:val="auto"/>
          <w:kern w:val="0"/>
          <w:szCs w:val="21"/>
          <w:highlight w:val="none"/>
          <w:u w:val="single"/>
        </w:rPr>
        <w:t>7</w:t>
      </w:r>
      <w:r>
        <w:rPr>
          <w:rFonts w:hint="eastAsia" w:ascii="宋体" w:hAnsi="宋体"/>
          <w:color w:val="auto"/>
          <w:kern w:val="0"/>
          <w:szCs w:val="21"/>
          <w:highlight w:val="none"/>
          <w:u w:val="single"/>
        </w:rPr>
        <w:t xml:space="preserve">  </w:t>
      </w:r>
      <w:r>
        <w:rPr>
          <w:rFonts w:hint="eastAsia" w:ascii="宋体" w:hAnsi="宋体"/>
          <w:color w:val="auto"/>
          <w:kern w:val="0"/>
          <w:szCs w:val="21"/>
          <w:highlight w:val="none"/>
        </w:rPr>
        <w:t>天内给予批复。</w:t>
      </w:r>
    </w:p>
    <w:p w14:paraId="566F3CC2">
      <w:pPr>
        <w:pStyle w:val="36"/>
        <w:tabs>
          <w:tab w:val="left" w:pos="567"/>
          <w:tab w:val="left" w:pos="851"/>
        </w:tabs>
        <w:spacing w:before="120" w:after="120"/>
        <w:rPr>
          <w:rFonts w:ascii="宋体" w:hAnsi="宋体" w:eastAsia="宋体" w:cs="宋体"/>
          <w:color w:val="auto"/>
          <w:highlight w:val="none"/>
        </w:rPr>
      </w:pPr>
      <w:bookmarkStart w:id="1745" w:name="_Toc10235672"/>
      <w:bookmarkStart w:id="1746" w:name="_Toc1770"/>
      <w:bookmarkStart w:id="1747" w:name="_Toc18187"/>
      <w:bookmarkStart w:id="1748" w:name="_Hlk8723534"/>
      <w:r>
        <w:rPr>
          <w:rFonts w:hint="eastAsia" w:ascii="宋体" w:hAnsi="宋体" w:eastAsia="宋体" w:cs="宋体"/>
          <w:color w:val="auto"/>
          <w:highlight w:val="none"/>
        </w:rPr>
        <w:t>9.6  施工现场安全生产标准化管理目标</w:t>
      </w:r>
      <w:bookmarkEnd w:id="1745"/>
      <w:bookmarkEnd w:id="1746"/>
      <w:bookmarkEnd w:id="1747"/>
    </w:p>
    <w:p w14:paraId="004E13EF">
      <w:pPr>
        <w:pStyle w:val="10"/>
        <w:tabs>
          <w:tab w:val="left" w:pos="1134"/>
        </w:tabs>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9.6.1  未达到合同协议书中约定的安全生产标准化管理目标等级的违约金或损失赔偿金的金额或者计算方法：</w:t>
      </w:r>
      <w:r>
        <w:rPr>
          <w:rFonts w:hint="eastAsia" w:ascii="宋体" w:hAnsi="宋体" w:eastAsia="宋体" w:cs="宋体"/>
          <w:color w:val="auto"/>
          <w:sz w:val="21"/>
          <w:szCs w:val="21"/>
          <w:highlight w:val="none"/>
          <w:u w:val="single"/>
        </w:rPr>
        <w:t xml:space="preserve">         /         </w:t>
      </w:r>
    </w:p>
    <w:p w14:paraId="1B00E67D">
      <w:pPr>
        <w:pStyle w:val="1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9.6.2  发包人</w:t>
      </w:r>
      <w:r>
        <w:rPr>
          <w:rFonts w:hint="eastAsia" w:ascii="宋体" w:hAnsi="宋体" w:eastAsia="宋体" w:cs="宋体"/>
          <w:color w:val="auto"/>
          <w:highlight w:val="none"/>
          <w:u w:val="single"/>
        </w:rPr>
        <w:t xml:space="preserve">   </w:t>
      </w:r>
      <w:r>
        <w:rPr>
          <w:rFonts w:hint="eastAsia" w:ascii="宋体" w:hAnsi="宋体" w:eastAsia="宋体" w:cs="宋体"/>
          <w:color w:val="auto"/>
          <w:sz w:val="21"/>
          <w:szCs w:val="21"/>
          <w:highlight w:val="none"/>
          <w:u w:val="single"/>
        </w:rPr>
        <w:t>不给予</w:t>
      </w:r>
      <w:r>
        <w:rPr>
          <w:rFonts w:hint="eastAsia" w:ascii="宋体" w:hAnsi="宋体" w:eastAsia="宋体" w:cs="宋体"/>
          <w:color w:val="auto"/>
          <w:highlight w:val="none"/>
          <w:u w:val="single"/>
        </w:rPr>
        <w:t xml:space="preserve">   </w:t>
      </w:r>
      <w:r>
        <w:rPr>
          <w:rFonts w:hint="eastAsia" w:ascii="宋体" w:hAnsi="宋体" w:eastAsia="宋体" w:cs="宋体"/>
          <w:color w:val="auto"/>
          <w:sz w:val="21"/>
          <w:szCs w:val="21"/>
          <w:highlight w:val="none"/>
        </w:rPr>
        <w:t>（给予/不给予）承包人创优奖励。发包人给予承包人创优奖励的，创优奖励金额或者计算方法：</w:t>
      </w:r>
      <w:r>
        <w:rPr>
          <w:rFonts w:hint="eastAsia" w:ascii="宋体" w:hAnsi="宋体" w:eastAsia="宋体" w:cs="宋体"/>
          <w:color w:val="auto"/>
          <w:sz w:val="21"/>
          <w:szCs w:val="21"/>
          <w:highlight w:val="none"/>
          <w:u w:val="single"/>
        </w:rPr>
        <w:t xml:space="preserve">           /                      </w:t>
      </w:r>
    </w:p>
    <w:p w14:paraId="26307C58">
      <w:pPr>
        <w:pStyle w:val="36"/>
        <w:tabs>
          <w:tab w:val="left" w:pos="567"/>
        </w:tabs>
        <w:spacing w:before="120" w:after="120"/>
        <w:rPr>
          <w:rFonts w:ascii="宋体" w:hAnsi="宋体" w:eastAsia="宋体" w:cs="宋体"/>
          <w:color w:val="auto"/>
          <w:highlight w:val="none"/>
        </w:rPr>
      </w:pPr>
      <w:bookmarkStart w:id="1749" w:name="_Toc10235673"/>
      <w:bookmarkStart w:id="1750" w:name="_Toc14884"/>
      <w:bookmarkStart w:id="1751" w:name="_Toc24639"/>
      <w:r>
        <w:rPr>
          <w:rFonts w:hint="eastAsia" w:ascii="宋体" w:hAnsi="宋体" w:eastAsia="宋体" w:cs="宋体"/>
          <w:color w:val="auto"/>
          <w:highlight w:val="none"/>
        </w:rPr>
        <w:t>9.7  特殊安全文明施工</w:t>
      </w:r>
      <w:bookmarkEnd w:id="1749"/>
      <w:bookmarkEnd w:id="1750"/>
      <w:bookmarkEnd w:id="1751"/>
    </w:p>
    <w:p w14:paraId="4AB8C36A">
      <w:pPr>
        <w:pStyle w:val="10"/>
        <w:tabs>
          <w:tab w:val="left" w:pos="1134"/>
        </w:tabs>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9.7.1 未达到合同约定的特殊安全文明施工要求的违约金或损失赔偿金的金额或者计算方法：</w:t>
      </w:r>
      <w:r>
        <w:rPr>
          <w:rFonts w:hint="eastAsia" w:ascii="宋体" w:hAnsi="宋体" w:eastAsia="宋体" w:cs="宋体"/>
          <w:color w:val="auto"/>
          <w:sz w:val="21"/>
          <w:szCs w:val="21"/>
          <w:highlight w:val="none"/>
          <w:u w:val="single"/>
        </w:rPr>
        <w:t xml:space="preserve">         /                                                      </w:t>
      </w:r>
    </w:p>
    <w:p w14:paraId="0359999C">
      <w:pPr>
        <w:pStyle w:val="1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9.7.2 发包人</w:t>
      </w:r>
      <w:r>
        <w:rPr>
          <w:rFonts w:hint="eastAsia" w:ascii="宋体" w:hAnsi="宋体" w:eastAsia="宋体" w:cs="宋体"/>
          <w:color w:val="auto"/>
          <w:highlight w:val="none"/>
          <w:u w:val="single"/>
        </w:rPr>
        <w:t xml:space="preserve">    </w:t>
      </w:r>
      <w:r>
        <w:rPr>
          <w:rFonts w:hint="eastAsia" w:ascii="宋体" w:hAnsi="宋体" w:eastAsia="宋体" w:cs="宋体"/>
          <w:color w:val="auto"/>
          <w:sz w:val="21"/>
          <w:szCs w:val="28"/>
          <w:highlight w:val="none"/>
          <w:u w:val="single"/>
        </w:rPr>
        <w:t xml:space="preserve">不给予    </w:t>
      </w:r>
      <w:r>
        <w:rPr>
          <w:rFonts w:hint="eastAsia" w:ascii="宋体" w:hAnsi="宋体" w:eastAsia="宋体" w:cs="宋体"/>
          <w:color w:val="auto"/>
          <w:sz w:val="21"/>
          <w:szCs w:val="21"/>
          <w:highlight w:val="none"/>
        </w:rPr>
        <w:t>（给予/</w:t>
      </w:r>
      <w:bookmarkStart w:id="1752" w:name="_Hlk17814533"/>
      <w:r>
        <w:rPr>
          <w:rFonts w:hint="eastAsia" w:ascii="宋体" w:hAnsi="宋体" w:eastAsia="宋体" w:cs="宋体"/>
          <w:color w:val="auto"/>
          <w:sz w:val="21"/>
          <w:szCs w:val="21"/>
          <w:highlight w:val="none"/>
        </w:rPr>
        <w:t>不给予</w:t>
      </w:r>
      <w:bookmarkEnd w:id="1752"/>
      <w:r>
        <w:rPr>
          <w:rFonts w:hint="eastAsia" w:ascii="宋体" w:hAnsi="宋体" w:eastAsia="宋体" w:cs="宋体"/>
          <w:color w:val="auto"/>
          <w:sz w:val="21"/>
          <w:szCs w:val="21"/>
          <w:highlight w:val="none"/>
        </w:rPr>
        <w:t>）承包人创优奖励。发包人给予承包人创优奖励的，创优奖励金额或者计算方法：</w:t>
      </w:r>
      <w:r>
        <w:rPr>
          <w:rFonts w:hint="eastAsia" w:ascii="宋体" w:hAnsi="宋体" w:eastAsia="宋体" w:cs="宋体"/>
          <w:color w:val="auto"/>
          <w:sz w:val="21"/>
          <w:szCs w:val="21"/>
          <w:highlight w:val="none"/>
          <w:u w:val="single"/>
        </w:rPr>
        <w:t xml:space="preserve">    /                             </w:t>
      </w:r>
    </w:p>
    <w:bookmarkEnd w:id="1748"/>
    <w:p w14:paraId="3CF549E3">
      <w:pPr>
        <w:keepNext/>
        <w:keepLines/>
        <w:spacing w:before="120" w:beforeLines="50" w:after="120" w:afterLines="50" w:line="360" w:lineRule="auto"/>
        <w:outlineLvl w:val="1"/>
        <w:rPr>
          <w:rFonts w:ascii="宋体" w:hAnsi="宋体" w:cs="宋体"/>
          <w:color w:val="auto"/>
          <w:sz w:val="28"/>
          <w:szCs w:val="20"/>
          <w:highlight w:val="none"/>
        </w:rPr>
      </w:pPr>
      <w:bookmarkStart w:id="1753" w:name="_Toc490331696"/>
      <w:bookmarkStart w:id="1754" w:name="_Toc497214074"/>
      <w:bookmarkStart w:id="1755" w:name="_Toc28038"/>
      <w:bookmarkStart w:id="1756" w:name="_Toc19026"/>
      <w:r>
        <w:rPr>
          <w:rFonts w:ascii="宋体" w:hAnsi="宋体" w:cs="宋体"/>
          <w:color w:val="auto"/>
          <w:sz w:val="28"/>
          <w:szCs w:val="20"/>
          <w:highlight w:val="none"/>
        </w:rPr>
        <w:t>10.</w:t>
      </w:r>
      <w:r>
        <w:rPr>
          <w:rFonts w:hint="eastAsia" w:ascii="宋体" w:hAnsi="宋体" w:cs="宋体"/>
          <w:color w:val="auto"/>
          <w:sz w:val="28"/>
          <w:szCs w:val="20"/>
          <w:highlight w:val="none"/>
        </w:rPr>
        <w:t>进度计划</w:t>
      </w:r>
      <w:bookmarkEnd w:id="1742"/>
      <w:bookmarkEnd w:id="1743"/>
      <w:bookmarkEnd w:id="1744"/>
      <w:bookmarkEnd w:id="1753"/>
      <w:bookmarkEnd w:id="1754"/>
      <w:bookmarkEnd w:id="1755"/>
      <w:bookmarkEnd w:id="1756"/>
    </w:p>
    <w:p w14:paraId="009336BD">
      <w:pPr>
        <w:keepNext/>
        <w:keepLines/>
        <w:spacing w:before="120" w:beforeLines="50" w:after="120" w:afterLines="50" w:line="360" w:lineRule="auto"/>
        <w:outlineLvl w:val="2"/>
        <w:rPr>
          <w:rFonts w:ascii="宋体" w:hAnsi="宋体"/>
          <w:color w:val="auto"/>
          <w:kern w:val="0"/>
          <w:sz w:val="24"/>
          <w:szCs w:val="20"/>
          <w:highlight w:val="none"/>
        </w:rPr>
      </w:pPr>
      <w:bookmarkStart w:id="1757" w:name="_Toc27875"/>
      <w:bookmarkStart w:id="1758" w:name="_Toc486580406"/>
      <w:bookmarkStart w:id="1759" w:name="_Toc497214075"/>
      <w:bookmarkStart w:id="1760" w:name="_Toc490331697"/>
      <w:bookmarkStart w:id="1761" w:name="_Toc26551"/>
      <w:bookmarkStart w:id="1762" w:name="_Toc489280212"/>
      <w:bookmarkStart w:id="1763" w:name="_Toc485323180"/>
      <w:r>
        <w:rPr>
          <w:rFonts w:ascii="宋体" w:hAnsi="宋体"/>
          <w:color w:val="auto"/>
          <w:kern w:val="0"/>
          <w:sz w:val="24"/>
          <w:szCs w:val="20"/>
          <w:highlight w:val="none"/>
        </w:rPr>
        <w:t xml:space="preserve">10.1  </w:t>
      </w:r>
      <w:r>
        <w:rPr>
          <w:rFonts w:hint="eastAsia" w:ascii="宋体" w:hAnsi="宋体"/>
          <w:color w:val="auto"/>
          <w:kern w:val="0"/>
          <w:sz w:val="24"/>
          <w:szCs w:val="20"/>
          <w:highlight w:val="none"/>
        </w:rPr>
        <w:t>合同进度计划</w:t>
      </w:r>
      <w:bookmarkEnd w:id="1757"/>
      <w:bookmarkEnd w:id="1758"/>
      <w:bookmarkEnd w:id="1759"/>
      <w:bookmarkEnd w:id="1760"/>
      <w:bookmarkEnd w:id="1761"/>
      <w:bookmarkEnd w:id="1762"/>
      <w:bookmarkEnd w:id="1763"/>
    </w:p>
    <w:p w14:paraId="7572AE0B">
      <w:pPr>
        <w:wordWrap w:val="0"/>
        <w:spacing w:line="360" w:lineRule="auto"/>
        <w:ind w:left="420" w:leftChars="200"/>
        <w:rPr>
          <w:rFonts w:ascii="宋体"/>
          <w:color w:val="auto"/>
          <w:kern w:val="0"/>
          <w:szCs w:val="21"/>
          <w:highlight w:val="none"/>
        </w:rPr>
      </w:pPr>
      <w:bookmarkStart w:id="1764" w:name="_Toc485323181"/>
      <w:bookmarkStart w:id="1765" w:name="_Toc489280213"/>
      <w:bookmarkStart w:id="1766" w:name="_Toc486580407"/>
      <w:r>
        <w:rPr>
          <w:rFonts w:ascii="宋体" w:hAnsi="宋体"/>
          <w:color w:val="auto"/>
          <w:kern w:val="0"/>
          <w:szCs w:val="21"/>
          <w:highlight w:val="none"/>
        </w:rPr>
        <w:t xml:space="preserve">10.1.1  </w:t>
      </w:r>
      <w:r>
        <w:rPr>
          <w:rFonts w:hint="eastAsia" w:ascii="宋体" w:hAnsi="宋体"/>
          <w:color w:val="auto"/>
          <w:kern w:val="0"/>
          <w:szCs w:val="21"/>
          <w:highlight w:val="none"/>
        </w:rPr>
        <w:t>承包人编制施工进度计划和施工方案说明的内容</w:t>
      </w:r>
      <w:r>
        <w:rPr>
          <w:rFonts w:hint="eastAsia" w:ascii="宋体" w:hAnsi="宋体"/>
          <w:color w:val="auto"/>
          <w:szCs w:val="21"/>
          <w:highlight w:val="none"/>
        </w:rPr>
        <w:t>：</w:t>
      </w:r>
      <w:r>
        <w:rPr>
          <w:rFonts w:hint="eastAsia" w:ascii="宋体" w:hAnsi="宋体"/>
          <w:color w:val="auto"/>
          <w:szCs w:val="21"/>
          <w:highlight w:val="none"/>
          <w:u w:val="single"/>
        </w:rPr>
        <w:t xml:space="preserve">总进度计划关键线路目标，施工顺序和方法要点， 施工进度计划中还应载明要求发包人组织设计人进行阶段性工程设计交底的时间。 </w:t>
      </w:r>
    </w:p>
    <w:p w14:paraId="42CCCC42">
      <w:pPr>
        <w:wordWrap w:val="0"/>
        <w:spacing w:line="360" w:lineRule="auto"/>
        <w:ind w:left="420" w:leftChars="200"/>
        <w:rPr>
          <w:rFonts w:ascii="宋体"/>
          <w:color w:val="auto"/>
          <w:kern w:val="0"/>
          <w:szCs w:val="21"/>
          <w:highlight w:val="none"/>
        </w:rPr>
      </w:pPr>
      <w:r>
        <w:rPr>
          <w:rFonts w:ascii="宋体" w:hAnsi="宋体"/>
          <w:color w:val="auto"/>
          <w:kern w:val="0"/>
          <w:szCs w:val="21"/>
          <w:highlight w:val="none"/>
        </w:rPr>
        <w:t xml:space="preserve">10.1.2  </w:t>
      </w:r>
      <w:r>
        <w:rPr>
          <w:rFonts w:hint="eastAsia" w:ascii="宋体" w:hAnsi="宋体"/>
          <w:color w:val="auto"/>
          <w:kern w:val="0"/>
          <w:szCs w:val="21"/>
          <w:highlight w:val="none"/>
        </w:rPr>
        <w:t>承包人编制分阶段或分项施工进度计划和施工方案说明的内容及时限要求</w:t>
      </w:r>
      <w:r>
        <w:rPr>
          <w:rFonts w:hint="eastAsia" w:ascii="宋体" w:hAnsi="宋体"/>
          <w:color w:val="auto"/>
          <w:szCs w:val="21"/>
          <w:highlight w:val="none"/>
        </w:rPr>
        <w:t>：</w:t>
      </w:r>
      <w:r>
        <w:rPr>
          <w:rFonts w:hint="eastAsia" w:ascii="宋体" w:hAnsi="宋体"/>
          <w:color w:val="auto"/>
          <w:szCs w:val="21"/>
          <w:highlight w:val="none"/>
          <w:u w:val="single"/>
        </w:rPr>
        <w:t xml:space="preserve">     在合同进度基础上编制分阶段和分项目的进度计划 。期限：分阶段或分项工程开始施工前一个月。  </w:t>
      </w:r>
    </w:p>
    <w:p w14:paraId="67F02D97">
      <w:pPr>
        <w:spacing w:line="360" w:lineRule="auto"/>
        <w:ind w:left="420" w:leftChars="200"/>
        <w:rPr>
          <w:rFonts w:ascii="宋体"/>
          <w:color w:val="auto"/>
          <w:kern w:val="0"/>
          <w:szCs w:val="21"/>
          <w:highlight w:val="none"/>
        </w:rPr>
      </w:pPr>
      <w:r>
        <w:rPr>
          <w:rFonts w:ascii="宋体" w:hAnsi="宋体"/>
          <w:color w:val="auto"/>
          <w:kern w:val="0"/>
          <w:szCs w:val="21"/>
          <w:highlight w:val="none"/>
        </w:rPr>
        <w:t xml:space="preserve">10.1.3  </w:t>
      </w:r>
      <w:r>
        <w:rPr>
          <w:rFonts w:hint="eastAsia" w:ascii="宋体" w:hAnsi="宋体"/>
          <w:color w:val="auto"/>
          <w:kern w:val="0"/>
          <w:szCs w:val="21"/>
          <w:highlight w:val="none"/>
        </w:rPr>
        <w:t>群体工程中有关编制进度计划和施工方案说明的要求</w:t>
      </w:r>
      <w:r>
        <w:rPr>
          <w:rFonts w:hint="eastAsia" w:ascii="宋体" w:hAnsi="宋体"/>
          <w:color w:val="auto"/>
          <w:szCs w:val="21"/>
          <w:highlight w:val="none"/>
        </w:rPr>
        <w:t>：</w:t>
      </w:r>
      <w:r>
        <w:rPr>
          <w:rFonts w:hint="eastAsia" w:ascii="宋体" w:hAnsi="宋体"/>
          <w:color w:val="auto"/>
          <w:szCs w:val="21"/>
          <w:highlight w:val="none"/>
          <w:u w:val="single"/>
        </w:rPr>
        <w:t xml:space="preserve">      </w:t>
      </w:r>
      <w:r>
        <w:rPr>
          <w:rFonts w:ascii="宋体" w:hAnsi="宋体"/>
          <w:color w:val="auto"/>
          <w:szCs w:val="21"/>
          <w:highlight w:val="none"/>
          <w:u w:val="single"/>
        </w:rPr>
        <w:t>/</w:t>
      </w:r>
      <w:r>
        <w:rPr>
          <w:rFonts w:hint="eastAsia" w:ascii="宋体" w:hAnsi="宋体"/>
          <w:color w:val="auto"/>
          <w:szCs w:val="21"/>
          <w:highlight w:val="none"/>
          <w:u w:val="single"/>
        </w:rPr>
        <w:t xml:space="preserve">             </w:t>
      </w:r>
    </w:p>
    <w:p w14:paraId="72EA8729">
      <w:pPr>
        <w:keepNext/>
        <w:keepLines/>
        <w:spacing w:before="120" w:beforeLines="50" w:after="120" w:afterLines="50" w:line="360" w:lineRule="auto"/>
        <w:outlineLvl w:val="2"/>
        <w:rPr>
          <w:rFonts w:ascii="宋体" w:hAnsi="宋体"/>
          <w:color w:val="auto"/>
          <w:kern w:val="0"/>
          <w:sz w:val="24"/>
          <w:szCs w:val="20"/>
          <w:highlight w:val="none"/>
        </w:rPr>
      </w:pPr>
      <w:bookmarkStart w:id="1767" w:name="_Toc22994"/>
      <w:bookmarkStart w:id="1768" w:name="_Toc497214076"/>
      <w:bookmarkStart w:id="1769" w:name="_Toc19715"/>
      <w:bookmarkStart w:id="1770" w:name="_Toc490331698"/>
      <w:r>
        <w:rPr>
          <w:rFonts w:ascii="宋体" w:hAnsi="宋体"/>
          <w:color w:val="auto"/>
          <w:kern w:val="0"/>
          <w:sz w:val="24"/>
          <w:szCs w:val="20"/>
          <w:highlight w:val="none"/>
        </w:rPr>
        <w:t xml:space="preserve">10.2  </w:t>
      </w:r>
      <w:r>
        <w:rPr>
          <w:rFonts w:hint="eastAsia" w:ascii="宋体" w:hAnsi="宋体"/>
          <w:color w:val="auto"/>
          <w:kern w:val="0"/>
          <w:sz w:val="24"/>
          <w:szCs w:val="20"/>
          <w:highlight w:val="none"/>
        </w:rPr>
        <w:t>合同进度计划的修订</w:t>
      </w:r>
      <w:bookmarkEnd w:id="1764"/>
      <w:bookmarkEnd w:id="1765"/>
      <w:bookmarkEnd w:id="1766"/>
      <w:bookmarkEnd w:id="1767"/>
      <w:bookmarkEnd w:id="1768"/>
      <w:bookmarkEnd w:id="1769"/>
      <w:bookmarkEnd w:id="1770"/>
    </w:p>
    <w:p w14:paraId="63FDE7DD">
      <w:pPr>
        <w:spacing w:line="360" w:lineRule="auto"/>
        <w:ind w:left="420" w:leftChars="200"/>
        <w:rPr>
          <w:rFonts w:ascii="宋体"/>
          <w:color w:val="auto"/>
          <w:kern w:val="0"/>
          <w:szCs w:val="21"/>
          <w:highlight w:val="none"/>
        </w:rPr>
      </w:pPr>
      <w:bookmarkStart w:id="1771" w:name="_Toc486580408"/>
      <w:bookmarkStart w:id="1772" w:name="_Toc489280214"/>
      <w:bookmarkStart w:id="1773" w:name="_Toc485323182"/>
      <w:r>
        <w:rPr>
          <w:rFonts w:ascii="宋体" w:hAnsi="宋体"/>
          <w:color w:val="auto"/>
          <w:kern w:val="0"/>
          <w:szCs w:val="21"/>
          <w:highlight w:val="none"/>
        </w:rPr>
        <w:t xml:space="preserve">10.2.1  </w:t>
      </w:r>
      <w:r>
        <w:rPr>
          <w:rFonts w:hint="eastAsia" w:ascii="宋体" w:hAnsi="宋体"/>
          <w:color w:val="auto"/>
          <w:kern w:val="0"/>
          <w:szCs w:val="21"/>
          <w:highlight w:val="none"/>
        </w:rPr>
        <w:t>承包人报送修订合同进度计划申请报告和相关资料的期限</w:t>
      </w:r>
      <w:r>
        <w:rPr>
          <w:rFonts w:hint="eastAsia" w:ascii="宋体" w:hAnsi="宋体"/>
          <w:color w:val="auto"/>
          <w:szCs w:val="21"/>
          <w:highlight w:val="none"/>
        </w:rPr>
        <w:t>：</w:t>
      </w:r>
      <w:r>
        <w:rPr>
          <w:rFonts w:hint="eastAsia" w:hAnsi="宋体"/>
          <w:color w:val="auto"/>
          <w:szCs w:val="21"/>
          <w:highlight w:val="none"/>
          <w:u w:val="single"/>
        </w:rPr>
        <w:t>签订合同后</w:t>
      </w:r>
      <w:r>
        <w:rPr>
          <w:rFonts w:hAnsi="宋体"/>
          <w:color w:val="auto"/>
          <w:szCs w:val="21"/>
          <w:highlight w:val="none"/>
          <w:u w:val="single"/>
        </w:rPr>
        <w:t>7</w:t>
      </w:r>
      <w:r>
        <w:rPr>
          <w:rFonts w:hint="eastAsia" w:hAnsi="宋体"/>
          <w:color w:val="auto"/>
          <w:szCs w:val="21"/>
          <w:highlight w:val="none"/>
          <w:u w:val="single"/>
        </w:rPr>
        <w:t>天内</w:t>
      </w:r>
      <w:r>
        <w:rPr>
          <w:rFonts w:hint="eastAsia" w:ascii="宋体" w:hAnsi="宋体"/>
          <w:color w:val="auto"/>
          <w:szCs w:val="21"/>
          <w:highlight w:val="none"/>
          <w:u w:val="single"/>
        </w:rPr>
        <w:t xml:space="preserve">。  </w:t>
      </w:r>
    </w:p>
    <w:p w14:paraId="0CD92FF8">
      <w:pPr>
        <w:spacing w:line="360" w:lineRule="auto"/>
        <w:ind w:left="420" w:leftChars="200"/>
        <w:rPr>
          <w:rFonts w:ascii="宋体"/>
          <w:color w:val="auto"/>
          <w:kern w:val="0"/>
          <w:szCs w:val="21"/>
          <w:highlight w:val="none"/>
        </w:rPr>
      </w:pPr>
      <w:r>
        <w:rPr>
          <w:rFonts w:hint="eastAsia" w:ascii="宋体" w:hAnsi="宋体"/>
          <w:color w:val="auto"/>
          <w:kern w:val="0"/>
          <w:szCs w:val="21"/>
          <w:highlight w:val="none"/>
        </w:rPr>
        <w:t>监理人批复修订合同进度计划申请报告的期限</w:t>
      </w:r>
      <w:r>
        <w:rPr>
          <w:rFonts w:hint="eastAsia" w:ascii="宋体" w:hAnsi="宋体"/>
          <w:color w:val="auto"/>
          <w:szCs w:val="21"/>
          <w:highlight w:val="none"/>
        </w:rPr>
        <w:t>：</w:t>
      </w:r>
      <w:r>
        <w:rPr>
          <w:rFonts w:hint="eastAsia" w:hAnsi="宋体"/>
          <w:color w:val="auto"/>
          <w:szCs w:val="21"/>
          <w:highlight w:val="none"/>
          <w:u w:val="single"/>
        </w:rPr>
        <w:t>收到承包人报送的修订合同进度计划申请报告和相关资料后</w:t>
      </w:r>
      <w:r>
        <w:rPr>
          <w:rFonts w:hAnsi="宋体"/>
          <w:color w:val="auto"/>
          <w:szCs w:val="21"/>
          <w:highlight w:val="none"/>
          <w:u w:val="single"/>
        </w:rPr>
        <w:t>7</w:t>
      </w:r>
      <w:r>
        <w:rPr>
          <w:rFonts w:hint="eastAsia" w:hAnsi="宋体"/>
          <w:color w:val="auto"/>
          <w:szCs w:val="21"/>
          <w:highlight w:val="none"/>
          <w:u w:val="single"/>
        </w:rPr>
        <w:t>天内</w:t>
      </w:r>
      <w:r>
        <w:rPr>
          <w:rFonts w:hint="eastAsia" w:ascii="宋体" w:hAnsi="宋体"/>
          <w:color w:val="auto"/>
          <w:szCs w:val="21"/>
          <w:highlight w:val="none"/>
          <w:u w:val="single"/>
        </w:rPr>
        <w:t xml:space="preserve">。  </w:t>
      </w:r>
    </w:p>
    <w:p w14:paraId="2050392B">
      <w:pPr>
        <w:spacing w:line="360" w:lineRule="auto"/>
        <w:ind w:left="420" w:leftChars="200"/>
        <w:rPr>
          <w:rFonts w:ascii="宋体"/>
          <w:color w:val="auto"/>
          <w:kern w:val="0"/>
          <w:szCs w:val="21"/>
          <w:highlight w:val="none"/>
        </w:rPr>
      </w:pPr>
      <w:r>
        <w:rPr>
          <w:rFonts w:ascii="宋体" w:hAnsi="宋体"/>
          <w:color w:val="auto"/>
          <w:kern w:val="0"/>
          <w:szCs w:val="21"/>
          <w:highlight w:val="none"/>
        </w:rPr>
        <w:t xml:space="preserve">10.2.2  </w:t>
      </w:r>
      <w:r>
        <w:rPr>
          <w:rFonts w:hint="eastAsia" w:ascii="宋体" w:hAnsi="宋体"/>
          <w:color w:val="auto"/>
          <w:kern w:val="0"/>
          <w:szCs w:val="21"/>
          <w:highlight w:val="none"/>
        </w:rPr>
        <w:t>监理人批复修订合同进度计划的期限</w:t>
      </w:r>
      <w:r>
        <w:rPr>
          <w:rFonts w:hint="eastAsia" w:ascii="宋体" w:hAnsi="宋体"/>
          <w:color w:val="auto"/>
          <w:szCs w:val="21"/>
          <w:highlight w:val="none"/>
        </w:rPr>
        <w:t>：</w:t>
      </w:r>
      <w:r>
        <w:rPr>
          <w:rFonts w:hint="eastAsia" w:ascii="宋体" w:hAnsi="宋体"/>
          <w:color w:val="auto"/>
          <w:szCs w:val="21"/>
          <w:highlight w:val="none"/>
          <w:u w:val="single"/>
        </w:rPr>
        <w:t xml:space="preserve">  收到承包人报送的修订合同进度计划申请报告和相关资料后7天内。     </w:t>
      </w:r>
    </w:p>
    <w:p w14:paraId="75D39A01">
      <w:pPr>
        <w:keepNext/>
        <w:keepLines/>
        <w:spacing w:before="120" w:beforeLines="50" w:after="120" w:afterLines="50" w:line="360" w:lineRule="auto"/>
        <w:outlineLvl w:val="1"/>
        <w:rPr>
          <w:rFonts w:ascii="宋体" w:hAnsi="宋体" w:cs="宋体"/>
          <w:color w:val="auto"/>
          <w:sz w:val="28"/>
          <w:szCs w:val="20"/>
          <w:highlight w:val="none"/>
        </w:rPr>
      </w:pPr>
      <w:bookmarkStart w:id="1774" w:name="_Toc490331699"/>
      <w:bookmarkStart w:id="1775" w:name="_Toc497214077"/>
      <w:bookmarkStart w:id="1776" w:name="_Toc13235"/>
      <w:bookmarkStart w:id="1777" w:name="_Toc27477"/>
      <w:r>
        <w:rPr>
          <w:rFonts w:ascii="宋体" w:hAnsi="宋体" w:cs="宋体"/>
          <w:color w:val="auto"/>
          <w:sz w:val="28"/>
          <w:szCs w:val="20"/>
          <w:highlight w:val="none"/>
        </w:rPr>
        <w:t>11.</w:t>
      </w:r>
      <w:r>
        <w:rPr>
          <w:rFonts w:hint="eastAsia" w:ascii="宋体" w:hAnsi="宋体" w:cs="宋体"/>
          <w:color w:val="auto"/>
          <w:sz w:val="28"/>
          <w:szCs w:val="20"/>
          <w:highlight w:val="none"/>
        </w:rPr>
        <w:t>开工和竣工</w:t>
      </w:r>
      <w:bookmarkEnd w:id="1771"/>
      <w:bookmarkEnd w:id="1772"/>
      <w:bookmarkEnd w:id="1773"/>
      <w:bookmarkEnd w:id="1774"/>
      <w:bookmarkEnd w:id="1775"/>
      <w:bookmarkEnd w:id="1776"/>
      <w:bookmarkEnd w:id="1777"/>
    </w:p>
    <w:p w14:paraId="258FE364">
      <w:pPr>
        <w:keepNext/>
        <w:keepLines/>
        <w:spacing w:before="120" w:beforeLines="50" w:after="120" w:afterLines="50" w:line="360" w:lineRule="auto"/>
        <w:outlineLvl w:val="2"/>
        <w:rPr>
          <w:rFonts w:ascii="宋体" w:hAnsi="宋体"/>
          <w:color w:val="auto"/>
          <w:kern w:val="0"/>
          <w:sz w:val="24"/>
          <w:szCs w:val="20"/>
          <w:highlight w:val="none"/>
        </w:rPr>
      </w:pPr>
      <w:bookmarkStart w:id="1778" w:name="_Toc27466"/>
      <w:bookmarkStart w:id="1779" w:name="_Toc497214078"/>
      <w:bookmarkStart w:id="1780" w:name="_Toc489280215"/>
      <w:bookmarkStart w:id="1781" w:name="_Toc486580409"/>
      <w:bookmarkStart w:id="1782" w:name="_Toc17753"/>
      <w:bookmarkStart w:id="1783" w:name="_Toc490331700"/>
      <w:bookmarkStart w:id="1784" w:name="_Toc485323183"/>
      <w:r>
        <w:rPr>
          <w:rFonts w:ascii="宋体" w:hAnsi="宋体"/>
          <w:color w:val="auto"/>
          <w:kern w:val="0"/>
          <w:sz w:val="24"/>
          <w:szCs w:val="20"/>
          <w:highlight w:val="none"/>
        </w:rPr>
        <w:t xml:space="preserve">11.3  </w:t>
      </w:r>
      <w:r>
        <w:rPr>
          <w:rFonts w:hint="eastAsia" w:ascii="宋体" w:hAnsi="宋体"/>
          <w:color w:val="auto"/>
          <w:kern w:val="0"/>
          <w:sz w:val="24"/>
          <w:szCs w:val="20"/>
          <w:highlight w:val="none"/>
        </w:rPr>
        <w:t>发包人的工期延误</w:t>
      </w:r>
      <w:bookmarkEnd w:id="1778"/>
      <w:bookmarkEnd w:id="1779"/>
      <w:bookmarkEnd w:id="1780"/>
      <w:bookmarkEnd w:id="1781"/>
      <w:bookmarkEnd w:id="1782"/>
      <w:bookmarkEnd w:id="1783"/>
      <w:bookmarkEnd w:id="1784"/>
    </w:p>
    <w:p w14:paraId="60E3EE89">
      <w:pPr>
        <w:wordWrap w:val="0"/>
        <w:spacing w:line="360" w:lineRule="auto"/>
        <w:ind w:left="420" w:leftChars="200"/>
        <w:rPr>
          <w:rFonts w:ascii="宋体"/>
          <w:color w:val="auto"/>
          <w:kern w:val="0"/>
          <w:szCs w:val="21"/>
          <w:highlight w:val="none"/>
        </w:rPr>
      </w:pPr>
      <w:bookmarkStart w:id="1785" w:name="_Toc489280216"/>
      <w:bookmarkStart w:id="1786" w:name="_Toc485323184"/>
      <w:bookmarkStart w:id="1787" w:name="_Toc486580410"/>
      <w:r>
        <w:rPr>
          <w:rFonts w:hint="eastAsia" w:ascii="宋体" w:hAnsi="宋体"/>
          <w:color w:val="auto"/>
          <w:kern w:val="0"/>
          <w:szCs w:val="21"/>
          <w:highlight w:val="none"/>
        </w:rPr>
        <w:t>（</w:t>
      </w:r>
      <w:r>
        <w:rPr>
          <w:rFonts w:ascii="宋体" w:hAnsi="宋体"/>
          <w:color w:val="auto"/>
          <w:kern w:val="0"/>
          <w:szCs w:val="21"/>
          <w:highlight w:val="none"/>
        </w:rPr>
        <w:t>8</w:t>
      </w:r>
      <w:r>
        <w:rPr>
          <w:rFonts w:hint="eastAsia" w:ascii="宋体" w:hAnsi="宋体"/>
          <w:color w:val="auto"/>
          <w:kern w:val="0"/>
          <w:szCs w:val="21"/>
          <w:highlight w:val="none"/>
        </w:rPr>
        <w:t>）发包人造成工期延误的其他原因</w:t>
      </w:r>
      <w:r>
        <w:rPr>
          <w:rFonts w:hint="eastAsia" w:ascii="宋体" w:hAnsi="宋体"/>
          <w:color w:val="auto"/>
          <w:szCs w:val="21"/>
          <w:highlight w:val="none"/>
        </w:rPr>
        <w:t>：</w:t>
      </w:r>
      <w:r>
        <w:rPr>
          <w:rFonts w:hint="eastAsia" w:ascii="宋体" w:hAnsi="宋体"/>
          <w:color w:val="auto"/>
          <w:szCs w:val="21"/>
          <w:highlight w:val="none"/>
          <w:u w:val="single"/>
        </w:rPr>
        <w:t xml:space="preserve">发生关键工序上的工程量增加、设计变更所导致的工期延误并造成承包人关键线路的工期延误原因等延误承包人关键线路工作的情况。  </w:t>
      </w:r>
    </w:p>
    <w:p w14:paraId="60DC1251">
      <w:pPr>
        <w:keepNext/>
        <w:keepLines/>
        <w:spacing w:before="120" w:beforeLines="50" w:after="120" w:afterLines="50" w:line="360" w:lineRule="auto"/>
        <w:outlineLvl w:val="2"/>
        <w:rPr>
          <w:rFonts w:ascii="宋体" w:hAnsi="宋体"/>
          <w:color w:val="auto"/>
          <w:kern w:val="0"/>
          <w:sz w:val="24"/>
          <w:szCs w:val="20"/>
          <w:highlight w:val="none"/>
        </w:rPr>
      </w:pPr>
      <w:bookmarkStart w:id="1788" w:name="_Toc497214079"/>
      <w:bookmarkStart w:id="1789" w:name="_Toc25335"/>
      <w:bookmarkStart w:id="1790" w:name="_Toc21919"/>
      <w:bookmarkStart w:id="1791" w:name="_Toc490331701"/>
      <w:r>
        <w:rPr>
          <w:rFonts w:ascii="宋体" w:hAnsi="宋体"/>
          <w:color w:val="auto"/>
          <w:kern w:val="0"/>
          <w:sz w:val="24"/>
          <w:szCs w:val="20"/>
          <w:highlight w:val="none"/>
        </w:rPr>
        <w:t xml:space="preserve">11.4  </w:t>
      </w:r>
      <w:r>
        <w:rPr>
          <w:rFonts w:hint="eastAsia" w:ascii="宋体" w:hAnsi="宋体"/>
          <w:color w:val="auto"/>
          <w:kern w:val="0"/>
          <w:sz w:val="24"/>
          <w:szCs w:val="20"/>
          <w:highlight w:val="none"/>
        </w:rPr>
        <w:t>异常恶劣的气候条件</w:t>
      </w:r>
      <w:bookmarkEnd w:id="1785"/>
      <w:bookmarkEnd w:id="1786"/>
      <w:bookmarkEnd w:id="1787"/>
      <w:bookmarkEnd w:id="1788"/>
      <w:bookmarkEnd w:id="1789"/>
      <w:bookmarkEnd w:id="1790"/>
      <w:bookmarkEnd w:id="1791"/>
    </w:p>
    <w:p w14:paraId="42508006">
      <w:pPr>
        <w:wordWrap w:val="0"/>
        <w:spacing w:line="360" w:lineRule="auto"/>
        <w:ind w:left="420" w:leftChars="200"/>
        <w:rPr>
          <w:rFonts w:ascii="宋体"/>
          <w:color w:val="auto"/>
          <w:kern w:val="0"/>
          <w:szCs w:val="21"/>
          <w:highlight w:val="none"/>
        </w:rPr>
      </w:pPr>
      <w:bookmarkStart w:id="1792" w:name="_Toc485323185"/>
      <w:bookmarkStart w:id="1793" w:name="_Toc486580411"/>
      <w:bookmarkStart w:id="1794" w:name="_Toc489280217"/>
      <w:r>
        <w:rPr>
          <w:rFonts w:hint="eastAsia" w:ascii="宋体" w:hAnsi="宋体"/>
          <w:color w:val="auto"/>
          <w:kern w:val="0"/>
          <w:szCs w:val="21"/>
          <w:highlight w:val="none"/>
        </w:rPr>
        <w:t>异常恶劣的气候条件的范围和标准</w:t>
      </w:r>
      <w:r>
        <w:rPr>
          <w:rFonts w:hint="eastAsia" w:ascii="宋体" w:hAnsi="宋体"/>
          <w:color w:val="auto"/>
          <w:szCs w:val="21"/>
          <w:highlight w:val="none"/>
        </w:rPr>
        <w:t>：</w:t>
      </w:r>
      <w:r>
        <w:rPr>
          <w:rFonts w:hint="eastAsia" w:ascii="宋体" w:hAnsi="宋体"/>
          <w:color w:val="auto"/>
          <w:szCs w:val="21"/>
          <w:highlight w:val="none"/>
          <w:u w:val="single"/>
        </w:rPr>
        <w:t xml:space="preserve">   20年一遇的最大降水(雪)量、最高温度45℃、最低温-30℃ 。     </w:t>
      </w:r>
    </w:p>
    <w:p w14:paraId="13A06AF8">
      <w:pPr>
        <w:keepNext/>
        <w:keepLines/>
        <w:spacing w:before="120" w:beforeLines="50" w:after="120" w:afterLines="50" w:line="360" w:lineRule="auto"/>
        <w:outlineLvl w:val="2"/>
        <w:rPr>
          <w:rFonts w:ascii="宋体" w:hAnsi="宋体"/>
          <w:color w:val="auto"/>
          <w:kern w:val="0"/>
          <w:sz w:val="24"/>
          <w:szCs w:val="20"/>
          <w:highlight w:val="none"/>
        </w:rPr>
      </w:pPr>
      <w:bookmarkStart w:id="1795" w:name="_Toc241"/>
      <w:bookmarkStart w:id="1796" w:name="_Toc497214080"/>
      <w:bookmarkStart w:id="1797" w:name="_Toc490331702"/>
      <w:bookmarkStart w:id="1798" w:name="_Toc932"/>
      <w:r>
        <w:rPr>
          <w:rFonts w:ascii="宋体" w:hAnsi="宋体"/>
          <w:color w:val="auto"/>
          <w:kern w:val="0"/>
          <w:sz w:val="24"/>
          <w:szCs w:val="20"/>
          <w:highlight w:val="none"/>
        </w:rPr>
        <w:t xml:space="preserve">11.5  </w:t>
      </w:r>
      <w:r>
        <w:rPr>
          <w:rFonts w:hint="eastAsia" w:ascii="宋体" w:hAnsi="宋体"/>
          <w:color w:val="auto"/>
          <w:kern w:val="0"/>
          <w:sz w:val="24"/>
          <w:szCs w:val="20"/>
          <w:highlight w:val="none"/>
        </w:rPr>
        <w:t>承包人的工期延误</w:t>
      </w:r>
      <w:bookmarkEnd w:id="1792"/>
      <w:bookmarkEnd w:id="1793"/>
      <w:bookmarkEnd w:id="1794"/>
      <w:bookmarkEnd w:id="1795"/>
      <w:bookmarkEnd w:id="1796"/>
      <w:bookmarkEnd w:id="1797"/>
      <w:bookmarkEnd w:id="1798"/>
    </w:p>
    <w:p w14:paraId="0C457CA0">
      <w:pPr>
        <w:wordWrap w:val="0"/>
        <w:spacing w:line="360" w:lineRule="auto"/>
        <w:ind w:left="420" w:leftChars="200"/>
        <w:rPr>
          <w:rFonts w:ascii="宋体"/>
          <w:color w:val="auto"/>
          <w:kern w:val="0"/>
          <w:szCs w:val="21"/>
          <w:highlight w:val="none"/>
        </w:rPr>
      </w:pPr>
      <w:bookmarkStart w:id="1799" w:name="_Toc485323186"/>
      <w:bookmarkStart w:id="1800" w:name="_Toc486580412"/>
      <w:bookmarkStart w:id="1801" w:name="_Toc489280218"/>
      <w:r>
        <w:rPr>
          <w:rFonts w:ascii="宋体" w:hAnsi="宋体"/>
          <w:color w:val="auto"/>
          <w:szCs w:val="21"/>
          <w:highlight w:val="none"/>
        </w:rPr>
        <w:t>11.5.</w:t>
      </w:r>
      <w:r>
        <w:rPr>
          <w:rFonts w:hint="eastAsia" w:ascii="宋体" w:hAnsi="宋体"/>
          <w:color w:val="auto"/>
          <w:szCs w:val="21"/>
          <w:highlight w:val="none"/>
        </w:rPr>
        <w:t>2</w:t>
      </w:r>
      <w:r>
        <w:rPr>
          <w:rFonts w:ascii="宋体" w:hAnsi="宋体"/>
          <w:color w:val="auto"/>
          <w:kern w:val="0"/>
          <w:szCs w:val="21"/>
          <w:highlight w:val="none"/>
        </w:rPr>
        <w:t xml:space="preserve">  </w:t>
      </w:r>
      <w:r>
        <w:rPr>
          <w:rFonts w:hAnsi="宋体"/>
          <w:color w:val="auto"/>
          <w:szCs w:val="21"/>
          <w:highlight w:val="none"/>
        </w:rPr>
        <w:t>逾期竣工违约金的计算标准和计算方法：</w:t>
      </w:r>
      <w:r>
        <w:rPr>
          <w:rFonts w:hint="eastAsia" w:hAnsi="宋体"/>
          <w:color w:val="auto"/>
          <w:szCs w:val="21"/>
          <w:highlight w:val="none"/>
          <w:u w:val="single"/>
        </w:rPr>
        <w:t>工期每延误一天，承包人应当向发包人赔偿结算造价万分之二的工期违约金，不足一天按一天计；计算方法：延误工期日历天*结算造价*万分之二</w:t>
      </w:r>
      <w:r>
        <w:rPr>
          <w:rFonts w:hAnsi="宋体"/>
          <w:color w:val="auto"/>
          <w:szCs w:val="21"/>
          <w:highlight w:val="none"/>
          <w:u w:val="single"/>
        </w:rPr>
        <w:t>。</w:t>
      </w:r>
    </w:p>
    <w:p w14:paraId="6D2FBE7C">
      <w:pPr>
        <w:wordWrap w:val="0"/>
        <w:spacing w:line="360" w:lineRule="auto"/>
        <w:ind w:left="420" w:leftChars="200"/>
        <w:rPr>
          <w:rFonts w:ascii="宋体"/>
          <w:color w:val="auto"/>
          <w:kern w:val="0"/>
          <w:szCs w:val="21"/>
          <w:highlight w:val="none"/>
        </w:rPr>
      </w:pPr>
      <w:r>
        <w:rPr>
          <w:rFonts w:hint="eastAsia" w:ascii="宋体" w:hAnsi="宋体"/>
          <w:color w:val="auto"/>
          <w:kern w:val="0"/>
          <w:szCs w:val="21"/>
          <w:highlight w:val="none"/>
        </w:rPr>
        <w:t>逾期竣工违约金最高限额</w:t>
      </w:r>
      <w:r>
        <w:rPr>
          <w:rFonts w:hint="eastAsia" w:ascii="宋体" w:hAnsi="宋体"/>
          <w:color w:val="auto"/>
          <w:szCs w:val="21"/>
          <w:highlight w:val="none"/>
        </w:rPr>
        <w:t>：</w:t>
      </w:r>
      <w:r>
        <w:rPr>
          <w:rFonts w:hint="eastAsia" w:ascii="宋体" w:hAnsi="宋体"/>
          <w:color w:val="auto"/>
          <w:szCs w:val="21"/>
          <w:highlight w:val="none"/>
          <w:u w:val="single"/>
        </w:rPr>
        <w:t xml:space="preserve">  </w:t>
      </w:r>
      <w:r>
        <w:rPr>
          <w:rFonts w:hint="eastAsia" w:hAnsi="宋体"/>
          <w:color w:val="auto"/>
          <w:szCs w:val="21"/>
          <w:highlight w:val="none"/>
          <w:u w:val="single"/>
        </w:rPr>
        <w:t>合同价款的3％</w:t>
      </w:r>
      <w:r>
        <w:rPr>
          <w:rFonts w:hAnsi="宋体"/>
          <w:color w:val="auto"/>
          <w:szCs w:val="21"/>
          <w:highlight w:val="none"/>
          <w:u w:val="single"/>
        </w:rPr>
        <w:t xml:space="preserve"> </w:t>
      </w:r>
      <w:r>
        <w:rPr>
          <w:rFonts w:hint="eastAsia" w:hAnsi="宋体"/>
          <w:color w:val="auto"/>
          <w:szCs w:val="21"/>
          <w:highlight w:val="none"/>
          <w:u w:val="single"/>
        </w:rPr>
        <w:t>。</w:t>
      </w:r>
      <w:r>
        <w:rPr>
          <w:rFonts w:hint="eastAsia" w:ascii="宋体" w:hAnsi="宋体"/>
          <w:color w:val="auto"/>
          <w:szCs w:val="21"/>
          <w:highlight w:val="none"/>
          <w:u w:val="single"/>
        </w:rPr>
        <w:t xml:space="preserve"> </w:t>
      </w:r>
    </w:p>
    <w:p w14:paraId="14E58842">
      <w:pPr>
        <w:keepNext/>
        <w:keepLines/>
        <w:spacing w:before="120" w:beforeLines="50" w:after="120" w:afterLines="50" w:line="360" w:lineRule="auto"/>
        <w:outlineLvl w:val="2"/>
        <w:rPr>
          <w:rFonts w:ascii="宋体" w:hAnsi="宋体"/>
          <w:color w:val="auto"/>
          <w:kern w:val="0"/>
          <w:sz w:val="24"/>
          <w:szCs w:val="20"/>
          <w:highlight w:val="none"/>
        </w:rPr>
      </w:pPr>
      <w:bookmarkStart w:id="1802" w:name="_Toc1339"/>
      <w:bookmarkStart w:id="1803" w:name="_Toc490331703"/>
      <w:bookmarkStart w:id="1804" w:name="_Toc11996"/>
      <w:bookmarkStart w:id="1805" w:name="_Toc497214081"/>
      <w:r>
        <w:rPr>
          <w:rFonts w:ascii="宋体" w:hAnsi="宋体"/>
          <w:color w:val="auto"/>
          <w:kern w:val="0"/>
          <w:sz w:val="24"/>
          <w:szCs w:val="20"/>
          <w:highlight w:val="none"/>
        </w:rPr>
        <w:t xml:space="preserve">11.6  </w:t>
      </w:r>
      <w:r>
        <w:rPr>
          <w:rFonts w:hint="eastAsia" w:ascii="宋体" w:hAnsi="宋体"/>
          <w:color w:val="auto"/>
          <w:kern w:val="0"/>
          <w:sz w:val="24"/>
          <w:szCs w:val="20"/>
          <w:highlight w:val="none"/>
        </w:rPr>
        <w:t>工期提前</w:t>
      </w:r>
      <w:bookmarkEnd w:id="1799"/>
      <w:bookmarkEnd w:id="1800"/>
      <w:bookmarkEnd w:id="1801"/>
      <w:bookmarkEnd w:id="1802"/>
      <w:bookmarkEnd w:id="1803"/>
      <w:bookmarkEnd w:id="1804"/>
      <w:bookmarkEnd w:id="1805"/>
    </w:p>
    <w:p w14:paraId="3AB6F21C">
      <w:pPr>
        <w:wordWrap w:val="0"/>
        <w:spacing w:line="360" w:lineRule="auto"/>
        <w:ind w:left="420" w:leftChars="200"/>
        <w:rPr>
          <w:rFonts w:ascii="宋体"/>
          <w:color w:val="auto"/>
          <w:kern w:val="0"/>
          <w:szCs w:val="21"/>
          <w:highlight w:val="none"/>
        </w:rPr>
      </w:pPr>
      <w:bookmarkStart w:id="1806" w:name="_Toc486580413"/>
      <w:bookmarkStart w:id="1807" w:name="_Toc485323187"/>
      <w:bookmarkStart w:id="1808" w:name="_Toc489280219"/>
      <w:r>
        <w:rPr>
          <w:rFonts w:hint="eastAsia" w:ascii="宋体" w:hAnsi="宋体"/>
          <w:color w:val="auto"/>
          <w:kern w:val="0"/>
          <w:szCs w:val="21"/>
          <w:highlight w:val="none"/>
        </w:rPr>
        <w:t>提前竣工的奖励办法</w:t>
      </w:r>
      <w:r>
        <w:rPr>
          <w:rFonts w:hint="eastAsia" w:ascii="宋体" w:hAnsi="宋体"/>
          <w:color w:val="auto"/>
          <w:szCs w:val="21"/>
          <w:highlight w:val="none"/>
        </w:rPr>
        <w:t>：</w:t>
      </w:r>
      <w:r>
        <w:rPr>
          <w:rFonts w:hint="eastAsia" w:ascii="宋体" w:hAnsi="宋体"/>
          <w:color w:val="auto"/>
          <w:szCs w:val="21"/>
          <w:highlight w:val="none"/>
          <w:u w:val="single"/>
        </w:rPr>
        <w:t xml:space="preserve">  /                  </w:t>
      </w:r>
    </w:p>
    <w:p w14:paraId="755CECAA">
      <w:pPr>
        <w:keepNext/>
        <w:keepLines/>
        <w:spacing w:before="120" w:beforeLines="50" w:after="120" w:afterLines="50" w:line="360" w:lineRule="auto"/>
        <w:outlineLvl w:val="1"/>
        <w:rPr>
          <w:rFonts w:ascii="宋体" w:hAnsi="宋体" w:cs="宋体"/>
          <w:color w:val="auto"/>
          <w:sz w:val="28"/>
          <w:szCs w:val="20"/>
          <w:highlight w:val="none"/>
        </w:rPr>
      </w:pPr>
      <w:bookmarkStart w:id="1809" w:name="_Toc30637"/>
      <w:bookmarkStart w:id="1810" w:name="_Toc497214082"/>
      <w:bookmarkStart w:id="1811" w:name="_Toc490331704"/>
      <w:bookmarkStart w:id="1812" w:name="_Toc22026"/>
      <w:r>
        <w:rPr>
          <w:rFonts w:ascii="宋体" w:hAnsi="宋体" w:cs="宋体"/>
          <w:color w:val="auto"/>
          <w:sz w:val="28"/>
          <w:szCs w:val="20"/>
          <w:highlight w:val="none"/>
        </w:rPr>
        <w:t>12.</w:t>
      </w:r>
      <w:r>
        <w:rPr>
          <w:rFonts w:hint="eastAsia" w:ascii="宋体" w:hAnsi="宋体" w:cs="宋体"/>
          <w:color w:val="auto"/>
          <w:sz w:val="28"/>
          <w:szCs w:val="20"/>
          <w:highlight w:val="none"/>
        </w:rPr>
        <w:t>暂停施工</w:t>
      </w:r>
      <w:bookmarkEnd w:id="1806"/>
      <w:bookmarkEnd w:id="1807"/>
      <w:bookmarkEnd w:id="1808"/>
      <w:bookmarkEnd w:id="1809"/>
      <w:bookmarkEnd w:id="1810"/>
      <w:bookmarkEnd w:id="1811"/>
      <w:bookmarkEnd w:id="1812"/>
    </w:p>
    <w:p w14:paraId="4D82E05D">
      <w:pPr>
        <w:keepNext/>
        <w:keepLines/>
        <w:spacing w:before="120" w:beforeLines="50" w:after="120" w:afterLines="50" w:line="360" w:lineRule="auto"/>
        <w:outlineLvl w:val="2"/>
        <w:rPr>
          <w:rFonts w:ascii="宋体" w:hAnsi="宋体"/>
          <w:color w:val="auto"/>
          <w:kern w:val="0"/>
          <w:sz w:val="24"/>
          <w:szCs w:val="20"/>
          <w:highlight w:val="none"/>
        </w:rPr>
      </w:pPr>
      <w:bookmarkStart w:id="1813" w:name="_Toc489280220"/>
      <w:bookmarkStart w:id="1814" w:name="_Toc485323188"/>
      <w:bookmarkStart w:id="1815" w:name="_Toc14666"/>
      <w:bookmarkStart w:id="1816" w:name="_Toc486580414"/>
      <w:bookmarkStart w:id="1817" w:name="_Toc7620"/>
      <w:bookmarkStart w:id="1818" w:name="_Toc490331705"/>
      <w:bookmarkStart w:id="1819" w:name="_Toc497214083"/>
      <w:r>
        <w:rPr>
          <w:rFonts w:ascii="宋体" w:hAnsi="宋体"/>
          <w:color w:val="auto"/>
          <w:kern w:val="0"/>
          <w:sz w:val="24"/>
          <w:szCs w:val="20"/>
          <w:highlight w:val="none"/>
        </w:rPr>
        <w:t xml:space="preserve">12.1  </w:t>
      </w:r>
      <w:r>
        <w:rPr>
          <w:rFonts w:hint="eastAsia" w:ascii="宋体" w:hAnsi="宋体"/>
          <w:color w:val="auto"/>
          <w:kern w:val="0"/>
          <w:sz w:val="24"/>
          <w:szCs w:val="20"/>
          <w:highlight w:val="none"/>
        </w:rPr>
        <w:t>承包人暂停施工的责任</w:t>
      </w:r>
      <w:bookmarkEnd w:id="1813"/>
      <w:bookmarkEnd w:id="1814"/>
      <w:bookmarkEnd w:id="1815"/>
      <w:bookmarkEnd w:id="1816"/>
      <w:bookmarkEnd w:id="1817"/>
      <w:bookmarkEnd w:id="1818"/>
      <w:bookmarkEnd w:id="1819"/>
    </w:p>
    <w:p w14:paraId="5170A211">
      <w:pPr>
        <w:wordWrap w:val="0"/>
        <w:spacing w:line="360" w:lineRule="auto"/>
        <w:ind w:left="420" w:leftChars="200"/>
        <w:rPr>
          <w:rFonts w:ascii="宋体"/>
          <w:color w:val="auto"/>
          <w:kern w:val="0"/>
          <w:szCs w:val="21"/>
          <w:highlight w:val="none"/>
        </w:rPr>
      </w:pPr>
      <w:bookmarkStart w:id="1820" w:name="_Toc489280221"/>
      <w:bookmarkStart w:id="1821" w:name="_Toc485323189"/>
      <w:bookmarkStart w:id="1822" w:name="_Toc486580415"/>
      <w:r>
        <w:rPr>
          <w:rFonts w:hint="eastAsia" w:ascii="宋体" w:hAnsi="宋体"/>
          <w:color w:val="auto"/>
          <w:kern w:val="0"/>
          <w:szCs w:val="21"/>
          <w:highlight w:val="none"/>
        </w:rPr>
        <w:t>（</w:t>
      </w:r>
      <w:r>
        <w:rPr>
          <w:rFonts w:ascii="宋体" w:hAnsi="宋体"/>
          <w:color w:val="auto"/>
          <w:kern w:val="0"/>
          <w:szCs w:val="21"/>
          <w:highlight w:val="none"/>
        </w:rPr>
        <w:t>4</w:t>
      </w:r>
      <w:r>
        <w:rPr>
          <w:rFonts w:hint="eastAsia" w:ascii="宋体" w:hAnsi="宋体"/>
          <w:color w:val="auto"/>
          <w:kern w:val="0"/>
          <w:szCs w:val="21"/>
          <w:highlight w:val="none"/>
        </w:rPr>
        <w:t>）承包人承担暂停施工责任的其他情形</w:t>
      </w:r>
      <w:r>
        <w:rPr>
          <w:rFonts w:hint="eastAsia" w:ascii="宋体" w:hAnsi="宋体"/>
          <w:color w:val="auto"/>
          <w:szCs w:val="21"/>
          <w:highlight w:val="none"/>
        </w:rPr>
        <w:t>：</w:t>
      </w:r>
      <w:r>
        <w:rPr>
          <w:rFonts w:hint="eastAsia" w:ascii="宋体" w:hAnsi="宋体"/>
          <w:color w:val="auto"/>
          <w:szCs w:val="21"/>
          <w:highlight w:val="none"/>
          <w:u w:val="single"/>
        </w:rPr>
        <w:t xml:space="preserve">  节假日（包括但不限于如春节、五一、国庆、元旦、清明、中秋、周末假等）、高考、中考、农忙、政府因素、各种会议及比赛影响、未构成不可抗力的疫情的影响、道路管制、现场工作面、场地条件、地质情况、施工难度、与相关单位施工配合等，承包人已将上述原因导致的工程暂停影响在投标报价阶段予以了充分考虑。 </w:t>
      </w:r>
    </w:p>
    <w:p w14:paraId="2814C475">
      <w:pPr>
        <w:keepNext/>
        <w:keepLines/>
        <w:spacing w:before="120" w:beforeLines="50" w:after="120" w:afterLines="50" w:line="360" w:lineRule="auto"/>
        <w:outlineLvl w:val="1"/>
        <w:rPr>
          <w:rFonts w:ascii="宋体" w:hAnsi="宋体" w:cs="宋体"/>
          <w:color w:val="auto"/>
          <w:sz w:val="28"/>
          <w:szCs w:val="20"/>
          <w:highlight w:val="none"/>
        </w:rPr>
      </w:pPr>
      <w:bookmarkStart w:id="1823" w:name="_Toc497214084"/>
      <w:bookmarkStart w:id="1824" w:name="_Toc18960"/>
      <w:bookmarkStart w:id="1825" w:name="_Toc628"/>
      <w:bookmarkStart w:id="1826" w:name="_Toc490331706"/>
      <w:r>
        <w:rPr>
          <w:rFonts w:ascii="宋体" w:hAnsi="宋体" w:cs="宋体"/>
          <w:color w:val="auto"/>
          <w:sz w:val="28"/>
          <w:szCs w:val="20"/>
          <w:highlight w:val="none"/>
        </w:rPr>
        <w:t>13.</w:t>
      </w:r>
      <w:r>
        <w:rPr>
          <w:rFonts w:hint="eastAsia" w:ascii="宋体" w:hAnsi="宋体" w:cs="宋体"/>
          <w:color w:val="auto"/>
          <w:sz w:val="28"/>
          <w:szCs w:val="20"/>
          <w:highlight w:val="none"/>
        </w:rPr>
        <w:t>工程质量</w:t>
      </w:r>
      <w:bookmarkEnd w:id="1820"/>
      <w:bookmarkEnd w:id="1821"/>
      <w:bookmarkEnd w:id="1822"/>
      <w:bookmarkEnd w:id="1823"/>
      <w:bookmarkEnd w:id="1824"/>
      <w:bookmarkEnd w:id="1825"/>
      <w:bookmarkEnd w:id="1826"/>
    </w:p>
    <w:p w14:paraId="0419EA2E">
      <w:pPr>
        <w:keepNext/>
        <w:keepLines/>
        <w:spacing w:before="120" w:beforeLines="50" w:after="120" w:afterLines="50" w:line="360" w:lineRule="auto"/>
        <w:outlineLvl w:val="2"/>
        <w:rPr>
          <w:rFonts w:ascii="宋体" w:hAnsi="宋体"/>
          <w:color w:val="auto"/>
          <w:kern w:val="0"/>
          <w:sz w:val="24"/>
          <w:szCs w:val="20"/>
          <w:highlight w:val="none"/>
        </w:rPr>
      </w:pPr>
      <w:bookmarkStart w:id="1827" w:name="_Toc497214085"/>
      <w:bookmarkStart w:id="1828" w:name="_Toc18663"/>
      <w:bookmarkStart w:id="1829" w:name="_Toc485323190"/>
      <w:bookmarkStart w:id="1830" w:name="_Toc490331707"/>
      <w:bookmarkStart w:id="1831" w:name="_Toc12899"/>
      <w:bookmarkStart w:id="1832" w:name="_Toc489280222"/>
      <w:bookmarkStart w:id="1833" w:name="_Toc486580416"/>
      <w:r>
        <w:rPr>
          <w:rFonts w:ascii="宋体" w:hAnsi="宋体"/>
          <w:color w:val="auto"/>
          <w:kern w:val="0"/>
          <w:sz w:val="24"/>
          <w:szCs w:val="20"/>
          <w:highlight w:val="none"/>
        </w:rPr>
        <w:t xml:space="preserve">13.2  </w:t>
      </w:r>
      <w:r>
        <w:rPr>
          <w:rFonts w:hint="eastAsia" w:ascii="宋体" w:hAnsi="宋体"/>
          <w:color w:val="auto"/>
          <w:kern w:val="0"/>
          <w:sz w:val="24"/>
          <w:szCs w:val="20"/>
          <w:highlight w:val="none"/>
        </w:rPr>
        <w:t>承包人的质量管理</w:t>
      </w:r>
      <w:bookmarkEnd w:id="1827"/>
      <w:bookmarkEnd w:id="1828"/>
      <w:bookmarkEnd w:id="1829"/>
      <w:bookmarkEnd w:id="1830"/>
      <w:bookmarkEnd w:id="1831"/>
      <w:bookmarkEnd w:id="1832"/>
      <w:bookmarkEnd w:id="1833"/>
    </w:p>
    <w:p w14:paraId="7B1691A4">
      <w:pPr>
        <w:spacing w:line="360" w:lineRule="auto"/>
        <w:ind w:firstLine="420" w:firstLineChars="200"/>
        <w:rPr>
          <w:rFonts w:ascii="宋体" w:cs="Arial"/>
          <w:color w:val="auto"/>
          <w:highlight w:val="none"/>
        </w:rPr>
      </w:pPr>
      <w:r>
        <w:rPr>
          <w:rFonts w:ascii="宋体" w:hAnsi="宋体"/>
          <w:color w:val="auto"/>
          <w:szCs w:val="21"/>
          <w:highlight w:val="none"/>
        </w:rPr>
        <w:t>13</w:t>
      </w:r>
      <w:r>
        <w:rPr>
          <w:rFonts w:ascii="宋体"/>
          <w:color w:val="auto"/>
          <w:szCs w:val="21"/>
          <w:highlight w:val="none"/>
        </w:rPr>
        <w:t>.</w:t>
      </w:r>
      <w:r>
        <w:rPr>
          <w:rFonts w:ascii="宋体" w:hAnsi="宋体"/>
          <w:color w:val="auto"/>
          <w:szCs w:val="21"/>
          <w:highlight w:val="none"/>
        </w:rPr>
        <w:t>2</w:t>
      </w:r>
      <w:r>
        <w:rPr>
          <w:rFonts w:ascii="宋体"/>
          <w:color w:val="auto"/>
          <w:szCs w:val="21"/>
          <w:highlight w:val="none"/>
        </w:rPr>
        <w:t>.</w:t>
      </w:r>
      <w:r>
        <w:rPr>
          <w:rFonts w:ascii="宋体" w:hAnsi="宋体"/>
          <w:color w:val="auto"/>
          <w:szCs w:val="21"/>
          <w:highlight w:val="none"/>
        </w:rPr>
        <w:t xml:space="preserve">1  </w:t>
      </w:r>
      <w:r>
        <w:rPr>
          <w:rFonts w:hint="eastAsia" w:ascii="宋体" w:hAnsi="宋体"/>
          <w:color w:val="auto"/>
          <w:szCs w:val="21"/>
          <w:highlight w:val="none"/>
        </w:rPr>
        <w:t>承包人向监理人提交工程质量保证措施文件的期限：</w:t>
      </w:r>
      <w:r>
        <w:rPr>
          <w:rFonts w:hint="eastAsia" w:hAnsi="宋体"/>
          <w:color w:val="auto"/>
          <w:highlight w:val="none"/>
          <w:u w:val="single"/>
        </w:rPr>
        <w:t>签订合同后</w:t>
      </w:r>
      <w:r>
        <w:rPr>
          <w:rFonts w:hAnsi="宋体"/>
          <w:color w:val="auto"/>
          <w:highlight w:val="none"/>
          <w:u w:val="single"/>
        </w:rPr>
        <w:t>7</w:t>
      </w:r>
      <w:r>
        <w:rPr>
          <w:rFonts w:hint="eastAsia" w:hAnsi="宋体"/>
          <w:color w:val="auto"/>
          <w:highlight w:val="none"/>
          <w:u w:val="single"/>
        </w:rPr>
        <w:t>天内</w:t>
      </w:r>
      <w:r>
        <w:rPr>
          <w:rFonts w:ascii="宋体" w:hAnsi="宋体"/>
          <w:color w:val="auto"/>
          <w:szCs w:val="21"/>
          <w:highlight w:val="none"/>
          <w:u w:val="single"/>
        </w:rPr>
        <w:t xml:space="preserve">  </w:t>
      </w:r>
    </w:p>
    <w:p w14:paraId="7B58F201">
      <w:pPr>
        <w:spacing w:line="360" w:lineRule="auto"/>
        <w:ind w:firstLine="420" w:firstLineChars="200"/>
        <w:rPr>
          <w:rFonts w:ascii="宋体"/>
          <w:color w:val="auto"/>
          <w:szCs w:val="21"/>
          <w:highlight w:val="none"/>
        </w:rPr>
      </w:pPr>
      <w:r>
        <w:rPr>
          <w:rFonts w:hint="eastAsia" w:ascii="宋体" w:hAnsi="宋体"/>
          <w:color w:val="auto"/>
          <w:szCs w:val="21"/>
          <w:highlight w:val="none"/>
        </w:rPr>
        <w:t>监理人审批工程质量保证措施文件的期限：</w:t>
      </w:r>
      <w:r>
        <w:rPr>
          <w:rFonts w:ascii="宋体" w:hAnsi="宋体"/>
          <w:color w:val="auto"/>
          <w:szCs w:val="21"/>
          <w:highlight w:val="none"/>
          <w:u w:val="single"/>
        </w:rPr>
        <w:t xml:space="preserve">   7</w:t>
      </w:r>
      <w:r>
        <w:rPr>
          <w:rFonts w:hint="eastAsia" w:ascii="宋体" w:hAnsi="宋体"/>
          <w:color w:val="auto"/>
          <w:szCs w:val="21"/>
          <w:highlight w:val="none"/>
          <w:u w:val="single"/>
        </w:rPr>
        <w:t>天</w:t>
      </w:r>
      <w:r>
        <w:rPr>
          <w:rFonts w:ascii="宋体" w:hAnsi="宋体"/>
          <w:color w:val="auto"/>
          <w:szCs w:val="21"/>
          <w:highlight w:val="none"/>
          <w:u w:val="single"/>
        </w:rPr>
        <w:t xml:space="preserve">                          </w:t>
      </w:r>
    </w:p>
    <w:p w14:paraId="398891E1">
      <w:pPr>
        <w:keepNext/>
        <w:keepLines/>
        <w:spacing w:before="120" w:beforeLines="50" w:after="120" w:afterLines="50" w:line="360" w:lineRule="auto"/>
        <w:outlineLvl w:val="2"/>
        <w:rPr>
          <w:rFonts w:ascii="宋体" w:hAnsi="宋体"/>
          <w:color w:val="auto"/>
          <w:kern w:val="0"/>
          <w:sz w:val="24"/>
          <w:szCs w:val="20"/>
          <w:highlight w:val="none"/>
        </w:rPr>
      </w:pPr>
      <w:bookmarkStart w:id="1834" w:name="_Toc25308"/>
      <w:bookmarkStart w:id="1835" w:name="_Toc5052"/>
      <w:bookmarkStart w:id="1836" w:name="_Toc486580417"/>
      <w:bookmarkStart w:id="1837" w:name="_Toc485323191"/>
      <w:bookmarkStart w:id="1838" w:name="_Toc489280223"/>
      <w:bookmarkStart w:id="1839" w:name="_Toc490331708"/>
      <w:bookmarkStart w:id="1840" w:name="_Toc497214086"/>
      <w:r>
        <w:rPr>
          <w:rFonts w:ascii="宋体" w:hAnsi="宋体"/>
          <w:color w:val="auto"/>
          <w:kern w:val="0"/>
          <w:sz w:val="24"/>
          <w:szCs w:val="20"/>
          <w:highlight w:val="none"/>
        </w:rPr>
        <w:t xml:space="preserve">13.3  </w:t>
      </w:r>
      <w:r>
        <w:rPr>
          <w:rFonts w:hint="eastAsia" w:ascii="宋体" w:hAnsi="宋体"/>
          <w:color w:val="auto"/>
          <w:kern w:val="0"/>
          <w:sz w:val="24"/>
          <w:szCs w:val="20"/>
          <w:highlight w:val="none"/>
        </w:rPr>
        <w:t>承包人的质量检查</w:t>
      </w:r>
      <w:bookmarkEnd w:id="1834"/>
      <w:bookmarkEnd w:id="1835"/>
      <w:bookmarkEnd w:id="1836"/>
      <w:bookmarkEnd w:id="1837"/>
      <w:bookmarkEnd w:id="1838"/>
      <w:bookmarkEnd w:id="1839"/>
      <w:bookmarkEnd w:id="1840"/>
    </w:p>
    <w:p w14:paraId="3E6F5A70">
      <w:pPr>
        <w:spacing w:line="360" w:lineRule="auto"/>
        <w:ind w:firstLine="420" w:firstLineChars="200"/>
        <w:rPr>
          <w:rFonts w:ascii="宋体" w:cs="Arial"/>
          <w:color w:val="auto"/>
          <w:highlight w:val="none"/>
        </w:rPr>
      </w:pPr>
      <w:r>
        <w:rPr>
          <w:rFonts w:hint="eastAsia" w:ascii="宋体" w:hAnsi="宋体"/>
          <w:color w:val="auto"/>
          <w:szCs w:val="21"/>
          <w:highlight w:val="none"/>
        </w:rPr>
        <w:t>承包人向监理人报送工程质量报表的期限：</w:t>
      </w:r>
      <w:r>
        <w:rPr>
          <w:rFonts w:ascii="宋体" w:hAnsi="宋体"/>
          <w:color w:val="auto"/>
          <w:szCs w:val="21"/>
          <w:highlight w:val="none"/>
          <w:u w:val="single"/>
        </w:rPr>
        <w:t xml:space="preserve">   </w:t>
      </w:r>
      <w:r>
        <w:rPr>
          <w:rFonts w:hint="eastAsia" w:ascii="宋体" w:hAnsi="宋体"/>
          <w:color w:val="auto"/>
          <w:szCs w:val="21"/>
          <w:highlight w:val="none"/>
          <w:u w:val="single"/>
        </w:rPr>
        <w:t>质量检查前24小时内</w:t>
      </w:r>
      <w:r>
        <w:rPr>
          <w:rFonts w:ascii="宋体" w:hAnsi="宋体"/>
          <w:color w:val="auto"/>
          <w:szCs w:val="21"/>
          <w:highlight w:val="none"/>
          <w:u w:val="single"/>
        </w:rPr>
        <w:t xml:space="preserve">。               </w:t>
      </w:r>
    </w:p>
    <w:p w14:paraId="2B873755">
      <w:pPr>
        <w:spacing w:line="360" w:lineRule="auto"/>
        <w:ind w:firstLine="420" w:firstLineChars="200"/>
        <w:rPr>
          <w:rFonts w:ascii="宋体"/>
          <w:color w:val="auto"/>
          <w:szCs w:val="21"/>
          <w:highlight w:val="none"/>
        </w:rPr>
      </w:pPr>
      <w:r>
        <w:rPr>
          <w:rFonts w:hint="eastAsia" w:ascii="宋体" w:hAnsi="宋体"/>
          <w:color w:val="auto"/>
          <w:szCs w:val="21"/>
          <w:highlight w:val="none"/>
        </w:rPr>
        <w:t>承包人向监理人报送工程质量报表的要求：</w:t>
      </w:r>
      <w:r>
        <w:rPr>
          <w:rFonts w:ascii="宋体" w:hAnsi="宋体"/>
          <w:color w:val="auto"/>
          <w:szCs w:val="21"/>
          <w:highlight w:val="none"/>
          <w:u w:val="single"/>
        </w:rPr>
        <w:t xml:space="preserve">   </w:t>
      </w:r>
      <w:r>
        <w:rPr>
          <w:rFonts w:hint="eastAsia" w:ascii="宋体" w:hAnsi="宋体"/>
          <w:color w:val="auto"/>
          <w:szCs w:val="21"/>
          <w:highlight w:val="none"/>
          <w:u w:val="single"/>
        </w:rPr>
        <w:t>质量检测相关文件真实、完整</w:t>
      </w:r>
      <w:r>
        <w:rPr>
          <w:rFonts w:ascii="宋体" w:hAnsi="宋体"/>
          <w:color w:val="auto"/>
          <w:szCs w:val="21"/>
          <w:highlight w:val="none"/>
          <w:u w:val="single"/>
        </w:rPr>
        <w:t xml:space="preserve">。            </w:t>
      </w:r>
    </w:p>
    <w:p w14:paraId="42D702CF">
      <w:pPr>
        <w:spacing w:line="360" w:lineRule="auto"/>
        <w:ind w:firstLine="420" w:firstLineChars="200"/>
        <w:rPr>
          <w:rFonts w:ascii="宋体"/>
          <w:color w:val="auto"/>
          <w:szCs w:val="21"/>
          <w:highlight w:val="none"/>
        </w:rPr>
      </w:pPr>
      <w:r>
        <w:rPr>
          <w:rFonts w:hint="eastAsia" w:ascii="宋体" w:hAnsi="宋体"/>
          <w:color w:val="auto"/>
          <w:szCs w:val="21"/>
          <w:highlight w:val="none"/>
        </w:rPr>
        <w:t>监理人审查工程质量报表的期限：</w:t>
      </w:r>
      <w:r>
        <w:rPr>
          <w:rFonts w:ascii="宋体" w:hAnsi="宋体"/>
          <w:color w:val="auto"/>
          <w:szCs w:val="21"/>
          <w:highlight w:val="none"/>
          <w:u w:val="single"/>
        </w:rPr>
        <w:t xml:space="preserve">   </w:t>
      </w:r>
      <w:r>
        <w:rPr>
          <w:rFonts w:hint="eastAsia" w:ascii="宋体" w:hAnsi="宋体"/>
          <w:color w:val="auto"/>
          <w:szCs w:val="21"/>
          <w:highlight w:val="none"/>
          <w:u w:val="single"/>
        </w:rPr>
        <w:t>收到报表后7日内</w:t>
      </w:r>
      <w:r>
        <w:rPr>
          <w:rFonts w:ascii="宋体" w:hAnsi="宋体"/>
          <w:color w:val="auto"/>
          <w:szCs w:val="21"/>
          <w:highlight w:val="none"/>
          <w:u w:val="single"/>
        </w:rPr>
        <w:t xml:space="preserve">。                   </w:t>
      </w:r>
    </w:p>
    <w:p w14:paraId="7FBEAE20">
      <w:pPr>
        <w:keepNext/>
        <w:keepLines/>
        <w:spacing w:before="120" w:beforeLines="50" w:after="120" w:afterLines="50" w:line="360" w:lineRule="auto"/>
        <w:outlineLvl w:val="2"/>
        <w:rPr>
          <w:rFonts w:ascii="宋体" w:hAnsi="宋体"/>
          <w:color w:val="auto"/>
          <w:kern w:val="0"/>
          <w:sz w:val="24"/>
          <w:szCs w:val="20"/>
          <w:highlight w:val="none"/>
        </w:rPr>
      </w:pPr>
      <w:bookmarkStart w:id="1841" w:name="_Toc486580418"/>
      <w:bookmarkStart w:id="1842" w:name="_Toc485323192"/>
      <w:bookmarkStart w:id="1843" w:name="_Toc497214087"/>
      <w:bookmarkStart w:id="1844" w:name="_Toc8688"/>
      <w:bookmarkStart w:id="1845" w:name="_Toc489280224"/>
      <w:bookmarkStart w:id="1846" w:name="_Toc490331709"/>
      <w:bookmarkStart w:id="1847" w:name="_Toc11391"/>
      <w:r>
        <w:rPr>
          <w:rFonts w:ascii="宋体" w:hAnsi="宋体"/>
          <w:color w:val="auto"/>
          <w:kern w:val="0"/>
          <w:sz w:val="24"/>
          <w:szCs w:val="20"/>
          <w:highlight w:val="none"/>
        </w:rPr>
        <w:t xml:space="preserve">13.4  </w:t>
      </w:r>
      <w:r>
        <w:rPr>
          <w:rFonts w:hint="eastAsia" w:ascii="宋体" w:hAnsi="宋体"/>
          <w:color w:val="auto"/>
          <w:kern w:val="0"/>
          <w:sz w:val="24"/>
          <w:szCs w:val="20"/>
          <w:highlight w:val="none"/>
        </w:rPr>
        <w:t>监理人的质量检查</w:t>
      </w:r>
      <w:bookmarkEnd w:id="1841"/>
      <w:bookmarkEnd w:id="1842"/>
      <w:bookmarkEnd w:id="1843"/>
      <w:bookmarkEnd w:id="1844"/>
      <w:bookmarkEnd w:id="1845"/>
      <w:bookmarkEnd w:id="1846"/>
      <w:bookmarkEnd w:id="1847"/>
    </w:p>
    <w:p w14:paraId="7FE8BF77">
      <w:pPr>
        <w:spacing w:line="360" w:lineRule="auto"/>
        <w:ind w:firstLine="420" w:firstLineChars="200"/>
        <w:rPr>
          <w:rFonts w:ascii="宋体"/>
          <w:color w:val="auto"/>
          <w:szCs w:val="21"/>
          <w:highlight w:val="none"/>
        </w:rPr>
      </w:pPr>
      <w:r>
        <w:rPr>
          <w:rFonts w:hint="eastAsia" w:ascii="宋体" w:hAnsi="宋体"/>
          <w:color w:val="auto"/>
          <w:szCs w:val="21"/>
          <w:highlight w:val="none"/>
        </w:rPr>
        <w:t>承包人应当为监理人的检查和检验提供方便，监理人可以进行察看和查阅施工原始记录的其他地方包括：</w:t>
      </w:r>
      <w:r>
        <w:rPr>
          <w:rFonts w:ascii="宋体" w:hAnsi="宋体"/>
          <w:color w:val="auto"/>
          <w:szCs w:val="21"/>
          <w:highlight w:val="none"/>
          <w:u w:val="single"/>
        </w:rPr>
        <w:t xml:space="preserve">     /                                                    </w:t>
      </w:r>
    </w:p>
    <w:p w14:paraId="6E706E67">
      <w:pPr>
        <w:keepNext/>
        <w:keepLines/>
        <w:spacing w:before="120" w:beforeLines="50" w:after="120" w:afterLines="50" w:line="360" w:lineRule="auto"/>
        <w:outlineLvl w:val="2"/>
        <w:rPr>
          <w:rFonts w:ascii="宋体" w:hAnsi="宋体"/>
          <w:color w:val="auto"/>
          <w:kern w:val="0"/>
          <w:sz w:val="24"/>
          <w:szCs w:val="20"/>
          <w:highlight w:val="none"/>
        </w:rPr>
      </w:pPr>
      <w:bookmarkStart w:id="1848" w:name="_Toc14400"/>
      <w:bookmarkStart w:id="1849" w:name="_Toc3976"/>
      <w:bookmarkStart w:id="1850" w:name="_Toc490331710"/>
      <w:bookmarkStart w:id="1851" w:name="_Toc485323193"/>
      <w:bookmarkStart w:id="1852" w:name="_Toc489280225"/>
      <w:bookmarkStart w:id="1853" w:name="_Toc486580419"/>
      <w:bookmarkStart w:id="1854" w:name="_Toc497214088"/>
      <w:r>
        <w:rPr>
          <w:rFonts w:ascii="宋体" w:hAnsi="宋体"/>
          <w:color w:val="auto"/>
          <w:kern w:val="0"/>
          <w:sz w:val="24"/>
          <w:szCs w:val="20"/>
          <w:highlight w:val="none"/>
        </w:rPr>
        <w:t xml:space="preserve">13.5  </w:t>
      </w:r>
      <w:r>
        <w:rPr>
          <w:rFonts w:hint="eastAsia" w:ascii="宋体" w:hAnsi="宋体"/>
          <w:color w:val="auto"/>
          <w:kern w:val="0"/>
          <w:sz w:val="24"/>
          <w:szCs w:val="20"/>
          <w:highlight w:val="none"/>
        </w:rPr>
        <w:t>工程隐蔽部位覆盖前的检查</w:t>
      </w:r>
      <w:bookmarkEnd w:id="1848"/>
      <w:bookmarkEnd w:id="1849"/>
      <w:bookmarkEnd w:id="1850"/>
      <w:bookmarkEnd w:id="1851"/>
      <w:bookmarkEnd w:id="1852"/>
      <w:bookmarkEnd w:id="1853"/>
      <w:bookmarkEnd w:id="1854"/>
    </w:p>
    <w:p w14:paraId="61FC09CE">
      <w:pPr>
        <w:spacing w:line="360" w:lineRule="auto"/>
        <w:ind w:firstLine="420" w:firstLineChars="200"/>
        <w:rPr>
          <w:rFonts w:ascii="宋体" w:cs="Arial"/>
          <w:color w:val="auto"/>
          <w:highlight w:val="none"/>
        </w:rPr>
      </w:pPr>
      <w:r>
        <w:rPr>
          <w:rFonts w:ascii="宋体" w:hAnsi="宋体"/>
          <w:color w:val="auto"/>
          <w:szCs w:val="21"/>
          <w:highlight w:val="none"/>
        </w:rPr>
        <w:t>13</w:t>
      </w:r>
      <w:r>
        <w:rPr>
          <w:rFonts w:ascii="宋体"/>
          <w:color w:val="auto"/>
          <w:szCs w:val="21"/>
          <w:highlight w:val="none"/>
        </w:rPr>
        <w:t>.</w:t>
      </w:r>
      <w:r>
        <w:rPr>
          <w:rFonts w:ascii="宋体" w:hAnsi="宋体"/>
          <w:color w:val="auto"/>
          <w:szCs w:val="21"/>
          <w:highlight w:val="none"/>
        </w:rPr>
        <w:t>5</w:t>
      </w:r>
      <w:r>
        <w:rPr>
          <w:rFonts w:ascii="宋体"/>
          <w:color w:val="auto"/>
          <w:szCs w:val="21"/>
          <w:highlight w:val="none"/>
        </w:rPr>
        <w:t>.</w:t>
      </w:r>
      <w:r>
        <w:rPr>
          <w:rFonts w:ascii="宋体" w:hAnsi="宋体"/>
          <w:color w:val="auto"/>
          <w:szCs w:val="21"/>
          <w:highlight w:val="none"/>
        </w:rPr>
        <w:t xml:space="preserve">1  </w:t>
      </w:r>
      <w:r>
        <w:rPr>
          <w:rFonts w:hint="eastAsia" w:ascii="宋体" w:hAnsi="宋体"/>
          <w:color w:val="auto"/>
          <w:szCs w:val="21"/>
          <w:highlight w:val="none"/>
        </w:rPr>
        <w:t>监理人对工程隐蔽部位进行检查的期限：</w:t>
      </w:r>
      <w:r>
        <w:rPr>
          <w:rFonts w:ascii="宋体" w:hAnsi="宋体"/>
          <w:color w:val="auto"/>
          <w:szCs w:val="21"/>
          <w:highlight w:val="none"/>
          <w:u w:val="single"/>
        </w:rPr>
        <w:t xml:space="preserve">  </w:t>
      </w:r>
      <w:r>
        <w:rPr>
          <w:rFonts w:hint="eastAsia" w:ascii="宋体" w:hAnsi="宋体"/>
          <w:color w:val="auto"/>
          <w:szCs w:val="21"/>
          <w:highlight w:val="none"/>
          <w:u w:val="single"/>
        </w:rPr>
        <w:t>收到承包人的检查通知后</w:t>
      </w:r>
      <w:r>
        <w:rPr>
          <w:rFonts w:ascii="宋体" w:hAnsi="宋体"/>
          <w:color w:val="auto"/>
          <w:szCs w:val="21"/>
          <w:highlight w:val="none"/>
          <w:u w:val="single"/>
        </w:rPr>
        <w:t>12</w:t>
      </w:r>
      <w:r>
        <w:rPr>
          <w:rFonts w:hint="eastAsia" w:ascii="宋体" w:hAnsi="宋体"/>
          <w:color w:val="auto"/>
          <w:szCs w:val="21"/>
          <w:highlight w:val="none"/>
          <w:u w:val="single"/>
        </w:rPr>
        <w:t>小时内。</w:t>
      </w:r>
      <w:r>
        <w:rPr>
          <w:rFonts w:ascii="宋体" w:hAnsi="宋体"/>
          <w:color w:val="auto"/>
          <w:szCs w:val="21"/>
          <w:highlight w:val="none"/>
          <w:u w:val="single"/>
        </w:rPr>
        <w:t xml:space="preserve">  </w:t>
      </w:r>
    </w:p>
    <w:p w14:paraId="5CBA8A57">
      <w:pPr>
        <w:keepNext/>
        <w:keepLines/>
        <w:spacing w:before="120" w:beforeLines="50" w:after="120" w:afterLines="50" w:line="360" w:lineRule="auto"/>
        <w:outlineLvl w:val="1"/>
        <w:rPr>
          <w:rFonts w:ascii="宋体" w:hAnsi="宋体" w:cs="宋体"/>
          <w:color w:val="auto"/>
          <w:sz w:val="28"/>
          <w:szCs w:val="20"/>
          <w:highlight w:val="none"/>
        </w:rPr>
      </w:pPr>
      <w:bookmarkStart w:id="1855" w:name="_Toc3440"/>
      <w:bookmarkStart w:id="1856" w:name="_Toc12629"/>
      <w:bookmarkStart w:id="1857" w:name="_Toc489280226"/>
      <w:bookmarkStart w:id="1858" w:name="_Toc490331711"/>
      <w:bookmarkStart w:id="1859" w:name="_Toc497214089"/>
      <w:bookmarkStart w:id="1860" w:name="_Toc485323194"/>
      <w:bookmarkStart w:id="1861" w:name="_Toc486580420"/>
      <w:r>
        <w:rPr>
          <w:rFonts w:ascii="宋体" w:hAnsi="宋体" w:cs="宋体"/>
          <w:color w:val="auto"/>
          <w:sz w:val="28"/>
          <w:szCs w:val="20"/>
          <w:highlight w:val="none"/>
        </w:rPr>
        <w:t>15.</w:t>
      </w:r>
      <w:r>
        <w:rPr>
          <w:rFonts w:hint="eastAsia" w:ascii="宋体" w:hAnsi="宋体" w:cs="宋体"/>
          <w:color w:val="auto"/>
          <w:sz w:val="28"/>
          <w:szCs w:val="20"/>
          <w:highlight w:val="none"/>
        </w:rPr>
        <w:t>变更</w:t>
      </w:r>
      <w:bookmarkEnd w:id="1855"/>
      <w:bookmarkEnd w:id="1856"/>
      <w:bookmarkEnd w:id="1857"/>
      <w:bookmarkEnd w:id="1858"/>
      <w:bookmarkEnd w:id="1859"/>
      <w:bookmarkEnd w:id="1860"/>
      <w:bookmarkEnd w:id="1861"/>
    </w:p>
    <w:p w14:paraId="38DA649E">
      <w:pPr>
        <w:keepNext/>
        <w:keepLines/>
        <w:spacing w:before="120" w:beforeLines="50" w:after="120" w:afterLines="50" w:line="360" w:lineRule="auto"/>
        <w:outlineLvl w:val="2"/>
        <w:rPr>
          <w:rFonts w:ascii="宋体" w:hAnsi="宋体"/>
          <w:color w:val="auto"/>
          <w:kern w:val="0"/>
          <w:sz w:val="24"/>
          <w:szCs w:val="20"/>
          <w:highlight w:val="none"/>
        </w:rPr>
      </w:pPr>
      <w:bookmarkStart w:id="1862" w:name="_Toc489280227"/>
      <w:bookmarkStart w:id="1863" w:name="_Toc486580421"/>
      <w:bookmarkStart w:id="1864" w:name="_Toc19768"/>
      <w:bookmarkStart w:id="1865" w:name="_Toc490331712"/>
      <w:bookmarkStart w:id="1866" w:name="_Toc485323195"/>
      <w:bookmarkStart w:id="1867" w:name="_Toc12954"/>
      <w:bookmarkStart w:id="1868" w:name="_Toc497214090"/>
      <w:r>
        <w:rPr>
          <w:rFonts w:ascii="宋体" w:hAnsi="宋体"/>
          <w:color w:val="auto"/>
          <w:kern w:val="0"/>
          <w:sz w:val="24"/>
          <w:szCs w:val="20"/>
          <w:highlight w:val="none"/>
        </w:rPr>
        <w:t xml:space="preserve">15.1  </w:t>
      </w:r>
      <w:r>
        <w:rPr>
          <w:rFonts w:hint="eastAsia" w:ascii="宋体" w:hAnsi="宋体"/>
          <w:color w:val="auto"/>
          <w:kern w:val="0"/>
          <w:sz w:val="24"/>
          <w:szCs w:val="20"/>
          <w:highlight w:val="none"/>
        </w:rPr>
        <w:t>变更的范围和内容</w:t>
      </w:r>
      <w:bookmarkEnd w:id="1862"/>
      <w:bookmarkEnd w:id="1863"/>
      <w:bookmarkEnd w:id="1864"/>
      <w:bookmarkEnd w:id="1865"/>
      <w:bookmarkEnd w:id="1866"/>
      <w:bookmarkEnd w:id="1867"/>
      <w:bookmarkEnd w:id="1868"/>
    </w:p>
    <w:p w14:paraId="7D89D1C7">
      <w:pPr>
        <w:spacing w:line="360" w:lineRule="auto"/>
        <w:ind w:firstLine="420" w:firstLineChars="200"/>
        <w:rPr>
          <w:rFonts w:ascii="宋体"/>
          <w:color w:val="auto"/>
          <w:highlight w:val="none"/>
        </w:rPr>
      </w:pPr>
      <w:r>
        <w:rPr>
          <w:rFonts w:ascii="宋体" w:hAnsi="宋体"/>
          <w:color w:val="auto"/>
          <w:szCs w:val="21"/>
          <w:highlight w:val="none"/>
        </w:rPr>
        <w:t>15.1.1</w:t>
      </w:r>
      <w:r>
        <w:rPr>
          <w:rFonts w:hint="eastAsia" w:ascii="宋体" w:hAnsi="宋体"/>
          <w:color w:val="auto"/>
          <w:highlight w:val="none"/>
        </w:rPr>
        <w:t>在履行合同中发生以下情形之一，应按照本条规定进行变更。</w:t>
      </w:r>
    </w:p>
    <w:p w14:paraId="7FB211B4">
      <w:pPr>
        <w:spacing w:line="360" w:lineRule="auto"/>
        <w:ind w:firstLine="420" w:firstLineChars="200"/>
        <w:rPr>
          <w:rFonts w:ascii="宋体"/>
          <w:color w:val="auto"/>
          <w:szCs w:val="21"/>
          <w:highlight w:val="none"/>
          <w:u w:val="single"/>
        </w:rPr>
      </w:pPr>
      <w:r>
        <w:rPr>
          <w:rFonts w:hint="eastAsia" w:ascii="宋体" w:hAnsi="宋体"/>
          <w:color w:val="auto"/>
          <w:szCs w:val="21"/>
          <w:highlight w:val="none"/>
        </w:rPr>
        <w:t>（</w:t>
      </w:r>
      <w:r>
        <w:rPr>
          <w:rFonts w:ascii="宋体" w:hAnsi="宋体"/>
          <w:color w:val="auto"/>
          <w:szCs w:val="21"/>
          <w:highlight w:val="none"/>
        </w:rPr>
        <w:t>6</w:t>
      </w:r>
      <w:r>
        <w:rPr>
          <w:rFonts w:hint="eastAsia" w:ascii="宋体" w:hAnsi="宋体"/>
          <w:color w:val="auto"/>
          <w:szCs w:val="21"/>
          <w:highlight w:val="none"/>
        </w:rPr>
        <w:t>）变更的其他情形：</w:t>
      </w:r>
      <w:r>
        <w:rPr>
          <w:rFonts w:ascii="宋体" w:hAnsi="宋体"/>
          <w:color w:val="auto"/>
          <w:szCs w:val="21"/>
          <w:highlight w:val="none"/>
          <w:u w:val="single"/>
        </w:rPr>
        <w:t xml:space="preserve">      /                                             </w:t>
      </w:r>
    </w:p>
    <w:p w14:paraId="427EAAAD">
      <w:pPr>
        <w:keepNext/>
        <w:keepLines/>
        <w:spacing w:before="120" w:beforeLines="50" w:after="120" w:afterLines="50" w:line="360" w:lineRule="auto"/>
        <w:outlineLvl w:val="2"/>
        <w:rPr>
          <w:rFonts w:ascii="宋体" w:hAnsi="宋体"/>
          <w:color w:val="auto"/>
          <w:kern w:val="0"/>
          <w:sz w:val="24"/>
          <w:szCs w:val="20"/>
          <w:highlight w:val="none"/>
        </w:rPr>
      </w:pPr>
      <w:bookmarkStart w:id="1869" w:name="_Toc497214091"/>
      <w:bookmarkStart w:id="1870" w:name="_Toc5573"/>
      <w:bookmarkStart w:id="1871" w:name="_Toc485323196"/>
      <w:bookmarkStart w:id="1872" w:name="_Toc490331713"/>
      <w:bookmarkStart w:id="1873" w:name="_Toc486580422"/>
      <w:bookmarkStart w:id="1874" w:name="_Toc489280228"/>
      <w:bookmarkStart w:id="1875" w:name="_Toc18298"/>
      <w:r>
        <w:rPr>
          <w:rFonts w:ascii="宋体" w:hAnsi="宋体"/>
          <w:color w:val="auto"/>
          <w:kern w:val="0"/>
          <w:sz w:val="24"/>
          <w:szCs w:val="20"/>
          <w:highlight w:val="none"/>
        </w:rPr>
        <w:t xml:space="preserve">15.3  </w:t>
      </w:r>
      <w:r>
        <w:rPr>
          <w:rFonts w:hint="eastAsia" w:ascii="宋体" w:hAnsi="宋体"/>
          <w:color w:val="auto"/>
          <w:kern w:val="0"/>
          <w:sz w:val="24"/>
          <w:szCs w:val="20"/>
          <w:highlight w:val="none"/>
        </w:rPr>
        <w:t>变更程序</w:t>
      </w:r>
      <w:bookmarkEnd w:id="1869"/>
      <w:bookmarkEnd w:id="1870"/>
      <w:bookmarkEnd w:id="1871"/>
      <w:bookmarkEnd w:id="1872"/>
      <w:bookmarkEnd w:id="1873"/>
      <w:bookmarkEnd w:id="1874"/>
      <w:bookmarkEnd w:id="1875"/>
    </w:p>
    <w:p w14:paraId="4095DE49">
      <w:pPr>
        <w:spacing w:line="360" w:lineRule="auto"/>
        <w:ind w:firstLine="420" w:firstLineChars="200"/>
        <w:rPr>
          <w:rFonts w:ascii="宋体" w:cs="Arial"/>
          <w:color w:val="auto"/>
          <w:highlight w:val="none"/>
        </w:rPr>
      </w:pPr>
      <w:r>
        <w:rPr>
          <w:rFonts w:ascii="宋体" w:hAnsi="宋体" w:cs="Arial"/>
          <w:color w:val="auto"/>
          <w:highlight w:val="none"/>
        </w:rPr>
        <w:t xml:space="preserve">15.3.2  </w:t>
      </w:r>
      <w:r>
        <w:rPr>
          <w:rFonts w:hint="eastAsia" w:ascii="宋体" w:hAnsi="宋体" w:cs="Arial"/>
          <w:color w:val="auto"/>
          <w:highlight w:val="none"/>
        </w:rPr>
        <w:t>变更估价</w:t>
      </w:r>
    </w:p>
    <w:p w14:paraId="274B0B96">
      <w:pPr>
        <w:spacing w:line="360" w:lineRule="auto"/>
        <w:ind w:firstLine="420" w:firstLineChars="200"/>
        <w:rPr>
          <w:rFonts w:asci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1</w:t>
      </w:r>
      <w:r>
        <w:rPr>
          <w:rFonts w:hint="eastAsia" w:ascii="宋体" w:hAnsi="宋体"/>
          <w:color w:val="auto"/>
          <w:szCs w:val="21"/>
          <w:highlight w:val="none"/>
        </w:rPr>
        <w:t>）承包人提交变更报价书的期限：</w:t>
      </w:r>
      <w:r>
        <w:rPr>
          <w:rFonts w:hint="eastAsia" w:hAnsi="宋体"/>
          <w:color w:val="auto"/>
          <w:szCs w:val="21"/>
          <w:highlight w:val="none"/>
          <w:u w:val="single"/>
        </w:rPr>
        <w:t>承包人收到变更指示或变更意向书后的</w:t>
      </w:r>
      <w:r>
        <w:rPr>
          <w:rFonts w:hAnsi="宋体"/>
          <w:color w:val="auto"/>
          <w:szCs w:val="21"/>
          <w:highlight w:val="none"/>
          <w:u w:val="single"/>
        </w:rPr>
        <w:t>14</w:t>
      </w:r>
      <w:r>
        <w:rPr>
          <w:rFonts w:hint="eastAsia" w:hAnsi="宋体"/>
          <w:color w:val="auto"/>
          <w:szCs w:val="21"/>
          <w:highlight w:val="none"/>
          <w:u w:val="single"/>
        </w:rPr>
        <w:t>天内</w:t>
      </w:r>
      <w:r>
        <w:rPr>
          <w:rFonts w:hint="eastAsia" w:ascii="宋体" w:hAnsi="宋体"/>
          <w:color w:val="auto"/>
          <w:szCs w:val="21"/>
          <w:highlight w:val="none"/>
        </w:rPr>
        <w:t>。</w:t>
      </w:r>
    </w:p>
    <w:p w14:paraId="3E67775E">
      <w:pPr>
        <w:spacing w:line="360" w:lineRule="auto"/>
        <w:ind w:firstLine="420" w:firstLineChars="200"/>
        <w:rPr>
          <w:rFonts w:asci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3</w:t>
      </w:r>
      <w:r>
        <w:rPr>
          <w:rFonts w:hint="eastAsia" w:ascii="宋体" w:hAnsi="宋体"/>
          <w:color w:val="auto"/>
          <w:szCs w:val="21"/>
          <w:highlight w:val="none"/>
        </w:rPr>
        <w:t>）监理人商定或确定变更价格的期限：</w:t>
      </w:r>
      <w:r>
        <w:rPr>
          <w:rFonts w:hint="eastAsia" w:ascii="宋体" w:hAnsi="宋体"/>
          <w:color w:val="auto"/>
          <w:szCs w:val="21"/>
          <w:highlight w:val="none"/>
          <w:u w:val="single"/>
        </w:rPr>
        <w:t>监理人收到承包人变更报价书后的</w:t>
      </w:r>
      <w:r>
        <w:rPr>
          <w:rFonts w:ascii="宋体" w:hAnsi="宋体"/>
          <w:color w:val="auto"/>
          <w:szCs w:val="21"/>
          <w:highlight w:val="none"/>
          <w:u w:val="single"/>
        </w:rPr>
        <w:t>14</w:t>
      </w:r>
      <w:r>
        <w:rPr>
          <w:rFonts w:hint="eastAsia" w:ascii="宋体" w:hAnsi="宋体"/>
          <w:color w:val="auto"/>
          <w:szCs w:val="21"/>
          <w:highlight w:val="none"/>
          <w:u w:val="single"/>
        </w:rPr>
        <w:t>天内。</w:t>
      </w:r>
    </w:p>
    <w:p w14:paraId="7983CDDD">
      <w:pPr>
        <w:keepNext/>
        <w:keepLines/>
        <w:spacing w:before="120" w:beforeLines="50" w:after="120" w:afterLines="50" w:line="360" w:lineRule="auto"/>
        <w:outlineLvl w:val="2"/>
        <w:rPr>
          <w:rFonts w:ascii="宋体" w:hAnsi="宋体"/>
          <w:color w:val="auto"/>
          <w:kern w:val="0"/>
          <w:sz w:val="24"/>
          <w:szCs w:val="20"/>
          <w:highlight w:val="none"/>
        </w:rPr>
      </w:pPr>
      <w:bookmarkStart w:id="1876" w:name="_Toc497214092"/>
      <w:bookmarkStart w:id="1877" w:name="_Toc4765"/>
      <w:bookmarkStart w:id="1878" w:name="_Toc490331714"/>
      <w:bookmarkStart w:id="1879" w:name="_Toc6336"/>
      <w:bookmarkStart w:id="1880" w:name="_Toc486580423"/>
      <w:bookmarkStart w:id="1881" w:name="_Toc485323197"/>
      <w:bookmarkStart w:id="1882" w:name="_Toc489280229"/>
      <w:r>
        <w:rPr>
          <w:rFonts w:ascii="宋体" w:hAnsi="宋体"/>
          <w:color w:val="auto"/>
          <w:kern w:val="0"/>
          <w:sz w:val="24"/>
          <w:szCs w:val="20"/>
          <w:highlight w:val="none"/>
        </w:rPr>
        <w:t xml:space="preserve">15.4  </w:t>
      </w:r>
      <w:r>
        <w:rPr>
          <w:rFonts w:hint="eastAsia" w:ascii="宋体" w:hAnsi="宋体"/>
          <w:color w:val="auto"/>
          <w:kern w:val="0"/>
          <w:sz w:val="24"/>
          <w:szCs w:val="20"/>
          <w:highlight w:val="none"/>
        </w:rPr>
        <w:t>变更的估价原则</w:t>
      </w:r>
      <w:bookmarkEnd w:id="1876"/>
      <w:bookmarkEnd w:id="1877"/>
      <w:bookmarkEnd w:id="1878"/>
      <w:bookmarkEnd w:id="1879"/>
      <w:bookmarkEnd w:id="1880"/>
      <w:bookmarkEnd w:id="1881"/>
      <w:bookmarkEnd w:id="1882"/>
    </w:p>
    <w:p w14:paraId="1DC2F468">
      <w:pPr>
        <w:spacing w:line="360" w:lineRule="auto"/>
        <w:ind w:firstLine="420" w:firstLineChars="200"/>
        <w:rPr>
          <w:rFonts w:ascii="宋体"/>
          <w:color w:val="auto"/>
          <w:szCs w:val="21"/>
          <w:highlight w:val="none"/>
        </w:rPr>
      </w:pPr>
      <w:r>
        <w:rPr>
          <w:rFonts w:ascii="宋体" w:hAnsi="宋体"/>
          <w:color w:val="auto"/>
          <w:szCs w:val="21"/>
          <w:highlight w:val="none"/>
        </w:rPr>
        <w:t xml:space="preserve">15.4.5  </w:t>
      </w:r>
      <w:r>
        <w:rPr>
          <w:rFonts w:hint="eastAsia" w:ascii="宋体" w:hAnsi="宋体"/>
          <w:color w:val="auto"/>
          <w:szCs w:val="21"/>
          <w:highlight w:val="none"/>
        </w:rPr>
        <w:t>合同协议书约定</w:t>
      </w:r>
      <w:r>
        <w:rPr>
          <w:rFonts w:hint="eastAsia" w:ascii="宋体" w:hAnsi="宋体"/>
          <w:color w:val="auto"/>
          <w:szCs w:val="21"/>
          <w:highlight w:val="none"/>
          <w:lang w:eastAsia="zh-CN"/>
        </w:rPr>
        <w:t>：</w:t>
      </w:r>
      <w:r>
        <w:rPr>
          <w:rFonts w:hint="eastAsia" w:ascii="宋体" w:hAnsi="宋体"/>
          <w:color w:val="auto"/>
          <w:highlight w:val="none"/>
        </w:rPr>
        <w:t>采用</w:t>
      </w:r>
      <w:r>
        <w:rPr>
          <w:rFonts w:hint="eastAsia" w:ascii="宋体" w:hAnsi="宋体"/>
          <w:color w:val="auto"/>
          <w:highlight w:val="none"/>
          <w:u w:val="none"/>
          <w:lang w:eastAsia="zh-CN"/>
        </w:rPr>
        <w:t>固定单价</w:t>
      </w:r>
      <w:r>
        <w:rPr>
          <w:rFonts w:hint="eastAsia" w:ascii="宋体" w:hAnsi="宋体"/>
          <w:color w:val="auto"/>
          <w:highlight w:val="none"/>
        </w:rPr>
        <w:t>合同形式</w:t>
      </w:r>
    </w:p>
    <w:p w14:paraId="0FA8E094">
      <w:pPr>
        <w:spacing w:line="360" w:lineRule="auto"/>
        <w:ind w:firstLine="420" w:firstLineChars="200"/>
        <w:rPr>
          <w:rFonts w:ascii="宋体"/>
          <w:color w:val="auto"/>
          <w:szCs w:val="21"/>
          <w:highlight w:val="none"/>
          <w:u w:val="single"/>
        </w:rPr>
      </w:pPr>
      <w:r>
        <w:rPr>
          <w:rFonts w:ascii="宋体" w:hAnsi="宋体"/>
          <w:color w:val="auto"/>
          <w:szCs w:val="21"/>
          <w:highlight w:val="none"/>
        </w:rPr>
        <w:t xml:space="preserve">15.4.6  </w:t>
      </w:r>
      <w:r>
        <w:rPr>
          <w:rFonts w:hint="eastAsia" w:ascii="宋体" w:hAnsi="宋体"/>
          <w:color w:val="auto"/>
          <w:szCs w:val="21"/>
          <w:highlight w:val="none"/>
        </w:rPr>
        <w:t>因变更引起价格调整的其他处理方式：</w:t>
      </w:r>
      <w:r>
        <w:rPr>
          <w:rFonts w:ascii="宋体" w:hAnsi="宋体"/>
          <w:color w:val="auto"/>
          <w:szCs w:val="21"/>
          <w:highlight w:val="none"/>
          <w:u w:val="single"/>
        </w:rPr>
        <w:t xml:space="preserve">   </w:t>
      </w:r>
      <w:r>
        <w:rPr>
          <w:rFonts w:hint="eastAsia" w:ascii="宋体" w:hAnsi="宋体"/>
          <w:color w:val="auto"/>
          <w:szCs w:val="21"/>
          <w:highlight w:val="none"/>
          <w:u w:val="single"/>
        </w:rPr>
        <w:t>/</w:t>
      </w:r>
      <w:r>
        <w:rPr>
          <w:rFonts w:ascii="宋体" w:hAnsi="宋体"/>
          <w:color w:val="auto"/>
          <w:szCs w:val="21"/>
          <w:highlight w:val="none"/>
          <w:u w:val="single"/>
        </w:rPr>
        <w:t xml:space="preserve">                           </w:t>
      </w:r>
    </w:p>
    <w:p w14:paraId="4F983D5C">
      <w:pPr>
        <w:keepNext/>
        <w:keepLines/>
        <w:spacing w:before="120" w:beforeLines="50" w:after="120" w:afterLines="50" w:line="360" w:lineRule="auto"/>
        <w:outlineLvl w:val="2"/>
        <w:rPr>
          <w:rFonts w:ascii="宋体" w:hAnsi="宋体"/>
          <w:color w:val="auto"/>
          <w:kern w:val="0"/>
          <w:sz w:val="24"/>
          <w:szCs w:val="20"/>
          <w:highlight w:val="none"/>
        </w:rPr>
      </w:pPr>
      <w:bookmarkStart w:id="1883" w:name="_Toc3594"/>
      <w:bookmarkStart w:id="1884" w:name="_Toc490331715"/>
      <w:bookmarkStart w:id="1885" w:name="_Toc486580424"/>
      <w:bookmarkStart w:id="1886" w:name="_Toc497214093"/>
      <w:bookmarkStart w:id="1887" w:name="_Toc485323198"/>
      <w:bookmarkStart w:id="1888" w:name="_Toc489280230"/>
      <w:bookmarkStart w:id="1889" w:name="_Toc10090"/>
      <w:r>
        <w:rPr>
          <w:rFonts w:ascii="宋体" w:hAnsi="宋体"/>
          <w:color w:val="auto"/>
          <w:kern w:val="0"/>
          <w:sz w:val="24"/>
          <w:szCs w:val="20"/>
          <w:highlight w:val="none"/>
        </w:rPr>
        <w:t xml:space="preserve">15.5  </w:t>
      </w:r>
      <w:r>
        <w:rPr>
          <w:rFonts w:hint="eastAsia" w:ascii="宋体" w:hAnsi="宋体"/>
          <w:color w:val="auto"/>
          <w:kern w:val="0"/>
          <w:sz w:val="24"/>
          <w:szCs w:val="20"/>
          <w:highlight w:val="none"/>
        </w:rPr>
        <w:t>承包人的合理化建议</w:t>
      </w:r>
      <w:bookmarkEnd w:id="1883"/>
      <w:bookmarkEnd w:id="1884"/>
      <w:bookmarkEnd w:id="1885"/>
      <w:bookmarkEnd w:id="1886"/>
      <w:bookmarkEnd w:id="1887"/>
      <w:bookmarkEnd w:id="1888"/>
      <w:bookmarkEnd w:id="1889"/>
    </w:p>
    <w:p w14:paraId="05E02A49">
      <w:pPr>
        <w:spacing w:line="360" w:lineRule="auto"/>
        <w:ind w:firstLine="420" w:firstLineChars="200"/>
        <w:rPr>
          <w:rFonts w:ascii="宋体"/>
          <w:color w:val="auto"/>
          <w:szCs w:val="21"/>
          <w:highlight w:val="none"/>
          <w:u w:val="single"/>
        </w:rPr>
      </w:pPr>
      <w:r>
        <w:rPr>
          <w:rFonts w:ascii="宋体" w:hAnsi="宋体"/>
          <w:color w:val="auto"/>
          <w:szCs w:val="21"/>
          <w:highlight w:val="none"/>
        </w:rPr>
        <w:t xml:space="preserve">15.5.2  </w:t>
      </w:r>
      <w:r>
        <w:rPr>
          <w:rFonts w:hint="eastAsia" w:ascii="宋体" w:hAnsi="宋体"/>
          <w:color w:val="auto"/>
          <w:szCs w:val="21"/>
          <w:highlight w:val="none"/>
        </w:rPr>
        <w:t>对承包人提出合理化建议的奖励方法：</w:t>
      </w:r>
      <w:r>
        <w:rPr>
          <w:rFonts w:ascii="宋体" w:hAnsi="宋体"/>
          <w:color w:val="auto"/>
          <w:szCs w:val="21"/>
          <w:highlight w:val="none"/>
          <w:u w:val="single"/>
        </w:rPr>
        <w:t xml:space="preserve">  </w:t>
      </w:r>
      <w:r>
        <w:rPr>
          <w:rFonts w:hint="eastAsia" w:ascii="宋体" w:hAnsi="宋体"/>
          <w:color w:val="auto"/>
          <w:szCs w:val="21"/>
          <w:highlight w:val="none"/>
          <w:u w:val="single"/>
        </w:rPr>
        <w:t>/</w:t>
      </w:r>
      <w:r>
        <w:rPr>
          <w:rFonts w:ascii="宋体" w:hAnsi="宋体"/>
          <w:color w:val="auto"/>
          <w:szCs w:val="21"/>
          <w:highlight w:val="none"/>
          <w:u w:val="single"/>
        </w:rPr>
        <w:t xml:space="preserve">                            </w:t>
      </w:r>
    </w:p>
    <w:p w14:paraId="6B7C4C9B">
      <w:pPr>
        <w:keepNext/>
        <w:keepLines/>
        <w:spacing w:before="120" w:beforeLines="50" w:after="120" w:afterLines="50" w:line="360" w:lineRule="auto"/>
        <w:outlineLvl w:val="2"/>
        <w:rPr>
          <w:rFonts w:ascii="宋体" w:hAnsi="宋体"/>
          <w:color w:val="auto"/>
          <w:kern w:val="0"/>
          <w:sz w:val="24"/>
          <w:szCs w:val="20"/>
          <w:highlight w:val="none"/>
        </w:rPr>
      </w:pPr>
      <w:bookmarkStart w:id="1890" w:name="_Toc489280231"/>
      <w:bookmarkStart w:id="1891" w:name="_Toc485323199"/>
      <w:bookmarkStart w:id="1892" w:name="_Toc7529"/>
      <w:bookmarkStart w:id="1893" w:name="_Toc486580425"/>
      <w:bookmarkStart w:id="1894" w:name="_Toc9622"/>
      <w:bookmarkStart w:id="1895" w:name="_Toc497214094"/>
      <w:bookmarkStart w:id="1896" w:name="_Toc490331716"/>
      <w:r>
        <w:rPr>
          <w:rFonts w:ascii="宋体" w:hAnsi="宋体"/>
          <w:color w:val="auto"/>
          <w:kern w:val="0"/>
          <w:sz w:val="24"/>
          <w:szCs w:val="20"/>
          <w:highlight w:val="none"/>
        </w:rPr>
        <w:t xml:space="preserve">15.8  </w:t>
      </w:r>
      <w:r>
        <w:rPr>
          <w:rFonts w:hint="eastAsia" w:ascii="宋体" w:hAnsi="宋体"/>
          <w:color w:val="auto"/>
          <w:kern w:val="0"/>
          <w:sz w:val="24"/>
          <w:szCs w:val="20"/>
          <w:highlight w:val="none"/>
        </w:rPr>
        <w:t>暂估价</w:t>
      </w:r>
      <w:bookmarkEnd w:id="1890"/>
      <w:bookmarkEnd w:id="1891"/>
      <w:bookmarkEnd w:id="1892"/>
      <w:bookmarkEnd w:id="1893"/>
      <w:bookmarkEnd w:id="1894"/>
      <w:bookmarkEnd w:id="1895"/>
      <w:bookmarkEnd w:id="1896"/>
    </w:p>
    <w:p w14:paraId="490FB87B">
      <w:pPr>
        <w:spacing w:line="360" w:lineRule="auto"/>
        <w:ind w:firstLine="420" w:firstLineChars="200"/>
        <w:rPr>
          <w:rFonts w:ascii="宋体"/>
          <w:color w:val="auto"/>
          <w:szCs w:val="21"/>
          <w:highlight w:val="none"/>
        </w:rPr>
      </w:pPr>
      <w:r>
        <w:rPr>
          <w:rFonts w:ascii="宋体" w:hAnsi="宋体"/>
          <w:color w:val="auto"/>
          <w:szCs w:val="21"/>
          <w:highlight w:val="none"/>
        </w:rPr>
        <w:t xml:space="preserve">15.8.1  </w:t>
      </w:r>
      <w:r>
        <w:rPr>
          <w:rFonts w:hint="eastAsia" w:ascii="宋体" w:hAnsi="宋体"/>
          <w:color w:val="auto"/>
          <w:szCs w:val="21"/>
          <w:highlight w:val="none"/>
        </w:rPr>
        <w:t>按合同约定应当由发包人和承包人采用招标方式选择专项供应商或专业分包人的：</w:t>
      </w:r>
    </w:p>
    <w:p w14:paraId="01A5F35B">
      <w:pPr>
        <w:spacing w:line="360" w:lineRule="auto"/>
        <w:ind w:firstLine="420" w:firstLineChars="200"/>
        <w:rPr>
          <w:rFonts w:asci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4</w:t>
      </w:r>
      <w:r>
        <w:rPr>
          <w:rFonts w:hint="eastAsia" w:ascii="宋体" w:hAnsi="宋体"/>
          <w:color w:val="auto"/>
          <w:szCs w:val="21"/>
          <w:highlight w:val="none"/>
        </w:rPr>
        <w:t>）承包人报送招标计划期限：</w:t>
      </w:r>
      <w:r>
        <w:rPr>
          <w:rFonts w:ascii="宋体" w:hAnsi="宋体"/>
          <w:color w:val="auto"/>
          <w:szCs w:val="21"/>
          <w:highlight w:val="none"/>
          <w:u w:val="single"/>
        </w:rPr>
        <w:t xml:space="preserve">  </w:t>
      </w:r>
      <w:r>
        <w:rPr>
          <w:rFonts w:hint="eastAsia" w:ascii="宋体" w:hAnsi="宋体"/>
          <w:color w:val="auto"/>
          <w:szCs w:val="21"/>
          <w:highlight w:val="none"/>
          <w:u w:val="single"/>
        </w:rPr>
        <w:t>确定承包人为中标人7天内</w:t>
      </w:r>
      <w:r>
        <w:rPr>
          <w:rFonts w:ascii="宋体" w:hAnsi="宋体"/>
          <w:color w:val="auto"/>
          <w:szCs w:val="21"/>
          <w:highlight w:val="none"/>
          <w:u w:val="single"/>
        </w:rPr>
        <w:t xml:space="preserve">                   </w:t>
      </w:r>
    </w:p>
    <w:p w14:paraId="4629DB3F">
      <w:pPr>
        <w:spacing w:line="360" w:lineRule="auto"/>
        <w:ind w:firstLine="424" w:firstLineChars="202"/>
        <w:rPr>
          <w:rFonts w:ascii="宋体"/>
          <w:color w:val="auto"/>
          <w:szCs w:val="21"/>
          <w:highlight w:val="none"/>
        </w:rPr>
      </w:pPr>
      <w:r>
        <w:rPr>
          <w:rFonts w:hint="eastAsia" w:ascii="宋体" w:hAnsi="宋体"/>
          <w:color w:val="auto"/>
          <w:szCs w:val="21"/>
          <w:highlight w:val="none"/>
        </w:rPr>
        <w:t>发包人审批招标工作计划时限：</w:t>
      </w:r>
      <w:r>
        <w:rPr>
          <w:rFonts w:ascii="宋体" w:hAnsi="宋体"/>
          <w:color w:val="auto"/>
          <w:szCs w:val="21"/>
          <w:highlight w:val="none"/>
          <w:u w:val="single"/>
        </w:rPr>
        <w:t xml:space="preserve">  </w:t>
      </w:r>
      <w:r>
        <w:rPr>
          <w:rFonts w:hint="eastAsia" w:ascii="宋体" w:hAnsi="宋体"/>
          <w:color w:val="auto"/>
          <w:szCs w:val="21"/>
          <w:highlight w:val="none"/>
          <w:u w:val="single"/>
        </w:rPr>
        <w:t>承包人报送后3天内</w:t>
      </w:r>
      <w:r>
        <w:rPr>
          <w:rFonts w:ascii="宋体" w:hAnsi="宋体"/>
          <w:color w:val="auto"/>
          <w:szCs w:val="21"/>
          <w:highlight w:val="none"/>
          <w:u w:val="single"/>
        </w:rPr>
        <w:t xml:space="preserve">                     </w:t>
      </w:r>
    </w:p>
    <w:p w14:paraId="3C2DD26A">
      <w:pPr>
        <w:spacing w:line="360" w:lineRule="auto"/>
        <w:ind w:firstLine="420" w:firstLineChars="200"/>
        <w:rPr>
          <w:rFonts w:asci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5</w:t>
      </w:r>
      <w:r>
        <w:rPr>
          <w:rFonts w:hint="eastAsia" w:ascii="宋体" w:hAnsi="宋体"/>
          <w:color w:val="auto"/>
          <w:szCs w:val="21"/>
          <w:highlight w:val="none"/>
        </w:rPr>
        <w:t>）承包人报送相关文件时限：</w:t>
      </w:r>
      <w:r>
        <w:rPr>
          <w:rFonts w:ascii="宋体" w:hAnsi="宋体"/>
          <w:color w:val="auto"/>
          <w:szCs w:val="21"/>
          <w:highlight w:val="none"/>
          <w:u w:val="single"/>
        </w:rPr>
        <w:t xml:space="preserve">   </w:t>
      </w:r>
      <w:r>
        <w:rPr>
          <w:rFonts w:hint="eastAsia" w:ascii="宋体" w:hAnsi="宋体"/>
          <w:color w:val="auto"/>
          <w:szCs w:val="21"/>
          <w:highlight w:val="none"/>
          <w:u w:val="single"/>
        </w:rPr>
        <w:t>发包人审批通过招标计划后7天内</w:t>
      </w:r>
      <w:r>
        <w:rPr>
          <w:rFonts w:ascii="宋体" w:hAnsi="宋体"/>
          <w:color w:val="auto"/>
          <w:szCs w:val="21"/>
          <w:highlight w:val="none"/>
          <w:u w:val="single"/>
        </w:rPr>
        <w:t xml:space="preserve">                  </w:t>
      </w:r>
    </w:p>
    <w:p w14:paraId="734237C1">
      <w:pPr>
        <w:spacing w:line="360" w:lineRule="auto"/>
        <w:ind w:firstLine="424" w:firstLineChars="202"/>
        <w:rPr>
          <w:rFonts w:ascii="宋体"/>
          <w:color w:val="auto"/>
          <w:szCs w:val="21"/>
          <w:highlight w:val="none"/>
        </w:rPr>
      </w:pPr>
      <w:r>
        <w:rPr>
          <w:rFonts w:hint="eastAsia" w:ascii="宋体" w:hAnsi="宋体"/>
          <w:color w:val="auto"/>
          <w:szCs w:val="21"/>
          <w:highlight w:val="none"/>
        </w:rPr>
        <w:t>发包人审批相关文件时限：</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承包人报送后3天内         </w:t>
      </w:r>
      <w:r>
        <w:rPr>
          <w:rFonts w:ascii="宋体" w:hAnsi="宋体"/>
          <w:color w:val="auto"/>
          <w:szCs w:val="21"/>
          <w:highlight w:val="none"/>
          <w:u w:val="single"/>
        </w:rPr>
        <w:t xml:space="preserve">                 </w:t>
      </w:r>
    </w:p>
    <w:p w14:paraId="339C2E6D">
      <w:pPr>
        <w:spacing w:line="360" w:lineRule="auto"/>
        <w:ind w:left="420" w:leftChars="200"/>
        <w:rPr>
          <w:rFonts w:ascii="宋体"/>
          <w:color w:val="auto"/>
          <w:kern w:val="0"/>
          <w:szCs w:val="21"/>
          <w:highlight w:val="none"/>
        </w:rPr>
      </w:pPr>
      <w:r>
        <w:rPr>
          <w:rFonts w:hint="eastAsia" w:ascii="宋体" w:hAnsi="宋体"/>
          <w:color w:val="auto"/>
          <w:kern w:val="0"/>
          <w:szCs w:val="21"/>
          <w:highlight w:val="none"/>
        </w:rPr>
        <w:t>（</w:t>
      </w:r>
      <w:r>
        <w:rPr>
          <w:rFonts w:ascii="宋体" w:hAnsi="宋体"/>
          <w:color w:val="auto"/>
          <w:kern w:val="0"/>
          <w:szCs w:val="21"/>
          <w:highlight w:val="none"/>
        </w:rPr>
        <w:t>10</w:t>
      </w:r>
      <w:r>
        <w:rPr>
          <w:rFonts w:hint="eastAsia" w:ascii="宋体" w:hAnsi="宋体"/>
          <w:color w:val="auto"/>
          <w:kern w:val="0"/>
          <w:szCs w:val="21"/>
          <w:highlight w:val="none"/>
        </w:rPr>
        <w:t>）承包人申报合同文件时限：</w:t>
      </w:r>
      <w:r>
        <w:rPr>
          <w:rFonts w:ascii="宋体" w:hAnsi="宋体"/>
          <w:color w:val="auto"/>
          <w:kern w:val="0"/>
          <w:szCs w:val="21"/>
          <w:highlight w:val="none"/>
          <w:u w:val="single"/>
        </w:rPr>
        <w:t xml:space="preserve">  </w:t>
      </w:r>
      <w:r>
        <w:rPr>
          <w:rFonts w:hint="eastAsia" w:ascii="宋体" w:hAnsi="宋体"/>
          <w:color w:val="auto"/>
          <w:kern w:val="0"/>
          <w:szCs w:val="21"/>
          <w:highlight w:val="none"/>
          <w:u w:val="single"/>
        </w:rPr>
        <w:t>发包人审批通过相关文件后7天内</w:t>
      </w:r>
      <w:r>
        <w:rPr>
          <w:rFonts w:ascii="宋体" w:hAnsi="宋体"/>
          <w:color w:val="auto"/>
          <w:kern w:val="0"/>
          <w:szCs w:val="21"/>
          <w:highlight w:val="none"/>
          <w:u w:val="single"/>
        </w:rPr>
        <w:t xml:space="preserve">                </w:t>
      </w:r>
    </w:p>
    <w:p w14:paraId="055BD6B5">
      <w:pPr>
        <w:spacing w:line="360" w:lineRule="auto"/>
        <w:ind w:firstLine="420" w:firstLineChars="200"/>
        <w:rPr>
          <w:rFonts w:ascii="宋体"/>
          <w:color w:val="auto"/>
          <w:szCs w:val="21"/>
          <w:highlight w:val="none"/>
        </w:rPr>
      </w:pPr>
      <w:r>
        <w:rPr>
          <w:rFonts w:hint="eastAsia" w:ascii="宋体" w:hAnsi="宋体"/>
          <w:color w:val="auto"/>
          <w:szCs w:val="21"/>
          <w:highlight w:val="none"/>
        </w:rPr>
        <w:t>发包人审批合同文件时限：</w:t>
      </w:r>
      <w:r>
        <w:rPr>
          <w:rFonts w:ascii="宋体" w:hAnsi="宋体"/>
          <w:color w:val="auto"/>
          <w:szCs w:val="21"/>
          <w:highlight w:val="none"/>
          <w:u w:val="single"/>
        </w:rPr>
        <w:t xml:space="preserve">   </w:t>
      </w:r>
      <w:r>
        <w:rPr>
          <w:rFonts w:hint="eastAsia" w:ascii="宋体" w:hAnsi="宋体"/>
          <w:color w:val="auto"/>
          <w:szCs w:val="21"/>
          <w:highlight w:val="none"/>
          <w:u w:val="single"/>
        </w:rPr>
        <w:t>承包人报送3天内</w:t>
      </w:r>
      <w:r>
        <w:rPr>
          <w:rFonts w:ascii="宋体" w:hAnsi="宋体"/>
          <w:color w:val="auto"/>
          <w:szCs w:val="21"/>
          <w:highlight w:val="none"/>
          <w:u w:val="single"/>
        </w:rPr>
        <w:t xml:space="preserve">                                </w:t>
      </w:r>
    </w:p>
    <w:p w14:paraId="0F8D5971">
      <w:pPr>
        <w:spacing w:line="360" w:lineRule="auto"/>
        <w:ind w:firstLine="420" w:firstLineChars="200"/>
        <w:rPr>
          <w:rFonts w:ascii="宋体"/>
          <w:color w:val="auto"/>
          <w:szCs w:val="21"/>
          <w:highlight w:val="none"/>
        </w:rPr>
      </w:pPr>
      <w:r>
        <w:rPr>
          <w:rFonts w:hint="eastAsia" w:ascii="宋体" w:hAnsi="宋体"/>
          <w:color w:val="auto"/>
          <w:szCs w:val="21"/>
          <w:highlight w:val="none"/>
        </w:rPr>
        <w:t>承包人报送正式签订合同副本时限：</w:t>
      </w:r>
      <w:r>
        <w:rPr>
          <w:rFonts w:ascii="宋体" w:hAnsi="宋体"/>
          <w:color w:val="auto"/>
          <w:szCs w:val="21"/>
          <w:highlight w:val="none"/>
          <w:u w:val="single"/>
        </w:rPr>
        <w:t xml:space="preserve">   </w:t>
      </w:r>
      <w:r>
        <w:rPr>
          <w:rFonts w:hint="eastAsia" w:ascii="宋体" w:hAnsi="宋体"/>
          <w:color w:val="auto"/>
          <w:szCs w:val="21"/>
          <w:highlight w:val="none"/>
          <w:u w:val="single"/>
        </w:rPr>
        <w:t>发包人审批通过合同文件当天</w:t>
      </w:r>
      <w:r>
        <w:rPr>
          <w:rFonts w:ascii="宋体" w:hAnsi="宋体"/>
          <w:color w:val="auto"/>
          <w:szCs w:val="21"/>
          <w:highlight w:val="none"/>
          <w:u w:val="single"/>
        </w:rPr>
        <w:t xml:space="preserve">               </w:t>
      </w:r>
    </w:p>
    <w:p w14:paraId="378FA490">
      <w:pPr>
        <w:spacing w:line="360" w:lineRule="auto"/>
        <w:ind w:firstLine="420" w:firstLineChars="200"/>
        <w:rPr>
          <w:rFonts w:ascii="宋体"/>
          <w:color w:val="auto"/>
          <w:szCs w:val="21"/>
          <w:highlight w:val="none"/>
        </w:rPr>
      </w:pPr>
      <w:r>
        <w:rPr>
          <w:rFonts w:ascii="宋体" w:hAnsi="宋体"/>
          <w:color w:val="auto"/>
          <w:szCs w:val="21"/>
          <w:highlight w:val="none"/>
        </w:rPr>
        <w:t xml:space="preserve">15.8.3  </w:t>
      </w:r>
      <w:r>
        <w:rPr>
          <w:rFonts w:hint="eastAsia" w:ascii="宋体" w:hAnsi="宋体"/>
          <w:color w:val="auto"/>
          <w:szCs w:val="21"/>
          <w:highlight w:val="none"/>
        </w:rPr>
        <w:t>发包人在工程量清单中给定暂估价的专业工程不属于依法必须招标的范围或者未达到依法必须招标的规模标准的，其最终价格的估价人为：</w:t>
      </w:r>
      <w:r>
        <w:rPr>
          <w:rFonts w:ascii="宋体" w:hAnsi="宋体"/>
          <w:color w:val="auto"/>
          <w:szCs w:val="21"/>
          <w:highlight w:val="none"/>
          <w:u w:val="single"/>
        </w:rPr>
        <w:t xml:space="preserve">     </w:t>
      </w:r>
      <w:r>
        <w:rPr>
          <w:rFonts w:hint="eastAsia" w:ascii="宋体" w:hAnsi="宋体"/>
          <w:color w:val="auto"/>
          <w:szCs w:val="21"/>
          <w:highlight w:val="none"/>
          <w:u w:val="single"/>
        </w:rPr>
        <w:t>发包人</w:t>
      </w:r>
      <w:r>
        <w:rPr>
          <w:rFonts w:ascii="宋体" w:hAnsi="宋体"/>
          <w:color w:val="auto"/>
          <w:szCs w:val="21"/>
          <w:highlight w:val="none"/>
          <w:u w:val="single"/>
        </w:rPr>
        <w:t xml:space="preserve">        </w:t>
      </w:r>
      <w:r>
        <w:rPr>
          <w:rFonts w:hint="eastAsia" w:ascii="宋体" w:hAnsi="宋体"/>
          <w:color w:val="auto"/>
          <w:szCs w:val="21"/>
          <w:highlight w:val="none"/>
        </w:rPr>
        <w:t>或者按照下列约定：</w:t>
      </w:r>
      <w:r>
        <w:rPr>
          <w:rFonts w:ascii="宋体" w:hAnsi="宋体"/>
          <w:color w:val="auto"/>
          <w:szCs w:val="21"/>
          <w:highlight w:val="none"/>
          <w:u w:val="single"/>
        </w:rPr>
        <w:t xml:space="preserve">    </w:t>
      </w:r>
      <w:r>
        <w:rPr>
          <w:rFonts w:hint="eastAsia" w:ascii="宋体" w:hAnsi="宋体"/>
          <w:color w:val="auto"/>
          <w:szCs w:val="21"/>
          <w:highlight w:val="none"/>
          <w:u w:val="single"/>
        </w:rPr>
        <w:t>发包人指定的造价机构</w:t>
      </w:r>
      <w:r>
        <w:rPr>
          <w:rFonts w:ascii="宋体" w:hAnsi="宋体"/>
          <w:color w:val="auto"/>
          <w:szCs w:val="21"/>
          <w:highlight w:val="none"/>
          <w:u w:val="single"/>
        </w:rPr>
        <w:t xml:space="preserve">                                     </w:t>
      </w:r>
    </w:p>
    <w:p w14:paraId="459E8EAC">
      <w:pPr>
        <w:keepNext/>
        <w:keepLines/>
        <w:spacing w:before="120" w:beforeLines="50" w:after="120" w:afterLines="50" w:line="360" w:lineRule="auto"/>
        <w:outlineLvl w:val="1"/>
        <w:rPr>
          <w:rFonts w:ascii="宋体" w:hAnsi="宋体" w:cs="宋体"/>
          <w:color w:val="auto"/>
          <w:sz w:val="28"/>
          <w:szCs w:val="20"/>
          <w:highlight w:val="none"/>
        </w:rPr>
      </w:pPr>
      <w:bookmarkStart w:id="1897" w:name="_Toc485323200"/>
      <w:bookmarkStart w:id="1898" w:name="_Toc497214095"/>
      <w:bookmarkStart w:id="1899" w:name="_Toc25191"/>
      <w:bookmarkStart w:id="1900" w:name="_Toc490331717"/>
      <w:bookmarkStart w:id="1901" w:name="_Toc6437"/>
      <w:bookmarkStart w:id="1902" w:name="_Toc489280232"/>
      <w:bookmarkStart w:id="1903" w:name="_Toc486580426"/>
      <w:r>
        <w:rPr>
          <w:rFonts w:ascii="宋体" w:hAnsi="宋体" w:cs="宋体"/>
          <w:color w:val="auto"/>
          <w:sz w:val="28"/>
          <w:szCs w:val="20"/>
          <w:highlight w:val="none"/>
        </w:rPr>
        <w:t>16.</w:t>
      </w:r>
      <w:r>
        <w:rPr>
          <w:rFonts w:hint="eastAsia" w:ascii="宋体" w:hAnsi="宋体" w:cs="宋体"/>
          <w:color w:val="auto"/>
          <w:sz w:val="28"/>
          <w:szCs w:val="20"/>
          <w:highlight w:val="none"/>
        </w:rPr>
        <w:t>价格调整</w:t>
      </w:r>
      <w:bookmarkEnd w:id="1897"/>
      <w:bookmarkEnd w:id="1898"/>
      <w:bookmarkEnd w:id="1899"/>
      <w:bookmarkEnd w:id="1900"/>
      <w:bookmarkEnd w:id="1901"/>
      <w:bookmarkEnd w:id="1902"/>
      <w:bookmarkEnd w:id="1903"/>
    </w:p>
    <w:p w14:paraId="51E9C232">
      <w:pPr>
        <w:keepNext/>
        <w:keepLines/>
        <w:spacing w:before="120" w:beforeLines="50" w:after="120" w:afterLines="50" w:line="360" w:lineRule="auto"/>
        <w:outlineLvl w:val="2"/>
        <w:rPr>
          <w:rFonts w:ascii="宋体" w:hAnsi="宋体"/>
          <w:color w:val="auto"/>
          <w:kern w:val="0"/>
          <w:sz w:val="24"/>
          <w:szCs w:val="20"/>
          <w:highlight w:val="none"/>
        </w:rPr>
      </w:pPr>
      <w:bookmarkStart w:id="1904" w:name="_Toc439"/>
      <w:bookmarkStart w:id="1905" w:name="_Toc490331718"/>
      <w:bookmarkStart w:id="1906" w:name="_Toc485323201"/>
      <w:bookmarkStart w:id="1907" w:name="_Toc497214096"/>
      <w:bookmarkStart w:id="1908" w:name="_Toc489280233"/>
      <w:bookmarkStart w:id="1909" w:name="_Toc32453"/>
      <w:bookmarkStart w:id="1910" w:name="_Toc486580427"/>
      <w:r>
        <w:rPr>
          <w:rFonts w:ascii="宋体" w:hAnsi="宋体"/>
          <w:color w:val="auto"/>
          <w:kern w:val="0"/>
          <w:sz w:val="24"/>
          <w:szCs w:val="20"/>
          <w:highlight w:val="none"/>
        </w:rPr>
        <w:t xml:space="preserve">16.1  </w:t>
      </w:r>
      <w:r>
        <w:rPr>
          <w:rFonts w:hint="eastAsia" w:ascii="宋体" w:hAnsi="宋体"/>
          <w:color w:val="auto"/>
          <w:kern w:val="0"/>
          <w:sz w:val="24"/>
          <w:szCs w:val="20"/>
          <w:highlight w:val="none"/>
        </w:rPr>
        <w:t>物价波动引起的价格调整</w:t>
      </w:r>
      <w:bookmarkEnd w:id="1904"/>
      <w:bookmarkEnd w:id="1905"/>
      <w:bookmarkEnd w:id="1906"/>
      <w:bookmarkEnd w:id="1907"/>
      <w:bookmarkEnd w:id="1908"/>
      <w:bookmarkEnd w:id="1909"/>
      <w:bookmarkEnd w:id="1910"/>
    </w:p>
    <w:p w14:paraId="7DA11DF0">
      <w:pPr>
        <w:spacing w:line="360" w:lineRule="auto"/>
        <w:ind w:firstLine="525" w:firstLineChars="250"/>
        <w:rPr>
          <w:rFonts w:ascii="宋体" w:hAnsi="宋体" w:cs="宋体"/>
          <w:color w:val="auto"/>
          <w:szCs w:val="21"/>
          <w:highlight w:val="none"/>
          <w:u w:val="single"/>
        </w:rPr>
      </w:pPr>
      <w:r>
        <w:rPr>
          <w:rFonts w:hint="eastAsia" w:ascii="宋体" w:hAnsi="宋体"/>
          <w:color w:val="auto"/>
          <w:szCs w:val="21"/>
          <w:highlight w:val="none"/>
        </w:rPr>
        <w:t>物价波动引起价格调整方法：</w:t>
      </w:r>
      <w:r>
        <w:rPr>
          <w:rFonts w:hint="eastAsia" w:ascii="宋体" w:hAnsi="宋体" w:cs="宋体"/>
          <w:color w:val="auto"/>
          <w:szCs w:val="21"/>
          <w:highlight w:val="none"/>
          <w:u w:val="single"/>
        </w:rPr>
        <w:t>采用造价信息调整价格差额</w:t>
      </w:r>
    </w:p>
    <w:p w14:paraId="0E75B5AF">
      <w:pPr>
        <w:spacing w:line="360" w:lineRule="auto"/>
        <w:ind w:firstLine="420" w:firstLineChars="200"/>
        <w:rPr>
          <w:rFonts w:ascii="宋体"/>
          <w:color w:val="auto"/>
          <w:highlight w:val="none"/>
        </w:rPr>
      </w:pPr>
      <w:r>
        <w:rPr>
          <w:rFonts w:ascii="宋体" w:hAnsi="宋体"/>
          <w:color w:val="auto"/>
          <w:szCs w:val="21"/>
          <w:highlight w:val="none"/>
        </w:rPr>
        <w:t xml:space="preserve">16.1.2  </w:t>
      </w:r>
      <w:r>
        <w:rPr>
          <w:rFonts w:hint="eastAsia" w:ascii="宋体" w:hAnsi="宋体"/>
          <w:color w:val="auto"/>
          <w:highlight w:val="none"/>
        </w:rPr>
        <w:t>采用造价信息调整价格差额</w:t>
      </w:r>
    </w:p>
    <w:p w14:paraId="61A7ECDE">
      <w:pPr>
        <w:spacing w:line="360" w:lineRule="auto"/>
        <w:ind w:firstLine="630" w:firstLineChars="300"/>
        <w:rPr>
          <w:rFonts w:ascii="宋体"/>
          <w:color w:val="auto"/>
          <w:szCs w:val="21"/>
          <w:highlight w:val="none"/>
        </w:rPr>
      </w:pPr>
      <w:r>
        <w:rPr>
          <w:rFonts w:ascii="宋体" w:hAnsi="宋体"/>
          <w:color w:val="auto"/>
          <w:szCs w:val="21"/>
          <w:highlight w:val="none"/>
        </w:rPr>
        <w:t xml:space="preserve">16.1.2.1  </w:t>
      </w:r>
      <w:r>
        <w:rPr>
          <w:rFonts w:hint="eastAsia" w:ascii="宋体" w:hAnsi="宋体"/>
          <w:color w:val="auto"/>
          <w:highlight w:val="none"/>
        </w:rPr>
        <w:t>引起价格调整的物价波动风险范围及幅度</w:t>
      </w:r>
    </w:p>
    <w:p w14:paraId="49B6E27F">
      <w:pPr>
        <w:spacing w:line="360" w:lineRule="auto"/>
        <w:ind w:firstLine="630" w:firstLineChars="300"/>
        <w:rPr>
          <w:rFonts w:ascii="宋体"/>
          <w:color w:val="auto"/>
          <w:szCs w:val="21"/>
          <w:highlight w:val="none"/>
        </w:rPr>
      </w:pPr>
      <w:r>
        <w:rPr>
          <w:rFonts w:hint="eastAsia" w:ascii="宋体" w:hAnsi="宋体"/>
          <w:color w:val="auto"/>
          <w:szCs w:val="21"/>
          <w:highlight w:val="none"/>
        </w:rPr>
        <w:t>引起</w:t>
      </w:r>
      <w:r>
        <w:rPr>
          <w:rFonts w:hint="eastAsia" w:ascii="宋体" w:hAnsi="宋体"/>
          <w:color w:val="auto"/>
          <w:highlight w:val="none"/>
        </w:rPr>
        <w:t>价格调整的</w:t>
      </w:r>
      <w:r>
        <w:rPr>
          <w:rFonts w:hint="eastAsia" w:ascii="宋体" w:hAnsi="宋体"/>
          <w:color w:val="auto"/>
          <w:szCs w:val="21"/>
          <w:highlight w:val="none"/>
        </w:rPr>
        <w:t>物价波动</w:t>
      </w:r>
      <w:r>
        <w:rPr>
          <w:rFonts w:hint="eastAsia" w:ascii="宋体" w:hAnsi="宋体"/>
          <w:color w:val="auto"/>
          <w:highlight w:val="none"/>
        </w:rPr>
        <w:t>风险范围</w:t>
      </w:r>
      <w:r>
        <w:rPr>
          <w:rFonts w:hint="eastAsia" w:ascii="宋体" w:hAnsi="宋体"/>
          <w:color w:val="auto"/>
          <w:szCs w:val="21"/>
          <w:highlight w:val="none"/>
        </w:rPr>
        <w:t>：</w:t>
      </w:r>
      <w:r>
        <w:rPr>
          <w:rFonts w:hint="eastAsia" w:ascii="宋体" w:hAnsi="宋体" w:cs="宋体"/>
          <w:bCs/>
          <w:color w:val="auto"/>
          <w:szCs w:val="21"/>
          <w:highlight w:val="none"/>
          <w:u w:val="single"/>
        </w:rPr>
        <w:t>①沥青、水泥、石灰等材料价格变化幅度在±5%以内（含）由承包人承担或受益</w:t>
      </w:r>
      <w:r>
        <w:rPr>
          <w:rFonts w:hint="eastAsia" w:ascii="宋体" w:hAnsi="宋体" w:cs="宋体"/>
          <w:color w:val="auto"/>
          <w:szCs w:val="21"/>
          <w:highlight w:val="none"/>
          <w:u w:val="single"/>
        </w:rPr>
        <w:t>。②机械费用、人工费用价格变化幅度在±5%以内（含）由承包人承担或受益。</w:t>
      </w:r>
    </w:p>
    <w:p w14:paraId="105FCB27">
      <w:pPr>
        <w:spacing w:line="360" w:lineRule="auto"/>
        <w:ind w:firstLine="630" w:firstLineChars="300"/>
        <w:rPr>
          <w:rFonts w:ascii="宋体"/>
          <w:color w:val="auto"/>
          <w:szCs w:val="21"/>
          <w:highlight w:val="none"/>
        </w:rPr>
      </w:pPr>
      <w:r>
        <w:rPr>
          <w:rFonts w:hint="eastAsia" w:ascii="宋体" w:hAnsi="宋体"/>
          <w:color w:val="auto"/>
          <w:szCs w:val="21"/>
          <w:highlight w:val="none"/>
        </w:rPr>
        <w:t>引起</w:t>
      </w:r>
      <w:r>
        <w:rPr>
          <w:rFonts w:hint="eastAsia" w:ascii="宋体" w:hAnsi="宋体"/>
          <w:color w:val="auto"/>
          <w:highlight w:val="none"/>
        </w:rPr>
        <w:t>价格调整的</w:t>
      </w:r>
      <w:r>
        <w:rPr>
          <w:rFonts w:hint="eastAsia" w:ascii="宋体" w:hAnsi="宋体"/>
          <w:color w:val="auto"/>
          <w:szCs w:val="21"/>
          <w:highlight w:val="none"/>
        </w:rPr>
        <w:t>物价波动</w:t>
      </w:r>
      <w:r>
        <w:rPr>
          <w:rFonts w:hint="eastAsia" w:ascii="宋体" w:hAnsi="宋体"/>
          <w:color w:val="auto"/>
          <w:highlight w:val="none"/>
        </w:rPr>
        <w:t>风险幅度：</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 %</w:t>
      </w:r>
    </w:p>
    <w:p w14:paraId="4F322A6F">
      <w:pPr>
        <w:spacing w:line="360" w:lineRule="auto"/>
        <w:ind w:firstLine="630" w:firstLineChars="300"/>
        <w:rPr>
          <w:rFonts w:ascii="宋体"/>
          <w:color w:val="auto"/>
          <w:szCs w:val="21"/>
          <w:highlight w:val="none"/>
        </w:rPr>
      </w:pPr>
      <w:r>
        <w:rPr>
          <w:rFonts w:ascii="宋体" w:hAnsi="宋体"/>
          <w:color w:val="auto"/>
          <w:szCs w:val="21"/>
          <w:highlight w:val="none"/>
        </w:rPr>
        <w:t>16.1.2</w:t>
      </w:r>
      <w:r>
        <w:rPr>
          <w:rFonts w:ascii="宋体"/>
          <w:color w:val="auto"/>
          <w:szCs w:val="21"/>
          <w:highlight w:val="none"/>
        </w:rPr>
        <w:t>.</w:t>
      </w:r>
      <w:r>
        <w:rPr>
          <w:rFonts w:ascii="宋体" w:hAnsi="宋体"/>
          <w:color w:val="auto"/>
          <w:szCs w:val="21"/>
          <w:highlight w:val="none"/>
        </w:rPr>
        <w:t xml:space="preserve">2   </w:t>
      </w:r>
      <w:r>
        <w:rPr>
          <w:rFonts w:hint="eastAsia" w:ascii="宋体" w:hAnsi="宋体"/>
          <w:color w:val="auto"/>
          <w:szCs w:val="21"/>
          <w:highlight w:val="none"/>
        </w:rPr>
        <w:t>物价波动引起价格调整的风险幅度的计算方法</w:t>
      </w:r>
    </w:p>
    <w:p w14:paraId="0012B02F">
      <w:pPr>
        <w:spacing w:line="360" w:lineRule="auto"/>
        <w:ind w:firstLine="630" w:firstLineChars="300"/>
        <w:rPr>
          <w:rFonts w:asci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1</w:t>
      </w:r>
      <w:r>
        <w:rPr>
          <w:rFonts w:hint="eastAsia" w:ascii="宋体" w:hAnsi="宋体"/>
          <w:color w:val="auto"/>
          <w:szCs w:val="21"/>
          <w:highlight w:val="none"/>
        </w:rPr>
        <w:t>）投标报价基准期：</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年</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月。</w:t>
      </w:r>
    </w:p>
    <w:p w14:paraId="2226BFA4">
      <w:pPr>
        <w:spacing w:line="360" w:lineRule="auto"/>
        <w:ind w:firstLine="630" w:firstLineChars="300"/>
        <w:rPr>
          <w:rFonts w:ascii="宋体"/>
          <w:color w:val="auto"/>
          <w:szCs w:val="21"/>
          <w:highlight w:val="none"/>
          <w:u w:val="single"/>
        </w:rPr>
      </w:pPr>
      <w:r>
        <w:rPr>
          <w:rFonts w:hint="eastAsia" w:ascii="宋体" w:hAnsi="宋体"/>
          <w:color w:val="auto"/>
          <w:szCs w:val="21"/>
          <w:highlight w:val="none"/>
        </w:rPr>
        <w:t>（</w:t>
      </w:r>
      <w:r>
        <w:rPr>
          <w:rFonts w:ascii="宋体" w:hAnsi="宋体"/>
          <w:color w:val="auto"/>
          <w:szCs w:val="21"/>
          <w:highlight w:val="none"/>
        </w:rPr>
        <w:t>2</w:t>
      </w:r>
      <w:r>
        <w:rPr>
          <w:rFonts w:hint="eastAsia" w:ascii="宋体" w:hAnsi="宋体"/>
          <w:color w:val="auto"/>
          <w:szCs w:val="21"/>
          <w:highlight w:val="none"/>
        </w:rPr>
        <w:t>）</w:t>
      </w:r>
      <w:r>
        <w:rPr>
          <w:rFonts w:hint="eastAsia" w:ascii="宋体" w:hAnsi="宋体"/>
          <w:color w:val="auto"/>
          <w:highlight w:val="none"/>
        </w:rPr>
        <w:t>《北京工程造价信息》市场价格</w:t>
      </w:r>
      <w:r>
        <w:rPr>
          <w:rFonts w:hint="eastAsia" w:ascii="宋体" w:hAnsi="宋体"/>
          <w:color w:val="auto"/>
          <w:szCs w:val="21"/>
          <w:highlight w:val="none"/>
        </w:rPr>
        <w:t>信息中没有的，基准价的确定方法：</w:t>
      </w:r>
      <w:r>
        <w:rPr>
          <w:rFonts w:ascii="宋体" w:hAnsi="宋体"/>
          <w:color w:val="auto"/>
          <w:szCs w:val="21"/>
          <w:highlight w:val="none"/>
        </w:rPr>
        <w:t xml:space="preserve"> </w:t>
      </w:r>
      <w:r>
        <w:rPr>
          <w:rFonts w:ascii="宋体" w:hAnsi="宋体"/>
          <w:color w:val="auto"/>
          <w:szCs w:val="21"/>
          <w:highlight w:val="none"/>
          <w:u w:val="single"/>
        </w:rPr>
        <w:t xml:space="preserve"> </w:t>
      </w:r>
      <w:r>
        <w:rPr>
          <w:rFonts w:hint="eastAsia" w:hAnsi="宋体" w:cs="Arial"/>
          <w:bCs/>
          <w:color w:val="auto"/>
          <w:szCs w:val="21"/>
          <w:highlight w:val="none"/>
          <w:u w:val="single"/>
        </w:rPr>
        <w:t>按发包人、承包人共同确认的市场价格为准。</w:t>
      </w:r>
      <w:r>
        <w:rPr>
          <w:rFonts w:ascii="宋体" w:hAnsi="宋体"/>
          <w:color w:val="auto"/>
          <w:szCs w:val="21"/>
          <w:highlight w:val="none"/>
          <w:u w:val="single"/>
        </w:rPr>
        <w:t xml:space="preserve">                                              </w:t>
      </w:r>
    </w:p>
    <w:p w14:paraId="55135E71">
      <w:pPr>
        <w:spacing w:line="360" w:lineRule="auto"/>
        <w:ind w:firstLine="630" w:firstLineChars="300"/>
        <w:rPr>
          <w:rFonts w:asci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3</w:t>
      </w:r>
      <w:r>
        <w:rPr>
          <w:rFonts w:hint="eastAsia" w:ascii="宋体" w:hAnsi="宋体"/>
          <w:color w:val="auto"/>
          <w:szCs w:val="21"/>
          <w:highlight w:val="none"/>
        </w:rPr>
        <w:t>）合同施工期市场价格的确定方法：</w:t>
      </w:r>
      <w:r>
        <w:rPr>
          <w:rFonts w:hint="eastAsia" w:ascii="宋体" w:hAnsi="宋体"/>
          <w:color w:val="auto"/>
          <w:szCs w:val="21"/>
          <w:highlight w:val="none"/>
          <w:u w:val="single"/>
        </w:rPr>
        <w:t>以北京市建设工程造价管理机构发布的《北京工程造价信息》施工期的市场信息价格（以下简称造价信息价格）为依据，造价信息价格中有上、下限的，以下限为准，造价信息价格中没有的，按发包人、承包人共同确认的市场价格为准；</w:t>
      </w:r>
      <w:r>
        <w:rPr>
          <w:rFonts w:ascii="宋体" w:hAnsi="宋体"/>
          <w:color w:val="auto"/>
          <w:szCs w:val="21"/>
          <w:highlight w:val="none"/>
          <w:u w:val="single"/>
        </w:rPr>
        <w:t xml:space="preserve"> </w:t>
      </w:r>
    </w:p>
    <w:p w14:paraId="0E90BDFD">
      <w:pPr>
        <w:spacing w:line="360" w:lineRule="auto"/>
        <w:ind w:firstLine="630" w:firstLineChars="300"/>
        <w:rPr>
          <w:rFonts w:ascii="宋体"/>
          <w:color w:val="auto"/>
          <w:szCs w:val="21"/>
          <w:highlight w:val="none"/>
        </w:rPr>
      </w:pPr>
      <w:r>
        <w:rPr>
          <w:rFonts w:ascii="宋体" w:hAnsi="宋体"/>
          <w:color w:val="auto"/>
          <w:szCs w:val="21"/>
          <w:highlight w:val="none"/>
        </w:rPr>
        <w:t>16.1.2</w:t>
      </w:r>
      <w:r>
        <w:rPr>
          <w:rFonts w:ascii="宋体"/>
          <w:color w:val="auto"/>
          <w:szCs w:val="21"/>
          <w:highlight w:val="none"/>
        </w:rPr>
        <w:t>.</w:t>
      </w:r>
      <w:r>
        <w:rPr>
          <w:rFonts w:ascii="宋体" w:hAnsi="宋体"/>
          <w:color w:val="auto"/>
          <w:szCs w:val="21"/>
          <w:highlight w:val="none"/>
        </w:rPr>
        <w:t xml:space="preserve">3  </w:t>
      </w:r>
      <w:r>
        <w:rPr>
          <w:rFonts w:hint="eastAsia" w:ascii="宋体" w:hAnsi="宋体"/>
          <w:color w:val="auto"/>
          <w:szCs w:val="21"/>
          <w:highlight w:val="none"/>
        </w:rPr>
        <w:t>物价波动引起价格调整的方法</w:t>
      </w:r>
    </w:p>
    <w:p w14:paraId="60A0F5C4">
      <w:pPr>
        <w:spacing w:line="360" w:lineRule="auto"/>
        <w:ind w:firstLine="630" w:firstLineChars="300"/>
        <w:rPr>
          <w:rFonts w:asci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1</w:t>
      </w:r>
      <w:r>
        <w:rPr>
          <w:rFonts w:hint="eastAsia" w:ascii="宋体" w:hAnsi="宋体"/>
          <w:color w:val="auto"/>
          <w:szCs w:val="21"/>
          <w:highlight w:val="none"/>
        </w:rPr>
        <w:t>）本工程单价调整方法采用</w:t>
      </w:r>
      <w:r>
        <w:rPr>
          <w:rFonts w:ascii="宋体" w:hAnsi="宋体"/>
          <w:color w:val="auto"/>
          <w:szCs w:val="21"/>
          <w:highlight w:val="none"/>
          <w:u w:val="single"/>
        </w:rPr>
        <w:t xml:space="preserve">  </w:t>
      </w:r>
      <w:r>
        <w:rPr>
          <w:rFonts w:hint="eastAsia" w:ascii="宋体" w:hAnsi="宋体"/>
          <w:color w:val="auto"/>
          <w:szCs w:val="21"/>
          <w:highlight w:val="none"/>
          <w:u w:val="single"/>
        </w:rPr>
        <w:t>其他计算方法</w:t>
      </w:r>
      <w:r>
        <w:rPr>
          <w:rFonts w:ascii="宋体" w:hAnsi="宋体"/>
          <w:color w:val="auto"/>
          <w:szCs w:val="21"/>
          <w:highlight w:val="none"/>
          <w:u w:val="single"/>
        </w:rPr>
        <w:t xml:space="preserve">   </w:t>
      </w:r>
      <w:r>
        <w:rPr>
          <w:rFonts w:hint="eastAsia" w:ascii="宋体" w:hAnsi="宋体"/>
          <w:color w:val="auto"/>
          <w:szCs w:val="21"/>
          <w:highlight w:val="none"/>
        </w:rPr>
        <w:t>（加权平均法/算数平均法/其他计算方法）。</w:t>
      </w:r>
    </w:p>
    <w:p w14:paraId="52A0315C">
      <w:pPr>
        <w:spacing w:line="360" w:lineRule="auto"/>
        <w:ind w:firstLine="630" w:firstLineChars="300"/>
        <w:rPr>
          <w:rFonts w:ascii="宋体"/>
          <w:color w:val="auto"/>
          <w:szCs w:val="21"/>
          <w:highlight w:val="none"/>
        </w:rPr>
      </w:pPr>
      <w:r>
        <w:rPr>
          <w:rFonts w:hint="eastAsia" w:ascii="宋体" w:hAnsi="宋体"/>
          <w:color w:val="auto"/>
          <w:szCs w:val="21"/>
          <w:highlight w:val="none"/>
        </w:rPr>
        <w:t>采用加权平均法：</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p>
    <w:p w14:paraId="652995CC">
      <w:pPr>
        <w:spacing w:line="360" w:lineRule="auto"/>
        <w:ind w:firstLine="630" w:firstLineChars="300"/>
        <w:rPr>
          <w:rFonts w:ascii="宋体"/>
          <w:color w:val="auto"/>
          <w:szCs w:val="21"/>
          <w:highlight w:val="none"/>
        </w:rPr>
      </w:pPr>
      <w:r>
        <w:rPr>
          <w:rFonts w:hint="eastAsia" w:ascii="宋体" w:hAnsi="宋体"/>
          <w:color w:val="auto"/>
          <w:szCs w:val="21"/>
          <w:highlight w:val="none"/>
        </w:rPr>
        <w:t>采用算</w:t>
      </w:r>
      <w:r>
        <w:rPr>
          <w:rFonts w:hint="eastAsia" w:ascii="宋体" w:hAnsi="宋体"/>
          <w:color w:val="auto"/>
          <w:szCs w:val="21"/>
          <w:highlight w:val="none"/>
          <w:lang w:eastAsia="zh-CN"/>
        </w:rPr>
        <w:t>术</w:t>
      </w:r>
      <w:r>
        <w:rPr>
          <w:rFonts w:hint="eastAsia" w:ascii="宋体" w:hAnsi="宋体"/>
          <w:color w:val="auto"/>
          <w:szCs w:val="21"/>
          <w:highlight w:val="none"/>
        </w:rPr>
        <w:t>平均法：</w:t>
      </w:r>
      <w:r>
        <w:rPr>
          <w:rFonts w:ascii="宋体" w:hAnsi="宋体"/>
          <w:color w:val="auto"/>
          <w:szCs w:val="21"/>
          <w:highlight w:val="none"/>
          <w:u w:val="single"/>
        </w:rPr>
        <w:t xml:space="preserve"> </w:t>
      </w:r>
      <w:r>
        <w:rPr>
          <w:rFonts w:hint="eastAsia" w:ascii="宋体" w:hAnsi="宋体"/>
          <w:color w:val="auto"/>
          <w:szCs w:val="21"/>
          <w:highlight w:val="none"/>
          <w:u w:val="single"/>
        </w:rPr>
        <w:t>/</w:t>
      </w:r>
      <w:r>
        <w:rPr>
          <w:rFonts w:ascii="宋体" w:hAnsi="宋体"/>
          <w:color w:val="auto"/>
          <w:szCs w:val="21"/>
          <w:highlight w:val="none"/>
          <w:u w:val="single"/>
        </w:rPr>
        <w:t xml:space="preserve">                                                     </w:t>
      </w:r>
    </w:p>
    <w:p w14:paraId="48F726FB">
      <w:pPr>
        <w:spacing w:line="420" w:lineRule="auto"/>
        <w:ind w:firstLine="630" w:firstLineChars="300"/>
        <w:rPr>
          <w:rFonts w:ascii="宋体" w:hAnsi="宋体"/>
          <w:color w:val="auto"/>
          <w:szCs w:val="21"/>
          <w:highlight w:val="none"/>
          <w:u w:val="single"/>
        </w:rPr>
      </w:pPr>
      <w:r>
        <w:rPr>
          <w:rFonts w:hint="eastAsia" w:ascii="宋体" w:hAnsi="宋体"/>
          <w:color w:val="auto"/>
          <w:szCs w:val="21"/>
          <w:highlight w:val="none"/>
        </w:rPr>
        <w:t>采用其他计算方法：</w:t>
      </w:r>
      <w:r>
        <w:rPr>
          <w:rFonts w:hint="eastAsia" w:ascii="宋体" w:hAnsi="宋体"/>
          <w:color w:val="auto"/>
          <w:szCs w:val="21"/>
          <w:highlight w:val="none"/>
          <w:u w:val="single"/>
        </w:rPr>
        <w:t>材料和机械价格波动的风险幅度确定原则均以材料（设备）、施工机具台班等对应除税单价为依据计算。</w:t>
      </w:r>
    </w:p>
    <w:p w14:paraId="4093BDF0">
      <w:pPr>
        <w:spacing w:line="420" w:lineRule="auto"/>
        <w:ind w:firstLine="630" w:firstLineChars="300"/>
        <w:rPr>
          <w:rFonts w:ascii="宋体" w:hAnsi="宋体"/>
          <w:color w:val="auto"/>
          <w:szCs w:val="21"/>
          <w:highlight w:val="none"/>
          <w:u w:val="single"/>
        </w:rPr>
      </w:pPr>
      <w:r>
        <w:rPr>
          <w:rFonts w:hint="eastAsia" w:ascii="宋体" w:hAnsi="宋体"/>
          <w:color w:val="auto"/>
          <w:szCs w:val="21"/>
          <w:highlight w:val="none"/>
          <w:u w:val="single"/>
        </w:rPr>
        <w:t>①以北京市建设工程造价管理机构发布的《北京工程造价信息》投标报价基准期中的市场信息价格（以下简称造价信息价格）为依据，造价信息价格中有上、下限的，以下限为准，造价信息价格中没有的，按发包人、承包人共同确认的市场价格为准；</w:t>
      </w:r>
    </w:p>
    <w:p w14:paraId="146B8E53">
      <w:pPr>
        <w:spacing w:line="420" w:lineRule="auto"/>
        <w:ind w:firstLine="630" w:firstLineChars="300"/>
        <w:rPr>
          <w:rFonts w:ascii="宋体" w:hAnsi="宋体"/>
          <w:color w:val="auto"/>
          <w:szCs w:val="21"/>
          <w:highlight w:val="none"/>
          <w:u w:val="single"/>
        </w:rPr>
      </w:pPr>
      <w:r>
        <w:rPr>
          <w:rFonts w:hint="eastAsia" w:ascii="宋体" w:hAnsi="宋体"/>
          <w:color w:val="auto"/>
          <w:szCs w:val="21"/>
          <w:highlight w:val="none"/>
          <w:u w:val="single"/>
        </w:rPr>
        <w:t>②当投标报价时的单价低于投标报价期对应的造价信息价格时，按施工期对应的造价信息价格与投标报价期对应的造价信息价格计算其变化幅度；当投标报价时的单价高于投标报价期对应的造价信息价格时，按施工期对应的造价信息价格与投标报价时的价格计算其变化幅度。</w:t>
      </w:r>
    </w:p>
    <w:p w14:paraId="0F3E4F6E">
      <w:pPr>
        <w:spacing w:line="420" w:lineRule="auto"/>
        <w:ind w:firstLine="630" w:firstLineChars="300"/>
        <w:rPr>
          <w:rFonts w:ascii="宋体" w:hAnsi="宋体"/>
          <w:color w:val="auto"/>
          <w:szCs w:val="21"/>
          <w:highlight w:val="none"/>
          <w:u w:val="single"/>
        </w:rPr>
      </w:pPr>
      <w:r>
        <w:rPr>
          <w:rFonts w:ascii="宋体" w:hAnsi="宋体"/>
          <w:color w:val="auto"/>
          <w:szCs w:val="21"/>
          <w:highlight w:val="none"/>
          <w:u w:val="single"/>
        </w:rPr>
        <w:t>P=(Cs-Ct)</w:t>
      </w:r>
      <w:r>
        <w:rPr>
          <w:rFonts w:hint="eastAsia" w:ascii="宋体" w:hAnsi="宋体"/>
          <w:color w:val="auto"/>
          <w:szCs w:val="21"/>
          <w:highlight w:val="none"/>
          <w:u w:val="single"/>
        </w:rPr>
        <w:t>/</w:t>
      </w:r>
      <w:r>
        <w:rPr>
          <w:rFonts w:ascii="宋体" w:hAnsi="宋体"/>
          <w:color w:val="auto"/>
          <w:szCs w:val="21"/>
          <w:highlight w:val="none"/>
          <w:u w:val="single"/>
        </w:rPr>
        <w:t>Ct×100%</w:t>
      </w:r>
    </w:p>
    <w:p w14:paraId="6CC29A02">
      <w:pPr>
        <w:spacing w:line="420" w:lineRule="auto"/>
        <w:ind w:firstLine="630" w:firstLineChars="300"/>
        <w:rPr>
          <w:rFonts w:ascii="宋体" w:hAnsi="宋体"/>
          <w:color w:val="auto"/>
          <w:szCs w:val="21"/>
          <w:highlight w:val="none"/>
          <w:u w:val="single"/>
        </w:rPr>
      </w:pPr>
      <w:r>
        <w:rPr>
          <w:rFonts w:hint="eastAsia" w:ascii="宋体" w:hAnsi="宋体"/>
          <w:color w:val="auto"/>
          <w:szCs w:val="21"/>
          <w:highlight w:val="none"/>
          <w:u w:val="single"/>
        </w:rPr>
        <w:t>其中：“P”为价格变化幅度</w:t>
      </w:r>
    </w:p>
    <w:p w14:paraId="6A6E5B6E">
      <w:pPr>
        <w:spacing w:line="420" w:lineRule="auto"/>
        <w:ind w:firstLine="630" w:firstLineChars="300"/>
        <w:rPr>
          <w:rFonts w:ascii="宋体" w:hAnsi="宋体"/>
          <w:color w:val="auto"/>
          <w:szCs w:val="21"/>
          <w:highlight w:val="none"/>
          <w:u w:val="single"/>
        </w:rPr>
      </w:pPr>
      <w:r>
        <w:rPr>
          <w:rFonts w:hint="eastAsia" w:ascii="宋体" w:hAnsi="宋体"/>
          <w:color w:val="auto"/>
          <w:szCs w:val="21"/>
          <w:highlight w:val="none"/>
          <w:u w:val="single"/>
        </w:rPr>
        <w:t>“Cs”为施工期造价信息价格</w:t>
      </w:r>
    </w:p>
    <w:p w14:paraId="66EEEA5F">
      <w:pPr>
        <w:spacing w:line="420" w:lineRule="auto"/>
        <w:ind w:firstLine="630" w:firstLineChars="300"/>
        <w:rPr>
          <w:rFonts w:ascii="宋体" w:hAnsi="宋体"/>
          <w:color w:val="auto"/>
          <w:szCs w:val="21"/>
          <w:highlight w:val="none"/>
          <w:u w:val="single"/>
        </w:rPr>
      </w:pPr>
      <w:r>
        <w:rPr>
          <w:rFonts w:hint="eastAsia" w:ascii="宋体" w:hAnsi="宋体"/>
          <w:color w:val="auto"/>
          <w:szCs w:val="21"/>
          <w:highlight w:val="none"/>
          <w:u w:val="single"/>
        </w:rPr>
        <w:t>“Ct”：当投标报价时的单价低于投标报价期对应的造价信息价格时，为投标期造价信息价格；当投标报价时的单价高于投标报价期对应的造价信息价格时，为投标报价时的单价。</w:t>
      </w:r>
    </w:p>
    <w:p w14:paraId="712B1634">
      <w:pPr>
        <w:spacing w:line="420" w:lineRule="auto"/>
        <w:ind w:firstLine="630" w:firstLineChars="300"/>
        <w:rPr>
          <w:rFonts w:ascii="宋体" w:hAnsi="宋体"/>
          <w:color w:val="auto"/>
          <w:szCs w:val="21"/>
          <w:highlight w:val="none"/>
          <w:u w:val="single"/>
        </w:rPr>
      </w:pPr>
      <w:r>
        <w:rPr>
          <w:rFonts w:hint="eastAsia" w:ascii="宋体" w:hAnsi="宋体"/>
          <w:color w:val="auto"/>
          <w:szCs w:val="21"/>
          <w:highlight w:val="none"/>
          <w:u w:val="single"/>
        </w:rPr>
        <w:t>计算后的差价仅计取税金。</w:t>
      </w:r>
    </w:p>
    <w:p w14:paraId="0F2E0500">
      <w:pPr>
        <w:spacing w:line="420" w:lineRule="auto"/>
        <w:ind w:firstLine="630" w:firstLineChars="300"/>
        <w:rPr>
          <w:rFonts w:ascii="宋体" w:hAnsi="宋体"/>
          <w:color w:val="auto"/>
          <w:szCs w:val="21"/>
          <w:highlight w:val="none"/>
          <w:u w:val="single"/>
        </w:rPr>
      </w:pPr>
      <w:r>
        <w:rPr>
          <w:rFonts w:hint="eastAsia" w:ascii="宋体" w:hAnsi="宋体"/>
          <w:color w:val="auto"/>
          <w:szCs w:val="21"/>
          <w:highlight w:val="none"/>
          <w:u w:val="single"/>
        </w:rPr>
        <w:t>③主要材料和机械市场价格的变化幅度小于或等于合同中约定的价格变化幅度时，不做调整；变化幅度大于合同中约定的价格变化幅度时，应当计算超过部分的价差，其价差由发包人承担或受益。</w:t>
      </w:r>
    </w:p>
    <w:p w14:paraId="66BA681A">
      <w:pPr>
        <w:spacing w:line="420" w:lineRule="auto"/>
        <w:ind w:firstLine="630" w:firstLineChars="300"/>
        <w:rPr>
          <w:rFonts w:ascii="宋体" w:hAnsi="宋体"/>
          <w:color w:val="auto"/>
          <w:szCs w:val="21"/>
          <w:highlight w:val="none"/>
          <w:u w:val="single"/>
        </w:rPr>
      </w:pPr>
      <w:r>
        <w:rPr>
          <w:rFonts w:hint="eastAsia" w:ascii="宋体" w:hAnsi="宋体"/>
          <w:color w:val="auto"/>
          <w:szCs w:val="21"/>
          <w:highlight w:val="none"/>
          <w:u w:val="single"/>
        </w:rPr>
        <w:t>④人工市场价格的变化幅度小于或等于合同中约定的价格变化幅度时，不做调整；变化幅度大于合同中约定的价格变化幅度时，其价差全部由发包人承担或受益。</w:t>
      </w:r>
    </w:p>
    <w:p w14:paraId="2A867EE9">
      <w:pPr>
        <w:spacing w:line="420" w:lineRule="auto"/>
        <w:ind w:firstLine="630" w:firstLineChars="300"/>
        <w:rPr>
          <w:rFonts w:ascii="宋体" w:hAnsi="宋体"/>
          <w:color w:val="auto"/>
          <w:szCs w:val="21"/>
          <w:highlight w:val="none"/>
          <w:u w:val="single"/>
        </w:rPr>
      </w:pPr>
      <w:r>
        <w:rPr>
          <w:rFonts w:hint="eastAsia" w:ascii="宋体" w:hAnsi="宋体"/>
          <w:color w:val="auto"/>
          <w:szCs w:val="21"/>
          <w:highlight w:val="none"/>
          <w:u w:val="single"/>
        </w:rPr>
        <w:t>⑤发包人、承包人应当按月或按季度对施工期间人工、材料、机械等市场价格进行认价。承包人应当在合同规定的调整情况发生后14天内，将调整原因、金额以书面形式通知发包人，发包人确认调整金额后将其作为追加合同价款，与工程进度款同期支付；发包人收到承包人通知后14天内未予确认也未提出异议的，视为不同意该项调整；</w:t>
      </w:r>
    </w:p>
    <w:p w14:paraId="6AB8FFA1">
      <w:pPr>
        <w:spacing w:line="420" w:lineRule="auto"/>
        <w:ind w:firstLine="630" w:firstLineChars="300"/>
        <w:rPr>
          <w:rFonts w:ascii="宋体" w:hAnsi="宋体"/>
          <w:color w:val="auto"/>
          <w:szCs w:val="21"/>
          <w:highlight w:val="none"/>
          <w:u w:val="single"/>
        </w:rPr>
      </w:pPr>
      <w:r>
        <w:rPr>
          <w:rFonts w:hint="eastAsia" w:ascii="宋体" w:hAnsi="宋体"/>
          <w:color w:val="auto"/>
          <w:szCs w:val="21"/>
          <w:highlight w:val="none"/>
          <w:u w:val="single"/>
        </w:rPr>
        <w:t>⑥当合同规定的调整合同价款的调整情况发生后，承包人未在规定的时间内通知发包人，或者未在规定的时间内提出调整报告，发包人可以根据有关资料，决定是否调整和调整的金额，并书面通知承包人；</w:t>
      </w:r>
    </w:p>
    <w:p w14:paraId="23462D54">
      <w:pPr>
        <w:spacing w:line="420" w:lineRule="auto"/>
        <w:ind w:firstLine="630" w:firstLineChars="300"/>
        <w:rPr>
          <w:rFonts w:ascii="宋体" w:hAnsi="宋体"/>
          <w:color w:val="auto"/>
          <w:szCs w:val="21"/>
          <w:highlight w:val="none"/>
          <w:u w:val="single"/>
        </w:rPr>
      </w:pPr>
      <w:r>
        <w:rPr>
          <w:rFonts w:hint="eastAsia" w:ascii="宋体" w:hAnsi="宋体"/>
          <w:color w:val="auto"/>
          <w:szCs w:val="21"/>
          <w:highlight w:val="none"/>
          <w:u w:val="single"/>
        </w:rPr>
        <w:t>⑦工程量按调整期内完成的相应工程量计算；</w:t>
      </w:r>
    </w:p>
    <w:p w14:paraId="73C17522">
      <w:pPr>
        <w:spacing w:line="360" w:lineRule="auto"/>
        <w:ind w:firstLine="630" w:firstLineChars="300"/>
        <w:rPr>
          <w:rFonts w:ascii="宋体"/>
          <w:color w:val="auto"/>
          <w:szCs w:val="21"/>
          <w:highlight w:val="none"/>
        </w:rPr>
      </w:pPr>
      <w:r>
        <w:rPr>
          <w:rFonts w:hint="eastAsia" w:ascii="宋体" w:hAnsi="宋体"/>
          <w:color w:val="auto"/>
          <w:szCs w:val="21"/>
          <w:highlight w:val="none"/>
          <w:u w:val="single"/>
        </w:rPr>
        <w:t>⑧计算后的差价仅计取税金。</w:t>
      </w:r>
    </w:p>
    <w:p w14:paraId="3D0BEA3E">
      <w:pPr>
        <w:spacing w:line="360" w:lineRule="auto"/>
        <w:ind w:firstLine="630" w:firstLineChars="300"/>
        <w:rPr>
          <w:rFonts w:ascii="宋体"/>
          <w:color w:val="auto"/>
          <w:szCs w:val="21"/>
          <w:highlight w:val="none"/>
          <w:u w:val="single"/>
        </w:rPr>
      </w:pPr>
      <w:r>
        <w:rPr>
          <w:rFonts w:ascii="宋体" w:hAnsi="宋体"/>
          <w:color w:val="auto"/>
          <w:szCs w:val="21"/>
          <w:highlight w:val="none"/>
        </w:rPr>
        <w:t>16.1.2</w:t>
      </w:r>
      <w:r>
        <w:rPr>
          <w:rFonts w:ascii="宋体"/>
          <w:color w:val="auto"/>
          <w:szCs w:val="21"/>
          <w:highlight w:val="none"/>
        </w:rPr>
        <w:t>.</w:t>
      </w:r>
      <w:r>
        <w:rPr>
          <w:rFonts w:ascii="宋体" w:hAnsi="宋体"/>
          <w:color w:val="auto"/>
          <w:szCs w:val="21"/>
          <w:highlight w:val="none"/>
        </w:rPr>
        <w:t xml:space="preserve">4  </w:t>
      </w:r>
      <w:r>
        <w:rPr>
          <w:rFonts w:hint="eastAsia" w:ascii="宋体" w:hAnsi="宋体"/>
          <w:color w:val="auto"/>
          <w:szCs w:val="21"/>
          <w:highlight w:val="none"/>
        </w:rPr>
        <w:t>其他约定：</w:t>
      </w:r>
      <w:r>
        <w:rPr>
          <w:rFonts w:hint="eastAsia" w:ascii="宋体" w:hAnsi="宋体"/>
          <w:color w:val="auto"/>
          <w:szCs w:val="21"/>
          <w:highlight w:val="none"/>
          <w:u w:val="single"/>
        </w:rPr>
        <w:t>造价信息调整时价格应参照北京市建设工程造价管理协会公布的价格信息</w:t>
      </w:r>
      <w:r>
        <w:rPr>
          <w:rFonts w:ascii="宋体" w:hAnsi="宋体"/>
          <w:color w:val="auto"/>
          <w:szCs w:val="21"/>
          <w:highlight w:val="none"/>
          <w:u w:val="single"/>
        </w:rPr>
        <w:t xml:space="preserve">  </w:t>
      </w:r>
    </w:p>
    <w:p w14:paraId="15CABC90">
      <w:pPr>
        <w:spacing w:line="360" w:lineRule="auto"/>
        <w:ind w:firstLine="420" w:firstLineChars="200"/>
        <w:rPr>
          <w:rFonts w:ascii="宋体"/>
          <w:color w:val="auto"/>
          <w:szCs w:val="21"/>
          <w:highlight w:val="none"/>
        </w:rPr>
      </w:pPr>
      <w:r>
        <w:rPr>
          <w:rFonts w:ascii="宋体" w:hAnsi="宋体"/>
          <w:color w:val="auto"/>
          <w:szCs w:val="21"/>
          <w:highlight w:val="none"/>
        </w:rPr>
        <w:t xml:space="preserve">16.1.3  </w:t>
      </w:r>
      <w:r>
        <w:rPr>
          <w:rFonts w:hint="eastAsia" w:ascii="宋体" w:hAnsi="宋体"/>
          <w:color w:val="auto"/>
          <w:szCs w:val="21"/>
          <w:highlight w:val="none"/>
        </w:rPr>
        <w:t>其他价格调整方法</w:t>
      </w:r>
    </w:p>
    <w:p w14:paraId="0AAAD13E">
      <w:pPr>
        <w:spacing w:line="360" w:lineRule="auto"/>
        <w:ind w:left="424" w:leftChars="202"/>
        <w:rPr>
          <w:rFonts w:ascii="宋体"/>
          <w:color w:val="auto"/>
          <w:szCs w:val="21"/>
          <w:highlight w:val="none"/>
        </w:rPr>
      </w:pPr>
      <w:r>
        <w:rPr>
          <w:rFonts w:ascii="宋体" w:hAnsi="宋体"/>
          <w:color w:val="auto"/>
          <w:szCs w:val="21"/>
          <w:highlight w:val="none"/>
          <w:u w:val="single"/>
        </w:rPr>
        <w:t xml:space="preserve">    /                                                                  </w:t>
      </w:r>
    </w:p>
    <w:p w14:paraId="464C5ACA">
      <w:pPr>
        <w:keepNext/>
        <w:keepLines/>
        <w:spacing w:before="120" w:beforeLines="50" w:after="120" w:afterLines="50" w:line="360" w:lineRule="auto"/>
        <w:outlineLvl w:val="1"/>
        <w:rPr>
          <w:rFonts w:ascii="宋体" w:hAnsi="宋体" w:cs="宋体"/>
          <w:color w:val="auto"/>
          <w:sz w:val="28"/>
          <w:szCs w:val="20"/>
          <w:highlight w:val="none"/>
        </w:rPr>
      </w:pPr>
      <w:bookmarkStart w:id="1911" w:name="_Toc489280234"/>
      <w:bookmarkStart w:id="1912" w:name="_Toc22956"/>
      <w:bookmarkStart w:id="1913" w:name="_Toc486580428"/>
      <w:bookmarkStart w:id="1914" w:name="_Toc485323202"/>
      <w:bookmarkStart w:id="1915" w:name="_Toc490331719"/>
      <w:bookmarkStart w:id="1916" w:name="_Toc497214097"/>
      <w:bookmarkStart w:id="1917" w:name="_Toc5598"/>
      <w:r>
        <w:rPr>
          <w:rFonts w:ascii="宋体" w:hAnsi="宋体" w:cs="宋体"/>
          <w:color w:val="auto"/>
          <w:sz w:val="28"/>
          <w:szCs w:val="20"/>
          <w:highlight w:val="none"/>
        </w:rPr>
        <w:t>17.</w:t>
      </w:r>
      <w:r>
        <w:rPr>
          <w:rFonts w:hint="eastAsia" w:ascii="宋体" w:hAnsi="宋体" w:cs="宋体"/>
          <w:color w:val="auto"/>
          <w:sz w:val="28"/>
          <w:szCs w:val="20"/>
          <w:highlight w:val="none"/>
        </w:rPr>
        <w:t>计量与支付</w:t>
      </w:r>
      <w:bookmarkEnd w:id="1911"/>
      <w:bookmarkEnd w:id="1912"/>
      <w:bookmarkEnd w:id="1913"/>
      <w:bookmarkEnd w:id="1914"/>
      <w:bookmarkEnd w:id="1915"/>
      <w:bookmarkEnd w:id="1916"/>
      <w:bookmarkEnd w:id="1917"/>
    </w:p>
    <w:p w14:paraId="34B9DF50">
      <w:pPr>
        <w:keepNext/>
        <w:keepLines/>
        <w:spacing w:before="120" w:beforeLines="50" w:after="120" w:afterLines="50" w:line="360" w:lineRule="auto"/>
        <w:outlineLvl w:val="2"/>
        <w:rPr>
          <w:rFonts w:ascii="宋体" w:hAnsi="宋体"/>
          <w:color w:val="auto"/>
          <w:kern w:val="0"/>
          <w:sz w:val="24"/>
          <w:szCs w:val="20"/>
          <w:highlight w:val="none"/>
        </w:rPr>
      </w:pPr>
      <w:bookmarkStart w:id="1918" w:name="_Toc3139"/>
      <w:bookmarkStart w:id="1919" w:name="_Toc497214098"/>
      <w:bookmarkStart w:id="1920" w:name="_Toc490331720"/>
      <w:bookmarkStart w:id="1921" w:name="_Toc485323203"/>
      <w:bookmarkStart w:id="1922" w:name="_Toc486580429"/>
      <w:bookmarkStart w:id="1923" w:name="_Toc32674"/>
      <w:bookmarkStart w:id="1924" w:name="_Toc489280235"/>
      <w:r>
        <w:rPr>
          <w:rFonts w:ascii="宋体" w:hAnsi="宋体"/>
          <w:color w:val="auto"/>
          <w:kern w:val="0"/>
          <w:sz w:val="24"/>
          <w:szCs w:val="20"/>
          <w:highlight w:val="none"/>
        </w:rPr>
        <w:t xml:space="preserve">17.1  </w:t>
      </w:r>
      <w:r>
        <w:rPr>
          <w:rFonts w:hint="eastAsia" w:ascii="宋体" w:hAnsi="宋体"/>
          <w:color w:val="auto"/>
          <w:kern w:val="0"/>
          <w:sz w:val="24"/>
          <w:szCs w:val="20"/>
          <w:highlight w:val="none"/>
        </w:rPr>
        <w:t>计量</w:t>
      </w:r>
      <w:bookmarkEnd w:id="1918"/>
      <w:bookmarkEnd w:id="1919"/>
      <w:bookmarkEnd w:id="1920"/>
      <w:bookmarkEnd w:id="1921"/>
      <w:bookmarkEnd w:id="1922"/>
      <w:bookmarkEnd w:id="1923"/>
      <w:bookmarkEnd w:id="1924"/>
    </w:p>
    <w:p w14:paraId="4545E704">
      <w:pPr>
        <w:spacing w:line="360" w:lineRule="auto"/>
        <w:ind w:firstLine="420" w:firstLineChars="200"/>
        <w:rPr>
          <w:rFonts w:ascii="宋体" w:cs="Arial"/>
          <w:color w:val="auto"/>
          <w:highlight w:val="none"/>
        </w:rPr>
      </w:pPr>
      <w:r>
        <w:rPr>
          <w:rFonts w:ascii="宋体" w:hAnsi="宋体" w:cs="Arial"/>
          <w:color w:val="auto"/>
          <w:highlight w:val="none"/>
        </w:rPr>
        <w:t xml:space="preserve">17.1.3  </w:t>
      </w:r>
      <w:r>
        <w:rPr>
          <w:rFonts w:hint="eastAsia" w:ascii="宋体" w:hAnsi="宋体" w:cs="Arial"/>
          <w:color w:val="auto"/>
          <w:highlight w:val="none"/>
        </w:rPr>
        <w:t>计量周期</w:t>
      </w:r>
    </w:p>
    <w:p w14:paraId="71C28353">
      <w:pPr>
        <w:spacing w:line="360" w:lineRule="auto"/>
        <w:ind w:firstLine="420" w:firstLineChars="200"/>
        <w:rPr>
          <w:rFonts w:asci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1</w:t>
      </w:r>
      <w:r>
        <w:rPr>
          <w:rFonts w:hint="eastAsia" w:ascii="宋体" w:hAnsi="宋体"/>
          <w:color w:val="auto"/>
          <w:szCs w:val="21"/>
          <w:highlight w:val="none"/>
        </w:rPr>
        <w:t>）每月</w:t>
      </w:r>
      <w:r>
        <w:rPr>
          <w:rFonts w:ascii="宋体" w:hAnsi="宋体"/>
          <w:color w:val="auto"/>
          <w:szCs w:val="21"/>
          <w:highlight w:val="none"/>
          <w:u w:val="single"/>
        </w:rPr>
        <w:t xml:space="preserve">  25  </w:t>
      </w:r>
      <w:r>
        <w:rPr>
          <w:rFonts w:hint="eastAsia" w:ascii="宋体" w:hAnsi="宋体"/>
          <w:color w:val="auto"/>
          <w:szCs w:val="21"/>
          <w:highlight w:val="none"/>
        </w:rPr>
        <w:t>日为当月计量截止日期（不含当日）和下月计量起始日期（含当日）。</w:t>
      </w:r>
    </w:p>
    <w:p w14:paraId="068927A9">
      <w:pPr>
        <w:spacing w:line="360" w:lineRule="auto"/>
        <w:ind w:left="105" w:leftChars="50" w:firstLine="315" w:firstLineChars="150"/>
        <w:rPr>
          <w:rFonts w:ascii="宋体" w:cs="Arial"/>
          <w:color w:val="auto"/>
          <w:highlight w:val="none"/>
        </w:rPr>
      </w:pPr>
      <w:r>
        <w:rPr>
          <w:rFonts w:hint="eastAsia" w:ascii="宋体" w:hAnsi="宋体" w:cs="Arial"/>
          <w:color w:val="auto"/>
          <w:highlight w:val="none"/>
        </w:rPr>
        <w:t>（</w:t>
      </w:r>
      <w:r>
        <w:rPr>
          <w:rFonts w:ascii="宋体" w:hAnsi="宋体" w:cs="Arial"/>
          <w:color w:val="auto"/>
          <w:highlight w:val="none"/>
        </w:rPr>
        <w:t>2</w:t>
      </w:r>
      <w:r>
        <w:rPr>
          <w:rFonts w:hint="eastAsia" w:ascii="宋体" w:hAnsi="宋体" w:cs="Arial"/>
          <w:color w:val="auto"/>
          <w:highlight w:val="none"/>
        </w:rPr>
        <w:t>）本合同</w:t>
      </w:r>
      <w:r>
        <w:rPr>
          <w:rFonts w:ascii="宋体" w:hAnsi="宋体" w:cs="Arial"/>
          <w:color w:val="auto"/>
          <w:highlight w:val="none"/>
          <w:u w:val="single"/>
        </w:rPr>
        <w:t xml:space="preserve">  </w:t>
      </w:r>
      <w:r>
        <w:rPr>
          <w:rFonts w:hint="eastAsia" w:ascii="宋体" w:hAnsi="宋体" w:cs="Arial"/>
          <w:color w:val="auto"/>
          <w:highlight w:val="none"/>
          <w:u w:val="single"/>
        </w:rPr>
        <w:t xml:space="preserve">执行 </w:t>
      </w:r>
      <w:r>
        <w:rPr>
          <w:rFonts w:hint="eastAsia" w:ascii="宋体" w:hAnsi="宋体" w:cs="Arial"/>
          <w:color w:val="auto"/>
          <w:highlight w:val="none"/>
        </w:rPr>
        <w:t>（执行（采用单价合同形式时）/不执行（采用总价合同形式时））</w:t>
      </w:r>
      <w:r>
        <w:rPr>
          <w:rFonts w:hint="eastAsia"/>
          <w:color w:val="auto"/>
          <w:highlight w:val="none"/>
        </w:rPr>
        <w:t>单价子目已完成工程量按月计量</w:t>
      </w:r>
      <w:r>
        <w:rPr>
          <w:rFonts w:hint="eastAsia" w:ascii="宋体" w:hAnsi="宋体" w:cs="Arial"/>
          <w:color w:val="auto"/>
          <w:highlight w:val="none"/>
        </w:rPr>
        <w:t>。</w:t>
      </w:r>
    </w:p>
    <w:p w14:paraId="029E3769">
      <w:pPr>
        <w:spacing w:line="360" w:lineRule="auto"/>
        <w:ind w:left="105" w:leftChars="50" w:firstLine="315" w:firstLineChars="150"/>
        <w:rPr>
          <w:rFonts w:ascii="宋体" w:cs="Arial"/>
          <w:color w:val="auto"/>
          <w:highlight w:val="none"/>
        </w:rPr>
      </w:pPr>
      <w:r>
        <w:rPr>
          <w:rFonts w:hint="eastAsia" w:ascii="宋体" w:hAnsi="宋体" w:cs="Arial"/>
          <w:color w:val="auto"/>
          <w:highlight w:val="none"/>
        </w:rPr>
        <w:t>（</w:t>
      </w:r>
      <w:r>
        <w:rPr>
          <w:rFonts w:ascii="宋体" w:hAnsi="宋体" w:cs="Arial"/>
          <w:color w:val="auto"/>
          <w:highlight w:val="none"/>
        </w:rPr>
        <w:t>3</w:t>
      </w:r>
      <w:r>
        <w:rPr>
          <w:rFonts w:hint="eastAsia" w:ascii="宋体" w:hAnsi="宋体" w:cs="Arial"/>
          <w:color w:val="auto"/>
          <w:highlight w:val="none"/>
        </w:rPr>
        <w:t>）</w:t>
      </w:r>
      <w:r>
        <w:rPr>
          <w:rFonts w:hint="eastAsia" w:ascii="宋体" w:hAnsi="宋体"/>
          <w:color w:val="auto"/>
          <w:szCs w:val="21"/>
          <w:highlight w:val="none"/>
        </w:rPr>
        <w:t>总价子目计量方式采用</w:t>
      </w:r>
      <w:r>
        <w:rPr>
          <w:rFonts w:ascii="宋体" w:hAnsi="宋体"/>
          <w:color w:val="auto"/>
          <w:szCs w:val="21"/>
          <w:highlight w:val="none"/>
          <w:u w:val="single"/>
        </w:rPr>
        <w:t xml:space="preserve">  </w:t>
      </w:r>
      <w:r>
        <w:rPr>
          <w:rFonts w:hint="eastAsia" w:ascii="宋体" w:hAnsi="宋体"/>
          <w:color w:val="auto"/>
          <w:szCs w:val="21"/>
          <w:highlight w:val="none"/>
          <w:u w:val="single"/>
        </w:rPr>
        <w:t>按实际完成工程量计量</w:t>
      </w:r>
      <w:r>
        <w:rPr>
          <w:rFonts w:ascii="宋体" w:hAnsi="宋体"/>
          <w:color w:val="auto"/>
          <w:szCs w:val="21"/>
          <w:highlight w:val="none"/>
          <w:u w:val="single"/>
        </w:rPr>
        <w:t xml:space="preserve">    </w:t>
      </w:r>
      <w:r>
        <w:rPr>
          <w:rFonts w:hint="eastAsia" w:ascii="宋体" w:hAnsi="宋体" w:cs="Arial"/>
          <w:color w:val="auto"/>
          <w:szCs w:val="21"/>
          <w:highlight w:val="none"/>
        </w:rPr>
        <w:t>（支付分解报告/按实际完成工程量计量）</w:t>
      </w:r>
      <w:r>
        <w:rPr>
          <w:rFonts w:hint="eastAsia" w:ascii="宋体" w:hAnsi="宋体" w:cs="Arial"/>
          <w:color w:val="auto"/>
          <w:highlight w:val="none"/>
        </w:rPr>
        <w:t>。</w:t>
      </w:r>
    </w:p>
    <w:p w14:paraId="161E8859">
      <w:pPr>
        <w:spacing w:line="360" w:lineRule="auto"/>
        <w:ind w:firstLine="420" w:firstLineChars="200"/>
        <w:rPr>
          <w:rFonts w:ascii="宋体"/>
          <w:color w:val="auto"/>
          <w:highlight w:val="none"/>
        </w:rPr>
      </w:pPr>
      <w:r>
        <w:rPr>
          <w:rFonts w:ascii="宋体" w:hAnsi="宋体" w:cs="Arial"/>
          <w:color w:val="auto"/>
          <w:highlight w:val="none"/>
        </w:rPr>
        <w:t xml:space="preserve">17.1.5  </w:t>
      </w:r>
      <w:r>
        <w:rPr>
          <w:rFonts w:hint="eastAsia" w:ascii="宋体" w:hAnsi="宋体" w:cs="Arial"/>
          <w:color w:val="auto"/>
          <w:highlight w:val="none"/>
        </w:rPr>
        <w:t>总价子目的计量</w:t>
      </w:r>
      <w:r>
        <w:rPr>
          <w:rFonts w:hint="eastAsia" w:ascii="宋体" w:hAnsi="宋体"/>
          <w:color w:val="auto"/>
          <w:highlight w:val="none"/>
        </w:rPr>
        <w:t>（适用于采用支付分解报告）</w:t>
      </w:r>
    </w:p>
    <w:p w14:paraId="1707933A">
      <w:pPr>
        <w:spacing w:line="360" w:lineRule="auto"/>
        <w:ind w:firstLine="420" w:firstLineChars="200"/>
        <w:rPr>
          <w:rFonts w:ascii="宋体" w:cs="Arial"/>
          <w:color w:val="auto"/>
          <w:highlight w:val="none"/>
          <w:u w:val="single"/>
        </w:rPr>
      </w:pPr>
      <w:r>
        <w:rPr>
          <w:rFonts w:hint="eastAsia" w:ascii="宋体" w:hAnsi="宋体" w:cs="Arial"/>
          <w:color w:val="auto"/>
          <w:highlight w:val="none"/>
        </w:rPr>
        <w:t>（</w:t>
      </w:r>
      <w:r>
        <w:rPr>
          <w:rFonts w:ascii="宋体" w:hAnsi="宋体" w:cs="Arial"/>
          <w:color w:val="auto"/>
          <w:highlight w:val="none"/>
        </w:rPr>
        <w:t>1</w:t>
      </w:r>
      <w:r>
        <w:rPr>
          <w:rFonts w:hint="eastAsia" w:ascii="宋体" w:hAnsi="宋体" w:cs="Arial"/>
          <w:color w:val="auto"/>
          <w:highlight w:val="none"/>
        </w:rPr>
        <w:t>）</w:t>
      </w:r>
      <w:r>
        <w:rPr>
          <w:rFonts w:hint="eastAsia" w:ascii="宋体" w:hAnsi="宋体"/>
          <w:color w:val="auto"/>
          <w:highlight w:val="none"/>
        </w:rPr>
        <w:t>采用支付分解报告计量方式的，</w:t>
      </w:r>
      <w:r>
        <w:rPr>
          <w:rFonts w:hint="eastAsia" w:ascii="宋体" w:hAnsi="宋体" w:cs="Arial"/>
          <w:color w:val="auto"/>
          <w:highlight w:val="none"/>
        </w:rPr>
        <w:t>总价</w:t>
      </w:r>
      <w:r>
        <w:rPr>
          <w:rFonts w:hint="eastAsia" w:ascii="宋体" w:hAnsi="宋体"/>
          <w:color w:val="auto"/>
          <w:szCs w:val="21"/>
          <w:highlight w:val="none"/>
        </w:rPr>
        <w:t>子目</w:t>
      </w:r>
      <w:r>
        <w:rPr>
          <w:rFonts w:hint="eastAsia" w:ascii="宋体" w:hAnsi="宋体" w:cs="Arial"/>
          <w:color w:val="auto"/>
          <w:highlight w:val="none"/>
        </w:rPr>
        <w:t>的价格调整方法：</w:t>
      </w:r>
      <w:r>
        <w:rPr>
          <w:rFonts w:ascii="宋体" w:hAnsi="宋体" w:cs="Arial"/>
          <w:color w:val="auto"/>
          <w:highlight w:val="none"/>
          <w:u w:val="single"/>
        </w:rPr>
        <w:t xml:space="preserve"> /               </w:t>
      </w:r>
    </w:p>
    <w:p w14:paraId="0D346E59">
      <w:pPr>
        <w:spacing w:line="360" w:lineRule="auto"/>
        <w:ind w:firstLine="420" w:firstLineChars="200"/>
        <w:rPr>
          <w:rFonts w:ascii="宋体" w:cs="Arial"/>
          <w:color w:val="auto"/>
          <w:highlight w:val="none"/>
        </w:rPr>
      </w:pPr>
      <w:r>
        <w:rPr>
          <w:rFonts w:ascii="宋体" w:hAnsi="宋体" w:cs="Arial"/>
          <w:color w:val="auto"/>
          <w:highlight w:val="none"/>
        </w:rPr>
        <w:t xml:space="preserve">17.1.5  </w:t>
      </w:r>
      <w:r>
        <w:rPr>
          <w:rFonts w:hint="eastAsia" w:ascii="宋体" w:hAnsi="宋体" w:cs="Arial"/>
          <w:color w:val="auto"/>
          <w:highlight w:val="none"/>
        </w:rPr>
        <w:t>总价</w:t>
      </w:r>
      <w:r>
        <w:rPr>
          <w:rFonts w:hint="eastAsia" w:ascii="宋体" w:hAnsi="宋体"/>
          <w:color w:val="auto"/>
          <w:szCs w:val="21"/>
          <w:highlight w:val="none"/>
        </w:rPr>
        <w:t>子目</w:t>
      </w:r>
      <w:r>
        <w:rPr>
          <w:rFonts w:hint="eastAsia" w:ascii="宋体" w:hAnsi="宋体" w:cs="Arial"/>
          <w:color w:val="auto"/>
          <w:highlight w:val="none"/>
        </w:rPr>
        <w:t>的计量（适用于采用按实际完成工程量计量）</w:t>
      </w:r>
    </w:p>
    <w:p w14:paraId="47B83D8F">
      <w:pPr>
        <w:spacing w:line="360" w:lineRule="auto"/>
        <w:ind w:firstLine="420" w:firstLineChars="200"/>
        <w:rPr>
          <w:rFonts w:ascii="宋体" w:cs="Arial"/>
          <w:color w:val="auto"/>
          <w:highlight w:val="none"/>
        </w:rPr>
      </w:pPr>
      <w:r>
        <w:rPr>
          <w:rFonts w:hint="eastAsia" w:ascii="宋体" w:hAnsi="宋体" w:cs="Arial"/>
          <w:color w:val="auto"/>
          <w:highlight w:val="none"/>
        </w:rPr>
        <w:t>（</w:t>
      </w:r>
      <w:r>
        <w:rPr>
          <w:rFonts w:ascii="宋体" w:hAnsi="宋体" w:cs="Arial"/>
          <w:color w:val="auto"/>
          <w:highlight w:val="none"/>
        </w:rPr>
        <w:t>1</w:t>
      </w:r>
      <w:r>
        <w:rPr>
          <w:rFonts w:hint="eastAsia" w:ascii="宋体" w:hAnsi="宋体" w:cs="Arial"/>
          <w:color w:val="auto"/>
          <w:highlight w:val="none"/>
        </w:rPr>
        <w:t>）采用按实际完成工程量计量方式的</w:t>
      </w:r>
      <w:r>
        <w:rPr>
          <w:rFonts w:ascii="宋体" w:cs="Arial"/>
          <w:color w:val="auto"/>
          <w:highlight w:val="none"/>
        </w:rPr>
        <w:t>,</w:t>
      </w:r>
      <w:r>
        <w:rPr>
          <w:rFonts w:hint="eastAsia" w:ascii="宋体" w:hAnsi="宋体" w:cs="Arial"/>
          <w:color w:val="auto"/>
          <w:highlight w:val="none"/>
        </w:rPr>
        <w:t>总价</w:t>
      </w:r>
      <w:r>
        <w:rPr>
          <w:rFonts w:hint="eastAsia" w:ascii="宋体" w:hAnsi="宋体"/>
          <w:color w:val="auto"/>
          <w:szCs w:val="21"/>
          <w:highlight w:val="none"/>
        </w:rPr>
        <w:t>子目</w:t>
      </w:r>
      <w:r>
        <w:rPr>
          <w:rFonts w:hint="eastAsia" w:ascii="宋体" w:hAnsi="宋体" w:cs="Arial"/>
          <w:color w:val="auto"/>
          <w:highlight w:val="none"/>
        </w:rPr>
        <w:t>的价格调整方法：</w:t>
      </w:r>
      <w:r>
        <w:rPr>
          <w:rFonts w:hint="eastAsia" w:ascii="宋体" w:hAnsi="宋体" w:cs="Arial"/>
          <w:color w:val="auto"/>
          <w:highlight w:val="none"/>
          <w:u w:val="single"/>
        </w:rPr>
        <w:t>因非承包人原因引起已标价工程量清单中某个子目工程量的变化幅度超过15%（不含），且承包人或监理人认为该变化引起相关措施项目发生变化的，发包人或监理人要求承包人针对措施项目的变化提交施工调整方案及价格调整报告，监理人批准后确定需调整的措施项目价款。总价子目的计量和支付应以总价为基础，对承包人实际完成的工程量进行计量，是进行工程目标管理和控制进度款支付的依据。总价子目的计量和支付应以总价为基础，对承包人实际完成的工程量进行计量，是进行工程目标管理和控制进度款支付的依据。</w:t>
      </w:r>
      <w:r>
        <w:rPr>
          <w:rFonts w:ascii="宋体" w:hAnsi="宋体" w:cs="Arial"/>
          <w:color w:val="auto"/>
          <w:highlight w:val="none"/>
          <w:u w:val="single"/>
        </w:rPr>
        <w:t xml:space="preserve"> </w:t>
      </w:r>
    </w:p>
    <w:p w14:paraId="0BA61BF2">
      <w:pPr>
        <w:keepNext/>
        <w:keepLines/>
        <w:spacing w:before="120" w:beforeLines="50" w:after="120" w:afterLines="50" w:line="360" w:lineRule="auto"/>
        <w:outlineLvl w:val="2"/>
        <w:rPr>
          <w:rFonts w:ascii="宋体" w:hAnsi="宋体"/>
          <w:color w:val="auto"/>
          <w:kern w:val="0"/>
          <w:sz w:val="24"/>
          <w:szCs w:val="20"/>
          <w:highlight w:val="none"/>
        </w:rPr>
      </w:pPr>
      <w:bookmarkStart w:id="1925" w:name="_Toc497214099"/>
      <w:bookmarkStart w:id="1926" w:name="_Toc31539"/>
      <w:bookmarkStart w:id="1927" w:name="_Toc490331721"/>
      <w:bookmarkStart w:id="1928" w:name="_Toc21938"/>
      <w:bookmarkStart w:id="1929" w:name="_Toc489280236"/>
      <w:bookmarkStart w:id="1930" w:name="_Toc485323204"/>
      <w:bookmarkStart w:id="1931" w:name="_Toc486580430"/>
      <w:r>
        <w:rPr>
          <w:rFonts w:ascii="宋体" w:hAnsi="宋体"/>
          <w:color w:val="auto"/>
          <w:kern w:val="0"/>
          <w:sz w:val="24"/>
          <w:szCs w:val="20"/>
          <w:highlight w:val="none"/>
        </w:rPr>
        <w:t xml:space="preserve">17.2  </w:t>
      </w:r>
      <w:r>
        <w:rPr>
          <w:rFonts w:hint="eastAsia" w:ascii="宋体" w:hAnsi="宋体"/>
          <w:color w:val="auto"/>
          <w:kern w:val="0"/>
          <w:sz w:val="24"/>
          <w:szCs w:val="20"/>
          <w:highlight w:val="none"/>
        </w:rPr>
        <w:t>预付款</w:t>
      </w:r>
      <w:bookmarkEnd w:id="1925"/>
      <w:bookmarkEnd w:id="1926"/>
      <w:bookmarkEnd w:id="1927"/>
      <w:bookmarkEnd w:id="1928"/>
      <w:bookmarkEnd w:id="1929"/>
      <w:bookmarkEnd w:id="1930"/>
      <w:bookmarkEnd w:id="1931"/>
    </w:p>
    <w:p w14:paraId="17494D4A">
      <w:pPr>
        <w:spacing w:line="360" w:lineRule="auto"/>
        <w:ind w:firstLine="420" w:firstLineChars="200"/>
        <w:rPr>
          <w:rFonts w:ascii="宋体" w:cs="Arial"/>
          <w:color w:val="auto"/>
          <w:highlight w:val="none"/>
        </w:rPr>
      </w:pPr>
      <w:r>
        <w:rPr>
          <w:rFonts w:ascii="宋体" w:hAnsi="宋体" w:cs="Arial"/>
          <w:color w:val="auto"/>
          <w:highlight w:val="none"/>
        </w:rPr>
        <w:t xml:space="preserve">17.2.1  </w:t>
      </w:r>
      <w:r>
        <w:rPr>
          <w:rFonts w:hint="eastAsia" w:ascii="宋体" w:hAnsi="宋体" w:cs="Arial"/>
          <w:color w:val="auto"/>
          <w:highlight w:val="none"/>
        </w:rPr>
        <w:t>预付款</w:t>
      </w:r>
    </w:p>
    <w:p w14:paraId="50DFE4A9">
      <w:pPr>
        <w:spacing w:line="360" w:lineRule="auto"/>
        <w:ind w:firstLine="420" w:firstLineChars="200"/>
        <w:rPr>
          <w:rFonts w:asci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1</w:t>
      </w:r>
      <w:r>
        <w:rPr>
          <w:rFonts w:hint="eastAsia" w:ascii="宋体" w:hAnsi="宋体"/>
          <w:color w:val="auto"/>
          <w:szCs w:val="21"/>
          <w:highlight w:val="none"/>
        </w:rPr>
        <w:t>）预付款额度</w:t>
      </w:r>
    </w:p>
    <w:p w14:paraId="753A0D23">
      <w:pPr>
        <w:spacing w:line="360" w:lineRule="auto"/>
        <w:ind w:firstLine="630" w:firstLineChars="300"/>
        <w:rPr>
          <w:rFonts w:ascii="宋体" w:hAnsi="宋体"/>
          <w:color w:val="auto"/>
          <w:szCs w:val="21"/>
          <w:highlight w:val="none"/>
          <w:u w:val="single"/>
        </w:rPr>
      </w:pPr>
      <w:r>
        <w:rPr>
          <w:rFonts w:hint="eastAsia" w:ascii="宋体" w:hAnsi="宋体"/>
          <w:color w:val="auto"/>
          <w:szCs w:val="21"/>
          <w:highlight w:val="none"/>
        </w:rPr>
        <w:t>预付款额度：</w:t>
      </w:r>
      <w:r>
        <w:rPr>
          <w:rFonts w:hint="eastAsia" w:ascii="宋体" w:hAnsi="宋体"/>
          <w:color w:val="auto"/>
          <w:szCs w:val="21"/>
          <w:highlight w:val="none"/>
          <w:u w:val="single"/>
        </w:rPr>
        <w:t>合同总价（扣除安全文明施工费（含税）、农民工工伤保险费、专业工程暂估价（含税）、暂列金额（含税））的</w:t>
      </w:r>
      <w:r>
        <w:rPr>
          <w:rFonts w:hint="eastAsia" w:ascii="宋体" w:hAnsi="宋体"/>
          <w:color w:val="auto"/>
          <w:szCs w:val="21"/>
          <w:highlight w:val="none"/>
          <w:u w:val="single"/>
          <w:lang w:val="en-US" w:eastAsia="zh-CN"/>
        </w:rPr>
        <w:t>3</w:t>
      </w:r>
      <w:r>
        <w:rPr>
          <w:rFonts w:hint="eastAsia" w:ascii="宋体" w:hAnsi="宋体"/>
          <w:color w:val="auto"/>
          <w:szCs w:val="21"/>
          <w:highlight w:val="none"/>
          <w:u w:val="single"/>
        </w:rPr>
        <w:t>0%</w:t>
      </w:r>
    </w:p>
    <w:p w14:paraId="0550AC5A">
      <w:pPr>
        <w:spacing w:line="360" w:lineRule="auto"/>
        <w:ind w:firstLine="630" w:firstLineChars="300"/>
        <w:rPr>
          <w:rFonts w:ascii="宋体" w:hAnsi="宋体"/>
          <w:color w:val="auto"/>
          <w:szCs w:val="21"/>
          <w:highlight w:val="none"/>
        </w:rPr>
      </w:pPr>
      <w:r>
        <w:rPr>
          <w:rFonts w:hint="eastAsia" w:ascii="宋体" w:hAnsi="宋体"/>
          <w:color w:val="auto"/>
          <w:szCs w:val="21"/>
          <w:highlight w:val="none"/>
        </w:rPr>
        <w:t>其中：</w:t>
      </w:r>
      <w:r>
        <w:rPr>
          <w:rFonts w:hint="eastAsia" w:ascii="宋体" w:hAnsi="宋体"/>
          <w:color w:val="auto"/>
          <w:szCs w:val="21"/>
          <w:highlight w:val="none"/>
          <w:u w:val="single"/>
        </w:rPr>
        <w:t xml:space="preserve">农民工工伤保险费：发包人向承包人一次性支付农民工工伤保险费的100%。 </w:t>
      </w:r>
    </w:p>
    <w:p w14:paraId="31A7C440">
      <w:pPr>
        <w:spacing w:line="360" w:lineRule="auto"/>
        <w:ind w:firstLine="420" w:firstLineChars="200"/>
        <w:rPr>
          <w:rFonts w:asci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2</w:t>
      </w:r>
      <w:r>
        <w:rPr>
          <w:rFonts w:hint="eastAsia" w:ascii="宋体" w:hAnsi="宋体"/>
          <w:color w:val="auto"/>
          <w:szCs w:val="21"/>
          <w:highlight w:val="none"/>
        </w:rPr>
        <w:t>）预付办法</w:t>
      </w:r>
    </w:p>
    <w:p w14:paraId="2EE54CF9">
      <w:pPr>
        <w:spacing w:line="360" w:lineRule="auto"/>
        <w:ind w:firstLine="630" w:firstLineChars="300"/>
        <w:rPr>
          <w:rFonts w:ascii="宋体" w:hAnsi="宋体"/>
          <w:color w:val="auto"/>
          <w:szCs w:val="21"/>
          <w:highlight w:val="none"/>
          <w:u w:val="single"/>
        </w:rPr>
      </w:pPr>
      <w:r>
        <w:rPr>
          <w:rFonts w:hint="eastAsia" w:ascii="宋体" w:hAnsi="宋体"/>
          <w:color w:val="auto"/>
          <w:szCs w:val="21"/>
          <w:highlight w:val="none"/>
        </w:rPr>
        <w:t>预付款预付办法：</w:t>
      </w:r>
      <w:r>
        <w:rPr>
          <w:rFonts w:hint="eastAsia" w:ascii="宋体" w:hAnsi="宋体" w:eastAsia="宋体" w:cs="宋体"/>
          <w:color w:val="auto"/>
          <w:szCs w:val="21"/>
          <w:highlight w:val="none"/>
          <w:u w:val="single"/>
        </w:rPr>
        <w:t>甲方付款时乙方提供抬头为付款单位的同等金额发票。在收到承包人正式发票后，发包人一次性向承包人支付预付款</w:t>
      </w:r>
      <w:r>
        <w:rPr>
          <w:rFonts w:hint="eastAsia" w:ascii="宋体" w:hAnsi="宋体"/>
          <w:color w:val="auto"/>
          <w:szCs w:val="21"/>
          <w:highlight w:val="none"/>
          <w:u w:val="single"/>
        </w:rPr>
        <w:t>。承包人不提供合规发票的，发包人有权相应顺延付款期限而无需承担违约责任。</w:t>
      </w:r>
    </w:p>
    <w:p w14:paraId="3E027813">
      <w:pPr>
        <w:spacing w:line="360" w:lineRule="auto"/>
        <w:ind w:firstLine="630" w:firstLineChars="300"/>
        <w:rPr>
          <w:rFonts w:ascii="宋体" w:hAnsi="宋体"/>
          <w:color w:val="auto"/>
          <w:szCs w:val="21"/>
          <w:highlight w:val="none"/>
          <w:u w:val="single"/>
        </w:rPr>
      </w:pPr>
      <w:r>
        <w:rPr>
          <w:rFonts w:hint="eastAsia" w:ascii="宋体" w:hAnsi="宋体"/>
          <w:color w:val="auto"/>
          <w:szCs w:val="21"/>
          <w:highlight w:val="none"/>
        </w:rPr>
        <w:t>预付款的支付时间：</w:t>
      </w:r>
      <w:r>
        <w:rPr>
          <w:rFonts w:hint="eastAsia" w:ascii="宋体" w:hAnsi="宋体"/>
          <w:color w:val="auto"/>
          <w:szCs w:val="21"/>
          <w:highlight w:val="none"/>
          <w:u w:val="single"/>
        </w:rPr>
        <w:t>本合同签订且</w:t>
      </w:r>
      <w:r>
        <w:rPr>
          <w:rFonts w:hint="eastAsia" w:ascii="宋体" w:hAnsi="宋体"/>
          <w:color w:val="auto"/>
          <w:szCs w:val="21"/>
          <w:highlight w:val="none"/>
          <w:u w:val="single"/>
          <w:lang w:eastAsia="zh-CN"/>
        </w:rPr>
        <w:t>根据财政拨付情况待</w:t>
      </w:r>
      <w:r>
        <w:rPr>
          <w:rFonts w:hint="eastAsia" w:ascii="宋体" w:hAnsi="宋体"/>
          <w:color w:val="auto"/>
          <w:szCs w:val="21"/>
          <w:highlight w:val="none"/>
          <w:u w:val="single"/>
        </w:rPr>
        <w:t>财政资金到位后，但需满足上述预付办法约定的条件。</w:t>
      </w:r>
    </w:p>
    <w:p w14:paraId="36AB44A2">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（3）安全文明施工费用预付额度及方式：</w:t>
      </w:r>
    </w:p>
    <w:p w14:paraId="7CD1CD78">
      <w:pPr>
        <w:spacing w:line="360" w:lineRule="auto"/>
        <w:ind w:firstLine="630" w:firstLineChars="300"/>
        <w:rPr>
          <w:rFonts w:ascii="宋体" w:hAnsi="宋体" w:eastAsia="宋体" w:cs="宋体"/>
          <w:color w:val="auto"/>
          <w:szCs w:val="21"/>
          <w:highlight w:val="none"/>
        </w:rPr>
      </w:pPr>
      <w:r>
        <w:rPr>
          <w:rFonts w:hint="eastAsia" w:ascii="宋体" w:hAnsi="宋体" w:eastAsia="宋体" w:cs="宋体"/>
          <w:color w:val="auto"/>
          <w:szCs w:val="21"/>
          <w:highlight w:val="none"/>
        </w:rPr>
        <w:t>安全文明施工费用的预付不受上述预付办法和支付时间约定的制约。安全文明施工费用按以下时间节点和金额进行预付：</w:t>
      </w:r>
    </w:p>
    <w:p w14:paraId="2FC58F0C">
      <w:pPr>
        <w:spacing w:line="360" w:lineRule="auto"/>
        <w:ind w:firstLine="630" w:firstLineChars="300"/>
        <w:rPr>
          <w:rFonts w:ascii="宋体" w:hAnsi="宋体" w:eastAsia="宋体" w:cs="宋体"/>
          <w:color w:val="auto"/>
          <w:szCs w:val="21"/>
          <w:highlight w:val="none"/>
        </w:rPr>
      </w:pPr>
      <w:r>
        <w:rPr>
          <w:rFonts w:hint="eastAsia" w:ascii="宋体" w:hAnsi="宋体" w:eastAsia="宋体" w:cs="宋体"/>
          <w:color w:val="auto"/>
          <w:szCs w:val="21"/>
          <w:highlight w:val="none"/>
        </w:rPr>
        <w:t>发包人应当在不迟于第11.1.1项约定的开工日期前的7天内，将签约合同价中载明的安全文明施工费用总额的50%一次性预付给承包人。</w:t>
      </w:r>
    </w:p>
    <w:p w14:paraId="1EC5C33D">
      <w:pPr>
        <w:spacing w:line="360" w:lineRule="auto"/>
        <w:ind w:firstLine="630" w:firstLineChars="300"/>
        <w:rPr>
          <w:rFonts w:ascii="宋体" w:hAnsi="宋体" w:eastAsia="宋体" w:cs="宋体"/>
          <w:color w:val="auto"/>
          <w:szCs w:val="21"/>
          <w:highlight w:val="none"/>
        </w:rPr>
      </w:pPr>
      <w:r>
        <w:rPr>
          <w:rFonts w:hint="eastAsia" w:ascii="宋体" w:hAnsi="宋体" w:eastAsia="宋体" w:cs="宋体"/>
          <w:color w:val="auto"/>
          <w:szCs w:val="21"/>
          <w:highlight w:val="none"/>
        </w:rPr>
        <w:t>发包人应当在±0.00以下主体结构施工完成或签约合同价中分部分项工程项目的完成价款比例达到30%（两者中以条件先满足的为准）7天内，预付至签约合同价中载明的安全文明施工费用总额的70%。</w:t>
      </w:r>
    </w:p>
    <w:p w14:paraId="58B441F1">
      <w:pPr>
        <w:spacing w:line="360" w:lineRule="auto"/>
        <w:ind w:firstLine="630" w:firstLineChars="300"/>
        <w:rPr>
          <w:rFonts w:ascii="宋体" w:hAnsi="宋体" w:eastAsia="宋体" w:cs="宋体"/>
          <w:color w:val="auto"/>
          <w:szCs w:val="21"/>
          <w:highlight w:val="none"/>
        </w:rPr>
      </w:pPr>
      <w:r>
        <w:rPr>
          <w:rFonts w:hint="eastAsia" w:ascii="宋体" w:hAnsi="宋体" w:eastAsia="宋体" w:cs="宋体"/>
          <w:color w:val="auto"/>
          <w:szCs w:val="21"/>
          <w:highlight w:val="none"/>
        </w:rPr>
        <w:t>发包人应当在安全生产标准化考评、评定达到（含整改后达到）或超过合同约定的安全生产标准化管理目标之日起7天内，预付至签约合同价中载明的安全文明施工费用总额的90%。</w:t>
      </w:r>
    </w:p>
    <w:p w14:paraId="549A9971">
      <w:pPr>
        <w:spacing w:line="360" w:lineRule="auto"/>
        <w:ind w:firstLine="630" w:firstLineChars="300"/>
        <w:rPr>
          <w:rFonts w:ascii="宋体" w:hAnsi="宋体" w:eastAsia="宋体" w:cs="宋体"/>
          <w:color w:val="auto"/>
          <w:szCs w:val="21"/>
          <w:highlight w:val="none"/>
        </w:rPr>
      </w:pPr>
      <w:r>
        <w:rPr>
          <w:rFonts w:hint="eastAsia" w:ascii="宋体" w:hAnsi="宋体" w:eastAsia="宋体" w:cs="宋体"/>
          <w:color w:val="auto"/>
          <w:szCs w:val="21"/>
          <w:highlight w:val="none"/>
        </w:rPr>
        <w:t>发包人应当在工程竣工后，安全生产标准化考评、认定达到或超过合同约定安全生产标准化管理目标并颁发考评证书之日起的7天内，预付至签约合同价中载明的安全文明施工费用总额的100%。</w:t>
      </w:r>
    </w:p>
    <w:p w14:paraId="536236FA">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安全文明施工的预付不抵扣。</w:t>
      </w:r>
    </w:p>
    <w:p w14:paraId="09302077">
      <w:pPr>
        <w:spacing w:line="360" w:lineRule="auto"/>
        <w:ind w:firstLine="420" w:firstLineChars="200"/>
        <w:rPr>
          <w:rFonts w:ascii="宋体" w:cs="Arial"/>
          <w:color w:val="auto"/>
          <w:highlight w:val="none"/>
        </w:rPr>
      </w:pPr>
      <w:r>
        <w:rPr>
          <w:rFonts w:ascii="宋体" w:hAnsi="宋体" w:cs="Arial"/>
          <w:color w:val="auto"/>
          <w:highlight w:val="none"/>
        </w:rPr>
        <w:t xml:space="preserve">17.2.2  </w:t>
      </w:r>
      <w:r>
        <w:rPr>
          <w:rFonts w:hint="eastAsia" w:ascii="宋体" w:hAnsi="宋体" w:cs="Arial"/>
          <w:color w:val="auto"/>
          <w:highlight w:val="none"/>
        </w:rPr>
        <w:t>预付款的扣回与还清</w:t>
      </w:r>
    </w:p>
    <w:p w14:paraId="06674B2E">
      <w:pPr>
        <w:spacing w:line="400" w:lineRule="exact"/>
        <w:ind w:firstLine="420" w:firstLineChars="200"/>
        <w:rPr>
          <w:rFonts w:ascii="宋体" w:cs="Arial"/>
          <w:color w:val="auto"/>
          <w:highlight w:val="none"/>
          <w:u w:val="single"/>
        </w:rPr>
      </w:pPr>
      <w:r>
        <w:rPr>
          <w:rFonts w:hint="eastAsia" w:ascii="宋体" w:hAnsi="宋体"/>
          <w:color w:val="auto"/>
          <w:szCs w:val="21"/>
          <w:highlight w:val="none"/>
        </w:rPr>
        <w:t>预付款的扣回办法：</w:t>
      </w:r>
      <w:r>
        <w:rPr>
          <w:rFonts w:hint="eastAsia" w:ascii="宋体" w:hAnsi="宋体"/>
          <w:color w:val="auto"/>
          <w:szCs w:val="21"/>
          <w:highlight w:val="none"/>
          <w:u w:val="single"/>
          <w:lang w:val="en-US" w:eastAsia="zh-CN"/>
        </w:rPr>
        <w:t>预付款在进度款中不扣回，直接抵作工程款。</w:t>
      </w:r>
      <w:r>
        <w:rPr>
          <w:rFonts w:ascii="宋体" w:hAnsi="宋体"/>
          <w:color w:val="auto"/>
          <w:szCs w:val="21"/>
          <w:highlight w:val="none"/>
          <w:u w:val="single"/>
        </w:rPr>
        <w:t xml:space="preserve"> </w:t>
      </w:r>
    </w:p>
    <w:p w14:paraId="080C9BB3">
      <w:pPr>
        <w:keepNext/>
        <w:keepLines/>
        <w:spacing w:before="120" w:beforeLines="50" w:after="120" w:afterLines="50" w:line="360" w:lineRule="auto"/>
        <w:outlineLvl w:val="2"/>
        <w:rPr>
          <w:rFonts w:ascii="宋体" w:hAnsi="宋体"/>
          <w:color w:val="auto"/>
          <w:kern w:val="0"/>
          <w:sz w:val="24"/>
          <w:szCs w:val="20"/>
          <w:highlight w:val="none"/>
        </w:rPr>
      </w:pPr>
      <w:bookmarkStart w:id="1932" w:name="_Toc486580431"/>
      <w:bookmarkStart w:id="1933" w:name="_Toc30686"/>
      <w:bookmarkStart w:id="1934" w:name="_Toc490331722"/>
      <w:bookmarkStart w:id="1935" w:name="_Toc485323205"/>
      <w:bookmarkStart w:id="1936" w:name="_Toc497214100"/>
      <w:bookmarkStart w:id="1937" w:name="_Toc14326"/>
      <w:bookmarkStart w:id="1938" w:name="_Toc489280237"/>
      <w:r>
        <w:rPr>
          <w:rFonts w:ascii="宋体" w:hAnsi="宋体"/>
          <w:color w:val="auto"/>
          <w:kern w:val="0"/>
          <w:sz w:val="24"/>
          <w:szCs w:val="20"/>
          <w:highlight w:val="none"/>
        </w:rPr>
        <w:t xml:space="preserve">17.3  </w:t>
      </w:r>
      <w:r>
        <w:rPr>
          <w:rFonts w:hint="eastAsia" w:ascii="宋体" w:hAnsi="宋体"/>
          <w:color w:val="auto"/>
          <w:kern w:val="0"/>
          <w:sz w:val="24"/>
          <w:szCs w:val="20"/>
          <w:highlight w:val="none"/>
        </w:rPr>
        <w:t>工程进度付款</w:t>
      </w:r>
      <w:bookmarkEnd w:id="1932"/>
      <w:bookmarkEnd w:id="1933"/>
      <w:bookmarkEnd w:id="1934"/>
      <w:bookmarkEnd w:id="1935"/>
      <w:bookmarkEnd w:id="1936"/>
      <w:bookmarkEnd w:id="1937"/>
      <w:bookmarkEnd w:id="1938"/>
    </w:p>
    <w:p w14:paraId="3BF5C126">
      <w:pPr>
        <w:spacing w:line="360" w:lineRule="auto"/>
        <w:ind w:firstLine="420" w:firstLineChars="200"/>
        <w:rPr>
          <w:rFonts w:ascii="宋体"/>
          <w:color w:val="auto"/>
          <w:szCs w:val="21"/>
          <w:highlight w:val="none"/>
        </w:rPr>
      </w:pPr>
      <w:r>
        <w:rPr>
          <w:rFonts w:ascii="宋体" w:hAnsi="宋体"/>
          <w:color w:val="auto"/>
          <w:szCs w:val="21"/>
          <w:highlight w:val="none"/>
        </w:rPr>
        <w:t xml:space="preserve">17.3.2  </w:t>
      </w:r>
      <w:r>
        <w:rPr>
          <w:rFonts w:hint="eastAsia" w:ascii="宋体" w:hAnsi="宋体"/>
          <w:color w:val="auto"/>
          <w:szCs w:val="21"/>
          <w:highlight w:val="none"/>
        </w:rPr>
        <w:t>进度付款申请单</w:t>
      </w:r>
    </w:p>
    <w:p w14:paraId="38DB49A6">
      <w:pPr>
        <w:spacing w:line="360" w:lineRule="auto"/>
        <w:ind w:firstLine="420" w:firstLineChars="200"/>
        <w:rPr>
          <w:rFonts w:ascii="宋体" w:hAnsi="宋体"/>
          <w:color w:val="auto"/>
          <w:szCs w:val="21"/>
          <w:highlight w:val="none"/>
          <w:u w:val="single"/>
        </w:rPr>
      </w:pPr>
      <w:r>
        <w:rPr>
          <w:rFonts w:hint="eastAsia" w:ascii="宋体" w:hAnsi="宋体"/>
          <w:color w:val="auto"/>
          <w:szCs w:val="21"/>
          <w:highlight w:val="none"/>
        </w:rPr>
        <w:t>进度付款申请单的份数：</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一式六份。承包人在提交进度款申请时，应当将当期应当支付至农民工工资专用账户的人工费（农民工工资）占当期已实施完成的工程价款的比例单独列明，以确保发包人及时支付足额支付农民工工资。</w:t>
      </w:r>
    </w:p>
    <w:p w14:paraId="712F5B1E">
      <w:pPr>
        <w:spacing w:line="360" w:lineRule="auto"/>
        <w:ind w:firstLine="420" w:firstLineChars="200"/>
        <w:rPr>
          <w:rFonts w:ascii="宋体"/>
          <w:color w:val="auto"/>
          <w:highlight w:val="none"/>
        </w:rPr>
      </w:pPr>
      <w:r>
        <w:rPr>
          <w:rFonts w:hint="eastAsia" w:ascii="宋体" w:hAnsi="宋体"/>
          <w:color w:val="auto"/>
          <w:highlight w:val="none"/>
        </w:rPr>
        <w:t>承包人报送监理人的进度付款申请单应包括下列内容：</w:t>
      </w:r>
    </w:p>
    <w:p w14:paraId="56D47457">
      <w:pPr>
        <w:spacing w:line="360" w:lineRule="auto"/>
        <w:ind w:firstLine="420" w:firstLineChars="200"/>
        <w:rPr>
          <w:rFonts w:ascii="宋体"/>
          <w:color w:val="auto"/>
          <w:szCs w:val="21"/>
          <w:highlight w:val="none"/>
          <w:u w:val="single"/>
        </w:rPr>
      </w:pPr>
      <w:r>
        <w:rPr>
          <w:rFonts w:hint="eastAsia" w:ascii="宋体" w:hAnsi="宋体"/>
          <w:color w:val="auto"/>
          <w:szCs w:val="21"/>
          <w:highlight w:val="none"/>
        </w:rPr>
        <w:t>（</w:t>
      </w:r>
      <w:r>
        <w:rPr>
          <w:rFonts w:ascii="宋体" w:hAnsi="宋体"/>
          <w:color w:val="auto"/>
          <w:szCs w:val="21"/>
          <w:highlight w:val="none"/>
        </w:rPr>
        <w:t>6</w:t>
      </w:r>
      <w:r>
        <w:rPr>
          <w:rFonts w:hint="eastAsia" w:ascii="宋体" w:hAnsi="宋体"/>
          <w:color w:val="auto"/>
          <w:szCs w:val="21"/>
          <w:highlight w:val="none"/>
        </w:rPr>
        <w:t>）</w:t>
      </w:r>
      <w:r>
        <w:rPr>
          <w:rFonts w:hint="eastAsia" w:ascii="宋体" w:hAnsi="宋体"/>
          <w:color w:val="auto"/>
          <w:highlight w:val="none"/>
        </w:rPr>
        <w:t>根据合同应增加和（或）扣减的其他内容金额</w:t>
      </w:r>
      <w:r>
        <w:rPr>
          <w:rFonts w:hint="eastAsia" w:ascii="宋体" w:hAnsi="宋体"/>
          <w:color w:val="auto"/>
          <w:szCs w:val="21"/>
          <w:highlight w:val="none"/>
        </w:rPr>
        <w:t>：</w:t>
      </w:r>
      <w:r>
        <w:rPr>
          <w:rFonts w:hint="eastAsia" w:hAnsi="宋体"/>
          <w:color w:val="auto"/>
          <w:szCs w:val="21"/>
          <w:highlight w:val="none"/>
          <w:u w:val="single"/>
        </w:rPr>
        <w:t>包括以下内容：（</w:t>
      </w:r>
      <w:r>
        <w:rPr>
          <w:rFonts w:hAnsi="宋体"/>
          <w:color w:val="auto"/>
          <w:szCs w:val="21"/>
          <w:highlight w:val="none"/>
          <w:u w:val="single"/>
        </w:rPr>
        <w:t>1</w:t>
      </w:r>
      <w:r>
        <w:rPr>
          <w:rFonts w:hint="eastAsia" w:hAnsi="宋体"/>
          <w:color w:val="auto"/>
          <w:szCs w:val="21"/>
          <w:highlight w:val="none"/>
          <w:u w:val="single"/>
        </w:rPr>
        <w:t>）付款次数或编号；（</w:t>
      </w:r>
      <w:r>
        <w:rPr>
          <w:rFonts w:hAnsi="宋体"/>
          <w:color w:val="auto"/>
          <w:szCs w:val="21"/>
          <w:highlight w:val="none"/>
          <w:u w:val="single"/>
        </w:rPr>
        <w:t>2</w:t>
      </w:r>
      <w:r>
        <w:rPr>
          <w:rFonts w:hint="eastAsia" w:hAnsi="宋体"/>
          <w:color w:val="auto"/>
          <w:szCs w:val="21"/>
          <w:highlight w:val="none"/>
          <w:u w:val="single"/>
        </w:rPr>
        <w:t>）截至本次付款周期末已实施工程的价款；（</w:t>
      </w:r>
      <w:r>
        <w:rPr>
          <w:rFonts w:hAnsi="宋体"/>
          <w:color w:val="auto"/>
          <w:szCs w:val="21"/>
          <w:highlight w:val="none"/>
          <w:u w:val="single"/>
        </w:rPr>
        <w:t>3</w:t>
      </w:r>
      <w:r>
        <w:rPr>
          <w:rFonts w:hint="eastAsia" w:hAnsi="宋体"/>
          <w:color w:val="auto"/>
          <w:szCs w:val="21"/>
          <w:highlight w:val="none"/>
          <w:u w:val="single"/>
        </w:rPr>
        <w:t>）变更金额；（</w:t>
      </w:r>
      <w:r>
        <w:rPr>
          <w:rFonts w:hAnsi="宋体"/>
          <w:color w:val="auto"/>
          <w:szCs w:val="21"/>
          <w:highlight w:val="none"/>
          <w:u w:val="single"/>
        </w:rPr>
        <w:t>4</w:t>
      </w:r>
      <w:r>
        <w:rPr>
          <w:rFonts w:hint="eastAsia" w:hAnsi="宋体"/>
          <w:color w:val="auto"/>
          <w:szCs w:val="21"/>
          <w:highlight w:val="none"/>
          <w:u w:val="single"/>
        </w:rPr>
        <w:t>）索赔金额；（</w:t>
      </w:r>
      <w:r>
        <w:rPr>
          <w:rFonts w:hAnsi="宋体"/>
          <w:color w:val="auto"/>
          <w:szCs w:val="21"/>
          <w:highlight w:val="none"/>
          <w:u w:val="single"/>
        </w:rPr>
        <w:t>5</w:t>
      </w:r>
      <w:r>
        <w:rPr>
          <w:rFonts w:hint="eastAsia" w:hAnsi="宋体"/>
          <w:color w:val="auto"/>
          <w:szCs w:val="21"/>
          <w:highlight w:val="none"/>
          <w:u w:val="single"/>
        </w:rPr>
        <w:t>）本次应支付的预付款和（或）应扣减的返还预付款；（</w:t>
      </w:r>
      <w:r>
        <w:rPr>
          <w:rFonts w:hAnsi="宋体"/>
          <w:color w:val="auto"/>
          <w:szCs w:val="21"/>
          <w:highlight w:val="none"/>
          <w:u w:val="single"/>
        </w:rPr>
        <w:t>6</w:t>
      </w:r>
      <w:r>
        <w:rPr>
          <w:rFonts w:hint="eastAsia" w:hAnsi="宋体"/>
          <w:color w:val="auto"/>
          <w:szCs w:val="21"/>
          <w:highlight w:val="none"/>
          <w:u w:val="single"/>
        </w:rPr>
        <w:t>）本次扣减的质量保证金；（</w:t>
      </w:r>
      <w:r>
        <w:rPr>
          <w:rFonts w:hAnsi="宋体"/>
          <w:color w:val="auto"/>
          <w:szCs w:val="21"/>
          <w:highlight w:val="none"/>
          <w:u w:val="single"/>
        </w:rPr>
        <w:t>7</w:t>
      </w:r>
      <w:r>
        <w:rPr>
          <w:rFonts w:hint="eastAsia" w:hAnsi="宋体"/>
          <w:color w:val="auto"/>
          <w:szCs w:val="21"/>
          <w:highlight w:val="none"/>
          <w:u w:val="single"/>
        </w:rPr>
        <w:t>）根据合同应增加和扣减的其他金额</w:t>
      </w:r>
      <w:r>
        <w:rPr>
          <w:rFonts w:hint="eastAsia" w:ascii="宋体" w:hAnsi="宋体"/>
          <w:color w:val="auto"/>
          <w:szCs w:val="21"/>
          <w:highlight w:val="none"/>
          <w:u w:val="single"/>
        </w:rPr>
        <w:t>。</w:t>
      </w:r>
      <w:r>
        <w:rPr>
          <w:rFonts w:ascii="宋体" w:hAnsi="宋体"/>
          <w:color w:val="auto"/>
          <w:szCs w:val="21"/>
          <w:highlight w:val="none"/>
          <w:u w:val="single"/>
        </w:rPr>
        <w:t xml:space="preserve"> </w:t>
      </w:r>
    </w:p>
    <w:p w14:paraId="5007C63C">
      <w:pPr>
        <w:spacing w:line="360" w:lineRule="auto"/>
        <w:ind w:firstLine="420" w:firstLineChars="200"/>
        <w:rPr>
          <w:rFonts w:ascii="宋体"/>
          <w:color w:val="auto"/>
          <w:szCs w:val="21"/>
          <w:highlight w:val="none"/>
        </w:rPr>
      </w:pPr>
      <w:r>
        <w:rPr>
          <w:rFonts w:ascii="宋体" w:hAnsi="宋体"/>
          <w:color w:val="auto"/>
          <w:szCs w:val="21"/>
          <w:highlight w:val="none"/>
        </w:rPr>
        <w:t xml:space="preserve">17.3.3  </w:t>
      </w:r>
      <w:r>
        <w:rPr>
          <w:rFonts w:hint="eastAsia" w:ascii="宋体" w:hAnsi="宋体"/>
          <w:color w:val="auto"/>
          <w:szCs w:val="21"/>
          <w:highlight w:val="none"/>
        </w:rPr>
        <w:t>进度付款证书和支付时间</w:t>
      </w:r>
    </w:p>
    <w:p w14:paraId="12EA06BD">
      <w:pPr>
        <w:spacing w:line="360" w:lineRule="auto"/>
        <w:ind w:firstLine="420" w:firstLineChars="200"/>
        <w:rPr>
          <w:rFonts w:asci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1</w:t>
      </w:r>
      <w:r>
        <w:rPr>
          <w:rFonts w:hint="eastAsia" w:ascii="宋体" w:hAnsi="宋体"/>
          <w:color w:val="auto"/>
          <w:szCs w:val="21"/>
          <w:highlight w:val="none"/>
        </w:rPr>
        <w:t>）逾期付款违约金的计算标准：</w:t>
      </w:r>
      <w:r>
        <w:rPr>
          <w:rFonts w:hint="eastAsia" w:ascii="宋体" w:hAnsi="宋体"/>
          <w:color w:val="auto"/>
          <w:szCs w:val="21"/>
          <w:highlight w:val="none"/>
          <w:u w:val="single"/>
        </w:rPr>
        <w:t>按照</w:t>
      </w:r>
      <w:r>
        <w:rPr>
          <w:rFonts w:ascii="宋体" w:hAnsi="宋体"/>
          <w:color w:val="auto"/>
          <w:szCs w:val="21"/>
          <w:highlight w:val="none"/>
          <w:u w:val="single"/>
        </w:rPr>
        <w:t>中国人民银行发布的同期同类贷款利率</w:t>
      </w:r>
      <w:r>
        <w:rPr>
          <w:rFonts w:hint="eastAsia" w:ascii="宋体" w:hAnsi="宋体"/>
          <w:color w:val="auto"/>
          <w:szCs w:val="21"/>
          <w:highlight w:val="none"/>
          <w:u w:val="single"/>
        </w:rPr>
        <w:t>计算。</w:t>
      </w:r>
      <w:r>
        <w:rPr>
          <w:rFonts w:ascii="宋体" w:hAnsi="宋体"/>
          <w:color w:val="auto"/>
          <w:szCs w:val="21"/>
          <w:highlight w:val="none"/>
          <w:u w:val="single"/>
        </w:rPr>
        <w:t xml:space="preserve"> </w:t>
      </w:r>
    </w:p>
    <w:p w14:paraId="5D3E80D6">
      <w:pPr>
        <w:spacing w:line="360" w:lineRule="auto"/>
        <w:ind w:firstLine="567" w:firstLineChars="270"/>
        <w:rPr>
          <w:rFonts w:ascii="宋体"/>
          <w:color w:val="auto"/>
          <w:szCs w:val="21"/>
          <w:highlight w:val="none"/>
        </w:rPr>
      </w:pPr>
      <w:r>
        <w:rPr>
          <w:rFonts w:hint="eastAsia" w:ascii="宋体" w:hAnsi="宋体"/>
          <w:color w:val="auto"/>
          <w:szCs w:val="21"/>
          <w:highlight w:val="none"/>
        </w:rPr>
        <w:t>逾期付款违约金的计算方法：</w:t>
      </w:r>
      <w:r>
        <w:rPr>
          <w:rFonts w:hint="eastAsia" w:ascii="宋体" w:hAnsi="宋体"/>
          <w:color w:val="auto"/>
          <w:szCs w:val="21"/>
          <w:highlight w:val="none"/>
          <w:u w:val="single"/>
        </w:rPr>
        <w:t>逾期付款时间×</w:t>
      </w:r>
      <w:r>
        <w:rPr>
          <w:rFonts w:ascii="宋体" w:hAnsi="宋体"/>
          <w:color w:val="auto"/>
          <w:szCs w:val="21"/>
          <w:highlight w:val="none"/>
          <w:u w:val="single"/>
        </w:rPr>
        <w:t>中国人民银行发布的同期同类贷款利率</w:t>
      </w:r>
      <w:r>
        <w:rPr>
          <w:rFonts w:hint="eastAsia" w:ascii="宋体" w:hAnsi="宋体"/>
          <w:color w:val="auto"/>
          <w:szCs w:val="21"/>
          <w:highlight w:val="none"/>
          <w:u w:val="single"/>
        </w:rPr>
        <w:t>×应付款项总金额。</w:t>
      </w:r>
      <w:r>
        <w:rPr>
          <w:rFonts w:ascii="宋体" w:hAnsi="宋体"/>
          <w:color w:val="auto"/>
          <w:szCs w:val="21"/>
          <w:highlight w:val="none"/>
          <w:u w:val="single"/>
        </w:rPr>
        <w:t xml:space="preserve"> </w:t>
      </w:r>
    </w:p>
    <w:p w14:paraId="13D25277">
      <w:pPr>
        <w:numPr>
          <w:ilvl w:val="0"/>
          <w:numId w:val="11"/>
        </w:numPr>
        <w:adjustRightInd w:val="0"/>
        <w:snapToGrid w:val="0"/>
        <w:spacing w:line="520" w:lineRule="exact"/>
        <w:ind w:left="479" w:leftChars="0"/>
        <w:jc w:val="left"/>
        <w:textAlignment w:val="baseline"/>
        <w:rPr>
          <w:rFonts w:hint="eastAsia" w:ascii="宋体" w:hAnsi="宋体" w:eastAsia="宋体" w:cs="Times New Roman"/>
          <w:color w:val="auto"/>
          <w:szCs w:val="21"/>
          <w:highlight w:val="none"/>
          <w:u w:val="single"/>
          <w:lang w:val="en-US" w:eastAsia="zh-CN"/>
        </w:rPr>
      </w:pPr>
      <w:r>
        <w:rPr>
          <w:rFonts w:hint="eastAsia" w:ascii="宋体" w:hAnsi="宋体"/>
          <w:color w:val="auto"/>
          <w:szCs w:val="21"/>
          <w:highlight w:val="none"/>
        </w:rPr>
        <w:t>进度付款涉及政府性资金的支付方法：</w:t>
      </w:r>
      <w:r>
        <w:rPr>
          <w:rFonts w:hint="eastAsia" w:ascii="宋体" w:hAnsi="宋体" w:eastAsia="宋体" w:cs="Times New Roman"/>
          <w:color w:val="auto"/>
          <w:szCs w:val="21"/>
          <w:highlight w:val="none"/>
          <w:u w:val="single"/>
          <w:lang w:val="en-US" w:eastAsia="zh-CN"/>
        </w:rPr>
        <w:t>工程竣工验收合格且提交相关施工资料后，</w:t>
      </w:r>
    </w:p>
    <w:p w14:paraId="7868C82A">
      <w:pPr>
        <w:numPr>
          <w:ilvl w:val="0"/>
          <w:numId w:val="0"/>
        </w:numPr>
        <w:adjustRightInd w:val="0"/>
        <w:snapToGrid w:val="0"/>
        <w:spacing w:line="520" w:lineRule="exact"/>
        <w:jc w:val="left"/>
        <w:textAlignment w:val="baseline"/>
        <w:rPr>
          <w:rFonts w:hint="eastAsia" w:ascii="宋体" w:hAnsi="宋体" w:eastAsia="宋体" w:cs="Times New Roman"/>
          <w:color w:val="auto"/>
          <w:szCs w:val="21"/>
          <w:highlight w:val="none"/>
          <w:u w:val="single"/>
          <w:lang w:val="en-US" w:eastAsia="zh-CN"/>
        </w:rPr>
      </w:pPr>
      <w:r>
        <w:rPr>
          <w:rFonts w:hint="eastAsia" w:ascii="宋体" w:hAnsi="宋体" w:eastAsia="宋体" w:cs="Times New Roman"/>
          <w:color w:val="auto"/>
          <w:szCs w:val="21"/>
          <w:highlight w:val="none"/>
          <w:u w:val="single"/>
          <w:lang w:val="en-US" w:eastAsia="zh-CN"/>
        </w:rPr>
        <w:t>待财政资金拨付到位后拨付至合同金额的80%</w:t>
      </w:r>
      <w:r>
        <w:rPr>
          <w:rFonts w:hint="eastAsia" w:ascii="宋体" w:hAnsi="宋体" w:eastAsia="宋体" w:cs="Times New Roman"/>
          <w:color w:val="auto"/>
          <w:szCs w:val="21"/>
          <w:highlight w:val="none"/>
          <w:u w:val="single"/>
        </w:rPr>
        <w:t>（含预付款，不包括已支付的安全防护、文明施工措施费和农民工工伤保险费）</w:t>
      </w:r>
      <w:r>
        <w:rPr>
          <w:rFonts w:hint="eastAsia" w:ascii="宋体" w:hAnsi="宋体" w:eastAsia="宋体" w:cs="Times New Roman"/>
          <w:color w:val="auto"/>
          <w:szCs w:val="21"/>
          <w:highlight w:val="none"/>
          <w:u w:val="single"/>
          <w:lang w:val="en-US" w:eastAsia="zh-CN"/>
        </w:rPr>
        <w:t>。提交结算书及相关施工资料待审计结束，待财政拨款后按照审计结果拨付至结算审计金额的97％</w:t>
      </w:r>
      <w:r>
        <w:rPr>
          <w:rFonts w:hint="eastAsia" w:ascii="宋体" w:hAnsi="宋体" w:eastAsia="宋体" w:cs="Times New Roman"/>
          <w:color w:val="auto"/>
          <w:szCs w:val="21"/>
          <w:highlight w:val="none"/>
          <w:u w:val="single"/>
        </w:rPr>
        <w:t>（如已付款项超出结算审定金额，</w:t>
      </w:r>
      <w:r>
        <w:rPr>
          <w:rFonts w:hint="eastAsia" w:ascii="宋体" w:hAnsi="宋体" w:eastAsia="宋体" w:cs="Times New Roman"/>
          <w:color w:val="auto"/>
          <w:szCs w:val="21"/>
          <w:highlight w:val="none"/>
          <w:u w:val="single"/>
          <w:lang w:val="en-US" w:eastAsia="zh-CN"/>
        </w:rPr>
        <w:t>承包人应予以退还超出部分）；剩余结算价的3%作为质量保证金，待工程缺陷责任期满后 30日内，承包人提交相应的支持性证明材料后，一次性付清。</w:t>
      </w:r>
    </w:p>
    <w:p w14:paraId="78068099">
      <w:pPr>
        <w:numPr>
          <w:ilvl w:val="0"/>
          <w:numId w:val="0"/>
        </w:numPr>
        <w:adjustRightInd w:val="0"/>
        <w:snapToGrid w:val="0"/>
        <w:spacing w:line="520" w:lineRule="exact"/>
        <w:ind w:firstLine="630" w:firstLineChars="300"/>
        <w:jc w:val="left"/>
        <w:textAlignment w:val="baseline"/>
        <w:rPr>
          <w:rFonts w:hint="eastAsia" w:ascii="宋体" w:hAnsi="宋体" w:eastAsia="宋体" w:cs="Times New Roman"/>
          <w:color w:val="auto"/>
          <w:szCs w:val="21"/>
          <w:highlight w:val="none"/>
          <w:u w:val="single"/>
          <w:lang w:val="en-US" w:eastAsia="zh-CN"/>
        </w:rPr>
      </w:pPr>
      <w:r>
        <w:rPr>
          <w:rFonts w:hint="eastAsia" w:ascii="宋体" w:hAnsi="宋体" w:eastAsia="宋体" w:cs="Times New Roman"/>
          <w:color w:val="auto"/>
          <w:szCs w:val="21"/>
          <w:highlight w:val="none"/>
          <w:u w:val="single"/>
          <w:lang w:val="en-US" w:eastAsia="zh-CN"/>
        </w:rPr>
        <w:t>前述款项涉及财政资金拨付的，待财政资金拨付至发包人账户后，发包人</w:t>
      </w:r>
      <w:r>
        <w:rPr>
          <w:rFonts w:hint="eastAsia" w:ascii="宋体" w:hAnsi="宋体" w:cs="Times New Roman"/>
          <w:color w:val="auto"/>
          <w:szCs w:val="21"/>
          <w:highlight w:val="none"/>
          <w:u w:val="single"/>
          <w:lang w:val="en-US" w:eastAsia="zh-CN"/>
        </w:rPr>
        <w:t>再</w:t>
      </w:r>
      <w:r>
        <w:rPr>
          <w:rFonts w:hint="eastAsia" w:ascii="宋体" w:hAnsi="宋体" w:eastAsia="宋体" w:cs="Times New Roman"/>
          <w:color w:val="auto"/>
          <w:szCs w:val="21"/>
          <w:highlight w:val="none"/>
          <w:u w:val="single"/>
          <w:lang w:val="en-US" w:eastAsia="zh-CN"/>
        </w:rPr>
        <w:t>按照前述约定比例向承包人支付。如由于资金审批等因素导致发包人不能按合同约定付款时，委托人可延迟付款。</w:t>
      </w:r>
    </w:p>
    <w:p w14:paraId="1CE68E2D">
      <w:pPr>
        <w:keepNext/>
        <w:keepLines/>
        <w:spacing w:before="120" w:beforeLines="50" w:after="120" w:afterLines="50" w:line="360" w:lineRule="auto"/>
        <w:outlineLvl w:val="2"/>
        <w:rPr>
          <w:rFonts w:ascii="宋体" w:hAnsi="宋体"/>
          <w:color w:val="auto"/>
          <w:kern w:val="0"/>
          <w:sz w:val="24"/>
          <w:szCs w:val="20"/>
          <w:highlight w:val="none"/>
        </w:rPr>
      </w:pPr>
      <w:bookmarkStart w:id="1939" w:name="_Toc485323206"/>
      <w:bookmarkStart w:id="1940" w:name="_Toc489280238"/>
      <w:bookmarkStart w:id="1941" w:name="_Toc486580432"/>
      <w:bookmarkStart w:id="1942" w:name="_Toc9510"/>
      <w:bookmarkStart w:id="1943" w:name="_Toc497214101"/>
      <w:bookmarkStart w:id="1944" w:name="_Toc490331723"/>
      <w:bookmarkStart w:id="1945" w:name="_Toc28596"/>
      <w:r>
        <w:rPr>
          <w:rFonts w:ascii="宋体" w:hAnsi="宋体"/>
          <w:color w:val="auto"/>
          <w:kern w:val="0"/>
          <w:sz w:val="24"/>
          <w:szCs w:val="20"/>
          <w:highlight w:val="none"/>
        </w:rPr>
        <w:t xml:space="preserve">17.4  </w:t>
      </w:r>
      <w:r>
        <w:rPr>
          <w:rFonts w:hint="eastAsia" w:ascii="宋体" w:hAnsi="宋体"/>
          <w:color w:val="auto"/>
          <w:kern w:val="0"/>
          <w:sz w:val="24"/>
          <w:szCs w:val="20"/>
          <w:highlight w:val="none"/>
        </w:rPr>
        <w:t>质量保证金</w:t>
      </w:r>
      <w:bookmarkEnd w:id="1939"/>
      <w:bookmarkEnd w:id="1940"/>
      <w:bookmarkEnd w:id="1941"/>
      <w:bookmarkEnd w:id="1942"/>
      <w:bookmarkEnd w:id="1943"/>
      <w:bookmarkEnd w:id="1944"/>
      <w:bookmarkEnd w:id="1945"/>
    </w:p>
    <w:p w14:paraId="2C5D5D31">
      <w:pPr>
        <w:spacing w:line="360" w:lineRule="auto"/>
        <w:ind w:firstLine="420" w:firstLineChars="200"/>
        <w:rPr>
          <w:rFonts w:ascii="宋体"/>
          <w:color w:val="auto"/>
          <w:szCs w:val="21"/>
          <w:highlight w:val="none"/>
        </w:rPr>
      </w:pPr>
      <w:bookmarkStart w:id="1946" w:name="_Toc485323207"/>
      <w:bookmarkStart w:id="1947" w:name="_Toc486580433"/>
      <w:bookmarkStart w:id="1948" w:name="_Toc489280239"/>
      <w:bookmarkStart w:id="1949" w:name="_Toc490331724"/>
      <w:r>
        <w:rPr>
          <w:rFonts w:ascii="宋体" w:hAnsi="宋体"/>
          <w:color w:val="auto"/>
          <w:szCs w:val="21"/>
          <w:highlight w:val="none"/>
        </w:rPr>
        <w:t>17.4</w:t>
      </w:r>
      <w:r>
        <w:rPr>
          <w:rFonts w:ascii="宋体"/>
          <w:color w:val="auto"/>
          <w:szCs w:val="21"/>
          <w:highlight w:val="none"/>
        </w:rPr>
        <w:t>.</w:t>
      </w:r>
      <w:r>
        <w:rPr>
          <w:rFonts w:ascii="宋体" w:hAnsi="宋体"/>
          <w:color w:val="auto"/>
          <w:szCs w:val="21"/>
          <w:highlight w:val="none"/>
        </w:rPr>
        <w:t xml:space="preserve">1  </w:t>
      </w:r>
      <w:r>
        <w:rPr>
          <w:rFonts w:hint="eastAsia" w:ascii="宋体" w:hAnsi="宋体"/>
          <w:color w:val="auto"/>
          <w:szCs w:val="21"/>
          <w:highlight w:val="none"/>
        </w:rPr>
        <w:t>质量保证金处理</w:t>
      </w:r>
    </w:p>
    <w:p w14:paraId="7202501B">
      <w:pPr>
        <w:spacing w:line="360" w:lineRule="auto"/>
        <w:ind w:firstLine="420" w:firstLineChars="200"/>
        <w:rPr>
          <w:rFonts w:asci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3</w:t>
      </w:r>
      <w:r>
        <w:rPr>
          <w:rFonts w:hint="eastAsia" w:ascii="宋体" w:hAnsi="宋体"/>
          <w:color w:val="auto"/>
          <w:szCs w:val="21"/>
          <w:highlight w:val="none"/>
        </w:rPr>
        <w:t>）质量保证金形式：</w:t>
      </w:r>
      <w:r>
        <w:rPr>
          <w:rFonts w:hint="eastAsia" w:ascii="宋体" w:hAnsi="宋体"/>
          <w:color w:val="auto"/>
          <w:szCs w:val="21"/>
          <w:highlight w:val="none"/>
          <w:u w:val="single"/>
        </w:rPr>
        <w:t xml:space="preserve"> 采用扣留质量保证金 </w:t>
      </w:r>
      <w:r>
        <w:rPr>
          <w:rFonts w:hint="eastAsia" w:ascii="宋体" w:hAnsi="宋体"/>
          <w:color w:val="auto"/>
          <w:szCs w:val="21"/>
          <w:highlight w:val="none"/>
        </w:rPr>
        <w:t>（采用银行保函担保或其他保函担保形式╱采用扣留质量保证金）。</w:t>
      </w:r>
    </w:p>
    <w:p w14:paraId="6356A3CB">
      <w:pPr>
        <w:spacing w:line="360" w:lineRule="auto"/>
        <w:ind w:firstLine="945" w:firstLineChars="450"/>
        <w:rPr>
          <w:rFonts w:ascii="宋体"/>
          <w:color w:val="auto"/>
          <w:szCs w:val="21"/>
          <w:highlight w:val="none"/>
        </w:rPr>
      </w:pPr>
      <w:r>
        <w:rPr>
          <w:rFonts w:hint="eastAsia" w:ascii="宋体" w:hAnsi="宋体"/>
          <w:color w:val="auto"/>
          <w:szCs w:val="21"/>
          <w:highlight w:val="none"/>
        </w:rPr>
        <w:t>质量保证金约定比例：</w:t>
      </w:r>
      <w:r>
        <w:rPr>
          <w:rFonts w:ascii="宋体" w:hAnsi="宋体"/>
          <w:color w:val="auto"/>
          <w:szCs w:val="21"/>
          <w:highlight w:val="none"/>
          <w:u w:val="single"/>
        </w:rPr>
        <w:t xml:space="preserve">   3     </w:t>
      </w:r>
      <w:r>
        <w:rPr>
          <w:rFonts w:ascii="宋体" w:hAnsi="宋体"/>
          <w:color w:val="auto"/>
          <w:szCs w:val="21"/>
          <w:highlight w:val="none"/>
        </w:rPr>
        <w:t xml:space="preserve"> %</w:t>
      </w:r>
    </w:p>
    <w:p w14:paraId="5FD88F00">
      <w:pPr>
        <w:keepNext/>
        <w:keepLines/>
        <w:spacing w:before="120" w:beforeLines="50" w:after="120" w:afterLines="50" w:line="360" w:lineRule="auto"/>
        <w:outlineLvl w:val="2"/>
        <w:rPr>
          <w:rFonts w:ascii="宋体" w:hAnsi="宋体"/>
          <w:color w:val="auto"/>
          <w:kern w:val="0"/>
          <w:sz w:val="24"/>
          <w:szCs w:val="20"/>
          <w:highlight w:val="none"/>
        </w:rPr>
      </w:pPr>
      <w:bookmarkStart w:id="1950" w:name="_Toc29338"/>
      <w:bookmarkStart w:id="1951" w:name="_Toc497214102"/>
      <w:bookmarkStart w:id="1952" w:name="_Toc19152"/>
      <w:r>
        <w:rPr>
          <w:rFonts w:ascii="宋体" w:hAnsi="宋体"/>
          <w:color w:val="auto"/>
          <w:kern w:val="0"/>
          <w:sz w:val="24"/>
          <w:szCs w:val="20"/>
          <w:highlight w:val="none"/>
        </w:rPr>
        <w:t xml:space="preserve">17.5  </w:t>
      </w:r>
      <w:r>
        <w:rPr>
          <w:rFonts w:hint="eastAsia" w:ascii="宋体" w:hAnsi="宋体"/>
          <w:color w:val="auto"/>
          <w:kern w:val="0"/>
          <w:sz w:val="24"/>
          <w:szCs w:val="20"/>
          <w:highlight w:val="none"/>
        </w:rPr>
        <w:t>竣工结算</w:t>
      </w:r>
      <w:bookmarkEnd w:id="1946"/>
      <w:bookmarkEnd w:id="1947"/>
      <w:bookmarkEnd w:id="1948"/>
      <w:bookmarkEnd w:id="1949"/>
      <w:bookmarkEnd w:id="1950"/>
      <w:bookmarkEnd w:id="1951"/>
      <w:bookmarkEnd w:id="1952"/>
    </w:p>
    <w:p w14:paraId="64455FDE">
      <w:pPr>
        <w:spacing w:line="360" w:lineRule="auto"/>
        <w:ind w:firstLine="420" w:firstLineChars="200"/>
        <w:rPr>
          <w:rFonts w:ascii="宋体"/>
          <w:color w:val="auto"/>
          <w:szCs w:val="21"/>
          <w:highlight w:val="none"/>
        </w:rPr>
      </w:pPr>
      <w:r>
        <w:rPr>
          <w:rFonts w:ascii="宋体" w:hAnsi="宋体"/>
          <w:color w:val="auto"/>
          <w:szCs w:val="21"/>
          <w:highlight w:val="none"/>
        </w:rPr>
        <w:t xml:space="preserve">17.5.1  </w:t>
      </w:r>
      <w:r>
        <w:rPr>
          <w:rFonts w:hint="eastAsia" w:ascii="宋体" w:hAnsi="宋体"/>
          <w:color w:val="auto"/>
          <w:szCs w:val="21"/>
          <w:highlight w:val="none"/>
        </w:rPr>
        <w:t>竣工付款申请单</w:t>
      </w:r>
    </w:p>
    <w:p w14:paraId="7149A53A">
      <w:pPr>
        <w:spacing w:line="360" w:lineRule="auto"/>
        <w:ind w:firstLine="420" w:firstLineChars="200"/>
        <w:rPr>
          <w:rFonts w:asci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1</w:t>
      </w:r>
      <w:r>
        <w:rPr>
          <w:rFonts w:hint="eastAsia" w:ascii="宋体" w:hAnsi="宋体"/>
          <w:color w:val="auto"/>
          <w:szCs w:val="21"/>
          <w:highlight w:val="none"/>
        </w:rPr>
        <w:t>）承包人提交竣工付款申请单的份数：</w:t>
      </w:r>
      <w:r>
        <w:rPr>
          <w:color w:val="auto"/>
          <w:highlight w:val="none"/>
          <w:u w:val="single"/>
        </w:rPr>
        <w:t xml:space="preserve">提交六份竣工付款申请单，发包人三份，监理人三份 </w:t>
      </w:r>
      <w:r>
        <w:rPr>
          <w:rFonts w:ascii="宋体" w:hAnsi="宋体"/>
          <w:color w:val="auto"/>
          <w:szCs w:val="21"/>
          <w:highlight w:val="none"/>
          <w:u w:val="single"/>
        </w:rPr>
        <w:t xml:space="preserve">  </w:t>
      </w:r>
    </w:p>
    <w:p w14:paraId="58FC0DFE">
      <w:pPr>
        <w:spacing w:line="360" w:lineRule="auto"/>
        <w:ind w:firstLine="840" w:firstLineChars="400"/>
        <w:rPr>
          <w:rFonts w:ascii="宋体"/>
          <w:color w:val="auto"/>
          <w:szCs w:val="21"/>
          <w:highlight w:val="none"/>
        </w:rPr>
      </w:pPr>
      <w:r>
        <w:rPr>
          <w:rFonts w:hint="eastAsia" w:ascii="宋体" w:hAnsi="宋体"/>
          <w:color w:val="auto"/>
          <w:szCs w:val="21"/>
          <w:highlight w:val="none"/>
        </w:rPr>
        <w:t>承包人提交竣工付款申请单的期限：</w:t>
      </w:r>
      <w:r>
        <w:rPr>
          <w:color w:val="auto"/>
          <w:highlight w:val="none"/>
          <w:u w:val="single"/>
        </w:rPr>
        <w:t>项目竣工验收合格后1个月内</w:t>
      </w:r>
      <w:r>
        <w:rPr>
          <w:rFonts w:ascii="宋体" w:hAnsi="宋体"/>
          <w:color w:val="auto"/>
          <w:szCs w:val="21"/>
          <w:highlight w:val="none"/>
          <w:u w:val="single"/>
        </w:rPr>
        <w:t xml:space="preserve">  </w:t>
      </w:r>
    </w:p>
    <w:p w14:paraId="1D0A0F4F">
      <w:pPr>
        <w:spacing w:line="360" w:lineRule="auto"/>
        <w:ind w:firstLine="420" w:firstLineChars="200"/>
        <w:rPr>
          <w:rFonts w:asci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2</w:t>
      </w:r>
      <w:r>
        <w:rPr>
          <w:rFonts w:hint="eastAsia" w:ascii="宋体" w:hAnsi="宋体"/>
          <w:color w:val="auto"/>
          <w:szCs w:val="21"/>
          <w:highlight w:val="none"/>
        </w:rPr>
        <w:t>）竣工付款申请单的其他内容：</w:t>
      </w:r>
      <w:r>
        <w:rPr>
          <w:rFonts w:hint="eastAsia" w:ascii="宋体" w:hAnsi="宋体"/>
          <w:color w:val="auto"/>
          <w:szCs w:val="21"/>
          <w:highlight w:val="none"/>
          <w:u w:val="single"/>
        </w:rPr>
        <w:t>竣工结算合同总价、已支付的工程价款、应扣回的预付款、应扣留的质量保证金、应支付的竣工付款金额等。</w:t>
      </w:r>
      <w:r>
        <w:rPr>
          <w:rFonts w:ascii="宋体" w:hAnsi="宋体"/>
          <w:color w:val="auto"/>
          <w:szCs w:val="21"/>
          <w:highlight w:val="none"/>
          <w:u w:val="single"/>
        </w:rPr>
        <w:t xml:space="preserve">  </w:t>
      </w:r>
    </w:p>
    <w:p w14:paraId="0E85C337">
      <w:pPr>
        <w:keepNext/>
        <w:keepLines/>
        <w:spacing w:before="120" w:beforeLines="50" w:after="120" w:afterLines="50" w:line="360" w:lineRule="auto"/>
        <w:outlineLvl w:val="2"/>
        <w:rPr>
          <w:rFonts w:ascii="宋体" w:hAnsi="宋体"/>
          <w:color w:val="auto"/>
          <w:kern w:val="0"/>
          <w:sz w:val="24"/>
          <w:szCs w:val="20"/>
          <w:highlight w:val="none"/>
        </w:rPr>
      </w:pPr>
      <w:bookmarkStart w:id="1953" w:name="_Toc490331725"/>
      <w:bookmarkStart w:id="1954" w:name="_Toc497214103"/>
      <w:bookmarkStart w:id="1955" w:name="_Toc489280240"/>
      <w:bookmarkStart w:id="1956" w:name="_Toc486580434"/>
      <w:bookmarkStart w:id="1957" w:name="_Toc6293"/>
      <w:bookmarkStart w:id="1958" w:name="_Toc485323208"/>
      <w:bookmarkStart w:id="1959" w:name="_Toc3297"/>
      <w:r>
        <w:rPr>
          <w:rFonts w:ascii="宋体" w:hAnsi="宋体"/>
          <w:color w:val="auto"/>
          <w:kern w:val="0"/>
          <w:sz w:val="24"/>
          <w:szCs w:val="20"/>
          <w:highlight w:val="none"/>
        </w:rPr>
        <w:t xml:space="preserve">17.6  </w:t>
      </w:r>
      <w:r>
        <w:rPr>
          <w:rFonts w:hint="eastAsia" w:ascii="宋体" w:hAnsi="宋体"/>
          <w:color w:val="auto"/>
          <w:kern w:val="0"/>
          <w:sz w:val="24"/>
          <w:szCs w:val="20"/>
          <w:highlight w:val="none"/>
        </w:rPr>
        <w:t>最终结清</w:t>
      </w:r>
      <w:bookmarkEnd w:id="1953"/>
      <w:bookmarkEnd w:id="1954"/>
      <w:bookmarkEnd w:id="1955"/>
      <w:bookmarkEnd w:id="1956"/>
      <w:bookmarkEnd w:id="1957"/>
      <w:bookmarkEnd w:id="1958"/>
      <w:bookmarkEnd w:id="1959"/>
    </w:p>
    <w:p w14:paraId="4631D93A">
      <w:pPr>
        <w:spacing w:line="360" w:lineRule="auto"/>
        <w:ind w:firstLine="420" w:firstLineChars="200"/>
        <w:rPr>
          <w:rFonts w:ascii="宋体"/>
          <w:color w:val="auto"/>
          <w:szCs w:val="21"/>
          <w:highlight w:val="none"/>
        </w:rPr>
      </w:pPr>
      <w:r>
        <w:rPr>
          <w:rFonts w:ascii="宋体" w:hAnsi="宋体"/>
          <w:color w:val="auto"/>
          <w:szCs w:val="21"/>
          <w:highlight w:val="none"/>
        </w:rPr>
        <w:t xml:space="preserve">17.6.1  </w:t>
      </w:r>
      <w:r>
        <w:rPr>
          <w:rFonts w:hint="eastAsia" w:ascii="宋体" w:hAnsi="宋体"/>
          <w:color w:val="auto"/>
          <w:szCs w:val="21"/>
          <w:highlight w:val="none"/>
        </w:rPr>
        <w:t>最终结清申请单</w:t>
      </w:r>
    </w:p>
    <w:p w14:paraId="061A2328">
      <w:pPr>
        <w:spacing w:line="360" w:lineRule="auto"/>
        <w:ind w:firstLine="420" w:firstLineChars="200"/>
        <w:rPr>
          <w:rFonts w:ascii="宋体"/>
          <w:color w:val="auto"/>
          <w:szCs w:val="21"/>
          <w:highlight w:val="none"/>
          <w:u w:val="single"/>
        </w:rPr>
      </w:pPr>
      <w:r>
        <w:rPr>
          <w:rFonts w:hint="eastAsia" w:ascii="宋体" w:hAnsi="宋体"/>
          <w:color w:val="auto"/>
          <w:szCs w:val="21"/>
          <w:highlight w:val="none"/>
        </w:rPr>
        <w:t>（</w:t>
      </w:r>
      <w:r>
        <w:rPr>
          <w:rFonts w:ascii="宋体" w:hAnsi="宋体"/>
          <w:color w:val="auto"/>
          <w:szCs w:val="21"/>
          <w:highlight w:val="none"/>
        </w:rPr>
        <w:t>1</w:t>
      </w:r>
      <w:r>
        <w:rPr>
          <w:rFonts w:hint="eastAsia" w:ascii="宋体" w:hAnsi="宋体"/>
          <w:color w:val="auto"/>
          <w:szCs w:val="21"/>
          <w:highlight w:val="none"/>
        </w:rPr>
        <w:t>）承包人提交最终结清申请单的份数：</w:t>
      </w:r>
      <w:r>
        <w:rPr>
          <w:color w:val="auto"/>
          <w:highlight w:val="none"/>
          <w:u w:val="single"/>
        </w:rPr>
        <w:t>提交六份最终结清申请单，发包人三份，监理人三份</w:t>
      </w:r>
      <w:r>
        <w:rPr>
          <w:rFonts w:ascii="宋体" w:hAnsi="宋体"/>
          <w:color w:val="auto"/>
          <w:szCs w:val="21"/>
          <w:highlight w:val="none"/>
          <w:u w:val="single"/>
        </w:rPr>
        <w:t xml:space="preserve">      </w:t>
      </w:r>
    </w:p>
    <w:p w14:paraId="4B217750">
      <w:pPr>
        <w:spacing w:line="360" w:lineRule="auto"/>
        <w:ind w:firstLine="945" w:firstLineChars="450"/>
        <w:rPr>
          <w:rFonts w:ascii="宋体"/>
          <w:color w:val="auto"/>
          <w:szCs w:val="21"/>
          <w:highlight w:val="none"/>
        </w:rPr>
      </w:pPr>
      <w:r>
        <w:rPr>
          <w:rFonts w:hint="eastAsia" w:ascii="宋体" w:hAnsi="宋体"/>
          <w:color w:val="auto"/>
          <w:szCs w:val="21"/>
          <w:highlight w:val="none"/>
        </w:rPr>
        <w:t>承包人提交最终结清申请单的期限：</w:t>
      </w:r>
      <w:r>
        <w:rPr>
          <w:rFonts w:hint="eastAsia" w:hAnsi="宋体"/>
          <w:color w:val="auto"/>
          <w:szCs w:val="21"/>
          <w:highlight w:val="none"/>
          <w:u w:val="single"/>
        </w:rPr>
        <w:t>在缺陷责任期终止证书颁发后</w:t>
      </w:r>
      <w:r>
        <w:rPr>
          <w:rFonts w:hAnsi="宋体"/>
          <w:color w:val="auto"/>
          <w:szCs w:val="21"/>
          <w:highlight w:val="none"/>
          <w:u w:val="single"/>
        </w:rPr>
        <w:t>28</w:t>
      </w:r>
      <w:r>
        <w:rPr>
          <w:rFonts w:hint="eastAsia" w:hAnsi="宋体"/>
          <w:color w:val="auto"/>
          <w:szCs w:val="21"/>
          <w:highlight w:val="none"/>
          <w:u w:val="single"/>
        </w:rPr>
        <w:t>天内</w:t>
      </w:r>
      <w:r>
        <w:rPr>
          <w:rFonts w:ascii="宋体" w:hAnsi="宋体"/>
          <w:color w:val="auto"/>
          <w:szCs w:val="21"/>
          <w:highlight w:val="none"/>
          <w:u w:val="single"/>
        </w:rPr>
        <w:t xml:space="preserve">     </w:t>
      </w:r>
    </w:p>
    <w:p w14:paraId="1F87018A">
      <w:pPr>
        <w:spacing w:line="360" w:lineRule="auto"/>
        <w:ind w:firstLine="949" w:firstLineChars="452"/>
        <w:rPr>
          <w:rFonts w:ascii="宋体"/>
          <w:color w:val="auto"/>
          <w:highlight w:val="none"/>
        </w:rPr>
      </w:pPr>
      <w:r>
        <w:rPr>
          <w:rFonts w:hint="eastAsia" w:ascii="宋体" w:hAnsi="宋体"/>
          <w:color w:val="auto"/>
          <w:highlight w:val="none"/>
        </w:rPr>
        <w:t>发包人向承包人</w:t>
      </w:r>
      <w:r>
        <w:rPr>
          <w:rFonts w:hint="eastAsia" w:ascii="宋体" w:hAnsi="宋体"/>
          <w:color w:val="auto"/>
          <w:highlight w:val="none"/>
          <w:u w:val="single"/>
        </w:rPr>
        <w:t>不支付</w:t>
      </w:r>
      <w:r>
        <w:rPr>
          <w:rFonts w:ascii="宋体" w:hAnsi="宋体"/>
          <w:color w:val="auto"/>
          <w:highlight w:val="none"/>
          <w:u w:val="single"/>
        </w:rPr>
        <w:t xml:space="preserve">  </w:t>
      </w:r>
      <w:r>
        <w:rPr>
          <w:rFonts w:hint="eastAsia" w:ascii="宋体" w:hAnsi="宋体"/>
          <w:color w:val="auto"/>
          <w:highlight w:val="none"/>
        </w:rPr>
        <w:t>（支付</w:t>
      </w:r>
      <w:r>
        <w:rPr>
          <w:rFonts w:ascii="宋体" w:hAnsi="宋体"/>
          <w:color w:val="auto"/>
          <w:highlight w:val="none"/>
        </w:rPr>
        <w:t xml:space="preserve"> </w:t>
      </w:r>
      <w:r>
        <w:rPr>
          <w:rFonts w:hint="eastAsia" w:ascii="宋体" w:hAnsi="宋体"/>
          <w:color w:val="auto"/>
          <w:highlight w:val="none"/>
        </w:rPr>
        <w:t>/</w:t>
      </w:r>
      <w:r>
        <w:rPr>
          <w:rFonts w:ascii="宋体" w:hAnsi="宋体"/>
          <w:color w:val="auto"/>
          <w:highlight w:val="none"/>
        </w:rPr>
        <w:t xml:space="preserve"> </w:t>
      </w:r>
      <w:r>
        <w:rPr>
          <w:rFonts w:hint="eastAsia" w:ascii="宋体" w:hAnsi="宋体"/>
          <w:color w:val="auto"/>
          <w:highlight w:val="none"/>
        </w:rPr>
        <w:t>不支付）质量保证金利息。</w:t>
      </w:r>
    </w:p>
    <w:p w14:paraId="5A3BCC30">
      <w:pPr>
        <w:spacing w:line="360" w:lineRule="auto"/>
        <w:ind w:firstLine="949" w:firstLineChars="452"/>
        <w:rPr>
          <w:rFonts w:ascii="宋体"/>
          <w:color w:val="auto"/>
          <w:szCs w:val="21"/>
          <w:highlight w:val="none"/>
        </w:rPr>
      </w:pPr>
      <w:r>
        <w:rPr>
          <w:rFonts w:hint="eastAsia" w:ascii="宋体" w:hAnsi="宋体"/>
          <w:color w:val="auto"/>
          <w:highlight w:val="none"/>
        </w:rPr>
        <w:t>发包人向承包人支付质量保证金利息的，利息计算方法：</w:t>
      </w:r>
      <w:r>
        <w:rPr>
          <w:rFonts w:ascii="宋体" w:hAnsi="宋体"/>
          <w:color w:val="auto"/>
          <w:highlight w:val="none"/>
          <w:u w:val="single"/>
        </w:rPr>
        <w:t xml:space="preserve">   /               </w:t>
      </w:r>
    </w:p>
    <w:p w14:paraId="20A8F461">
      <w:pPr>
        <w:keepNext/>
        <w:keepLines/>
        <w:spacing w:before="120" w:beforeLines="50" w:after="120" w:afterLines="50" w:line="360" w:lineRule="auto"/>
        <w:outlineLvl w:val="1"/>
        <w:rPr>
          <w:rFonts w:ascii="宋体" w:hAnsi="宋体" w:cs="宋体"/>
          <w:color w:val="auto"/>
          <w:sz w:val="28"/>
          <w:szCs w:val="20"/>
          <w:highlight w:val="none"/>
        </w:rPr>
      </w:pPr>
      <w:bookmarkStart w:id="1960" w:name="_Toc489280241"/>
      <w:bookmarkStart w:id="1961" w:name="_Toc490331726"/>
      <w:bookmarkStart w:id="1962" w:name="_Toc486580435"/>
      <w:bookmarkStart w:id="1963" w:name="_Toc12568"/>
      <w:bookmarkStart w:id="1964" w:name="_Toc23851"/>
      <w:bookmarkStart w:id="1965" w:name="_Toc497214104"/>
      <w:bookmarkStart w:id="1966" w:name="_Toc485323209"/>
      <w:r>
        <w:rPr>
          <w:rFonts w:ascii="宋体" w:hAnsi="宋体" w:cs="宋体"/>
          <w:color w:val="auto"/>
          <w:sz w:val="28"/>
          <w:szCs w:val="20"/>
          <w:highlight w:val="none"/>
        </w:rPr>
        <w:t>18.</w:t>
      </w:r>
      <w:r>
        <w:rPr>
          <w:rFonts w:hint="eastAsia" w:ascii="宋体" w:hAnsi="宋体" w:cs="宋体"/>
          <w:color w:val="auto"/>
          <w:sz w:val="28"/>
          <w:szCs w:val="20"/>
          <w:highlight w:val="none"/>
        </w:rPr>
        <w:t>竣工验收</w:t>
      </w:r>
      <w:bookmarkEnd w:id="1960"/>
      <w:bookmarkEnd w:id="1961"/>
      <w:bookmarkEnd w:id="1962"/>
      <w:bookmarkEnd w:id="1963"/>
      <w:bookmarkEnd w:id="1964"/>
      <w:bookmarkEnd w:id="1965"/>
      <w:bookmarkEnd w:id="1966"/>
    </w:p>
    <w:p w14:paraId="3A18561E">
      <w:pPr>
        <w:keepNext/>
        <w:keepLines/>
        <w:spacing w:before="120" w:beforeLines="50" w:after="120" w:afterLines="50" w:line="360" w:lineRule="auto"/>
        <w:outlineLvl w:val="2"/>
        <w:rPr>
          <w:rFonts w:ascii="宋体" w:hAnsi="宋体"/>
          <w:color w:val="auto"/>
          <w:kern w:val="0"/>
          <w:sz w:val="24"/>
          <w:szCs w:val="20"/>
          <w:highlight w:val="none"/>
        </w:rPr>
      </w:pPr>
      <w:bookmarkStart w:id="1967" w:name="_Toc490331727"/>
      <w:bookmarkStart w:id="1968" w:name="_Toc14980"/>
      <w:bookmarkStart w:id="1969" w:name="_Toc489280242"/>
      <w:bookmarkStart w:id="1970" w:name="_Toc25643"/>
      <w:bookmarkStart w:id="1971" w:name="_Toc497214105"/>
      <w:bookmarkStart w:id="1972" w:name="_Toc485323210"/>
      <w:bookmarkStart w:id="1973" w:name="_Toc486580436"/>
      <w:r>
        <w:rPr>
          <w:rFonts w:ascii="宋体" w:hAnsi="宋体"/>
          <w:color w:val="auto"/>
          <w:kern w:val="0"/>
          <w:sz w:val="24"/>
          <w:szCs w:val="20"/>
          <w:highlight w:val="none"/>
        </w:rPr>
        <w:t xml:space="preserve">18.2  </w:t>
      </w:r>
      <w:r>
        <w:rPr>
          <w:rFonts w:hint="eastAsia" w:ascii="宋体" w:hAnsi="宋体"/>
          <w:color w:val="auto"/>
          <w:kern w:val="0"/>
          <w:sz w:val="24"/>
          <w:szCs w:val="20"/>
          <w:highlight w:val="none"/>
        </w:rPr>
        <w:t>竣工验收申请报告</w:t>
      </w:r>
      <w:bookmarkEnd w:id="1967"/>
      <w:bookmarkEnd w:id="1968"/>
      <w:bookmarkEnd w:id="1969"/>
      <w:bookmarkEnd w:id="1970"/>
      <w:bookmarkEnd w:id="1971"/>
      <w:bookmarkEnd w:id="1972"/>
      <w:bookmarkEnd w:id="1973"/>
    </w:p>
    <w:p w14:paraId="50512309">
      <w:pPr>
        <w:spacing w:line="360" w:lineRule="auto"/>
        <w:ind w:firstLine="420" w:firstLineChars="200"/>
        <w:rPr>
          <w:color w:val="auto"/>
          <w:highlight w:val="none"/>
          <w:u w:val="single"/>
        </w:rPr>
      </w:pPr>
      <w:r>
        <w:rPr>
          <w:rFonts w:hint="eastAsia" w:ascii="宋体" w:hAnsi="宋体"/>
          <w:color w:val="auto"/>
          <w:szCs w:val="21"/>
          <w:highlight w:val="none"/>
        </w:rPr>
        <w:t>（</w:t>
      </w:r>
      <w:r>
        <w:rPr>
          <w:rFonts w:ascii="宋体" w:hAnsi="宋体"/>
          <w:color w:val="auto"/>
          <w:szCs w:val="21"/>
          <w:highlight w:val="none"/>
        </w:rPr>
        <w:t>2</w:t>
      </w:r>
      <w:r>
        <w:rPr>
          <w:rFonts w:hint="eastAsia" w:ascii="宋体" w:hAnsi="宋体"/>
          <w:color w:val="auto"/>
          <w:szCs w:val="21"/>
          <w:highlight w:val="none"/>
        </w:rPr>
        <w:t>）承包人负责整理和提交的竣工验收资料具体内容：</w:t>
      </w:r>
      <w:r>
        <w:rPr>
          <w:rFonts w:ascii="宋体" w:hAnsi="宋体"/>
          <w:color w:val="auto"/>
          <w:szCs w:val="21"/>
          <w:highlight w:val="none"/>
          <w:u w:val="single"/>
        </w:rPr>
        <w:t xml:space="preserve"> </w:t>
      </w:r>
      <w:r>
        <w:rPr>
          <w:rFonts w:hint="eastAsia" w:ascii="宋体" w:hAnsi="宋体" w:eastAsia="宋体" w:cs="宋体"/>
          <w:color w:val="auto"/>
          <w:szCs w:val="21"/>
          <w:highlight w:val="none"/>
          <w:u w:val="single"/>
        </w:rPr>
        <w:t>中标通知书、竣工验收单、签署完整的设计变更和洽商单等完整的结算资料，和符合城建档案归档的要求的全部竣工资料</w:t>
      </w:r>
      <w:r>
        <w:rPr>
          <w:color w:val="auto"/>
          <w:highlight w:val="none"/>
          <w:u w:val="single"/>
        </w:rPr>
        <w:t>。</w:t>
      </w:r>
    </w:p>
    <w:p w14:paraId="34450317">
      <w:pPr>
        <w:spacing w:line="360" w:lineRule="auto"/>
        <w:ind w:firstLine="420" w:firstLineChars="200"/>
        <w:rPr>
          <w:rFonts w:ascii="宋体"/>
          <w:color w:val="auto"/>
          <w:szCs w:val="21"/>
          <w:highlight w:val="none"/>
        </w:rPr>
      </w:pPr>
      <w:r>
        <w:rPr>
          <w:rFonts w:hint="eastAsia" w:ascii="宋体" w:hAnsi="宋体"/>
          <w:color w:val="auto"/>
          <w:szCs w:val="21"/>
          <w:highlight w:val="none"/>
        </w:rPr>
        <w:t>竣工验收资料的份数：</w:t>
      </w:r>
      <w:r>
        <w:rPr>
          <w:rFonts w:ascii="宋体" w:hAnsi="宋体"/>
          <w:color w:val="auto"/>
          <w:szCs w:val="21"/>
          <w:highlight w:val="none"/>
          <w:u w:val="single"/>
        </w:rPr>
        <w:t xml:space="preserve">    </w:t>
      </w:r>
      <w:r>
        <w:rPr>
          <w:rFonts w:hint="eastAsia" w:ascii="宋体" w:hAnsi="宋体"/>
          <w:color w:val="auto"/>
          <w:szCs w:val="21"/>
          <w:highlight w:val="none"/>
          <w:u w:val="single"/>
        </w:rPr>
        <w:t>5份</w:t>
      </w:r>
      <w:r>
        <w:rPr>
          <w:rFonts w:ascii="宋体" w:hAnsi="宋体"/>
          <w:color w:val="auto"/>
          <w:szCs w:val="21"/>
          <w:highlight w:val="none"/>
          <w:u w:val="single"/>
        </w:rPr>
        <w:t xml:space="preserve">                                              </w:t>
      </w:r>
    </w:p>
    <w:p w14:paraId="21C73FBC">
      <w:pPr>
        <w:spacing w:line="360" w:lineRule="auto"/>
        <w:ind w:firstLine="420" w:firstLineChars="200"/>
        <w:rPr>
          <w:rFonts w:ascii="宋体"/>
          <w:color w:val="auto"/>
          <w:szCs w:val="21"/>
          <w:highlight w:val="none"/>
        </w:rPr>
      </w:pPr>
      <w:r>
        <w:rPr>
          <w:rFonts w:hint="eastAsia" w:ascii="宋体" w:hAnsi="宋体"/>
          <w:color w:val="auto"/>
          <w:szCs w:val="21"/>
          <w:highlight w:val="none"/>
        </w:rPr>
        <w:t>竣工验收资料的费用支付方式：</w:t>
      </w:r>
      <w:r>
        <w:rPr>
          <w:rFonts w:ascii="宋体" w:hAnsi="宋体"/>
          <w:color w:val="auto"/>
          <w:szCs w:val="21"/>
          <w:highlight w:val="none"/>
          <w:u w:val="single"/>
        </w:rPr>
        <w:t xml:space="preserve">   已包含在合同价款中，由承包人承担</w:t>
      </w:r>
      <w:r>
        <w:rPr>
          <w:rFonts w:hint="eastAsia" w:ascii="宋体" w:hAnsi="宋体"/>
          <w:color w:val="auto"/>
          <w:szCs w:val="21"/>
          <w:highlight w:val="none"/>
          <w:u w:val="single"/>
        </w:rPr>
        <w:t>。</w:t>
      </w:r>
      <w:r>
        <w:rPr>
          <w:rFonts w:ascii="宋体" w:hAnsi="宋体"/>
          <w:color w:val="auto"/>
          <w:szCs w:val="21"/>
          <w:highlight w:val="none"/>
          <w:u w:val="single"/>
        </w:rPr>
        <w:t xml:space="preserve">        </w:t>
      </w:r>
    </w:p>
    <w:p w14:paraId="68D6BE24">
      <w:pPr>
        <w:keepNext/>
        <w:keepLines/>
        <w:spacing w:before="120" w:beforeLines="50" w:after="120" w:afterLines="50" w:line="360" w:lineRule="auto"/>
        <w:outlineLvl w:val="2"/>
        <w:rPr>
          <w:rFonts w:ascii="宋体" w:hAnsi="宋体"/>
          <w:color w:val="auto"/>
          <w:kern w:val="0"/>
          <w:sz w:val="24"/>
          <w:szCs w:val="20"/>
          <w:highlight w:val="none"/>
        </w:rPr>
      </w:pPr>
      <w:bookmarkStart w:id="1974" w:name="_Toc486580437"/>
      <w:bookmarkStart w:id="1975" w:name="_Toc489280243"/>
      <w:bookmarkStart w:id="1976" w:name="_Toc485323211"/>
      <w:bookmarkStart w:id="1977" w:name="_Toc3706"/>
      <w:bookmarkStart w:id="1978" w:name="_Toc490331728"/>
      <w:bookmarkStart w:id="1979" w:name="_Toc497214106"/>
      <w:bookmarkStart w:id="1980" w:name="_Toc30101"/>
      <w:r>
        <w:rPr>
          <w:rFonts w:ascii="宋体" w:hAnsi="宋体"/>
          <w:color w:val="auto"/>
          <w:kern w:val="0"/>
          <w:sz w:val="24"/>
          <w:szCs w:val="20"/>
          <w:highlight w:val="none"/>
        </w:rPr>
        <w:t xml:space="preserve">18.5  </w:t>
      </w:r>
      <w:r>
        <w:rPr>
          <w:rFonts w:hint="eastAsia" w:ascii="宋体" w:hAnsi="宋体"/>
          <w:color w:val="auto"/>
          <w:kern w:val="0"/>
          <w:sz w:val="24"/>
          <w:szCs w:val="20"/>
          <w:highlight w:val="none"/>
        </w:rPr>
        <w:t>施工期运行</w:t>
      </w:r>
      <w:bookmarkEnd w:id="1974"/>
      <w:bookmarkEnd w:id="1975"/>
      <w:bookmarkEnd w:id="1976"/>
      <w:bookmarkEnd w:id="1977"/>
      <w:bookmarkEnd w:id="1978"/>
      <w:bookmarkEnd w:id="1979"/>
      <w:bookmarkEnd w:id="1980"/>
    </w:p>
    <w:p w14:paraId="1D0EEDCC">
      <w:pPr>
        <w:spacing w:line="360" w:lineRule="auto"/>
        <w:ind w:firstLine="420" w:firstLineChars="200"/>
        <w:rPr>
          <w:rFonts w:ascii="宋体"/>
          <w:color w:val="auto"/>
          <w:szCs w:val="21"/>
          <w:highlight w:val="none"/>
          <w:u w:val="single"/>
        </w:rPr>
      </w:pPr>
      <w:r>
        <w:rPr>
          <w:rFonts w:ascii="宋体" w:hAnsi="宋体"/>
          <w:color w:val="auto"/>
          <w:szCs w:val="21"/>
          <w:highlight w:val="none"/>
        </w:rPr>
        <w:t xml:space="preserve">18.5.1  </w:t>
      </w:r>
      <w:r>
        <w:rPr>
          <w:rFonts w:hint="eastAsia" w:ascii="宋体" w:hAnsi="宋体"/>
          <w:color w:val="auto"/>
          <w:szCs w:val="21"/>
          <w:highlight w:val="none"/>
        </w:rPr>
        <w:t>需要施工期运行的单位工程或设备安装工程：</w:t>
      </w:r>
      <w:r>
        <w:rPr>
          <w:rFonts w:ascii="宋体" w:hAnsi="宋体"/>
          <w:color w:val="auto"/>
          <w:szCs w:val="21"/>
          <w:highlight w:val="none"/>
          <w:u w:val="single"/>
        </w:rPr>
        <w:t xml:space="preserve">   /                     </w:t>
      </w:r>
    </w:p>
    <w:p w14:paraId="2D2211D6">
      <w:pPr>
        <w:keepNext/>
        <w:keepLines/>
        <w:spacing w:before="120" w:beforeLines="50" w:after="120" w:afterLines="50" w:line="360" w:lineRule="auto"/>
        <w:outlineLvl w:val="2"/>
        <w:rPr>
          <w:rFonts w:ascii="宋体" w:hAnsi="宋体"/>
          <w:color w:val="auto"/>
          <w:kern w:val="0"/>
          <w:sz w:val="24"/>
          <w:szCs w:val="20"/>
          <w:highlight w:val="none"/>
        </w:rPr>
      </w:pPr>
      <w:bookmarkStart w:id="1981" w:name="_Toc489280244"/>
      <w:bookmarkStart w:id="1982" w:name="_Toc497214107"/>
      <w:bookmarkStart w:id="1983" w:name="_Toc486580438"/>
      <w:bookmarkStart w:id="1984" w:name="_Toc485323212"/>
      <w:bookmarkStart w:id="1985" w:name="_Toc8198"/>
      <w:bookmarkStart w:id="1986" w:name="_Toc2712"/>
      <w:bookmarkStart w:id="1987" w:name="_Toc490331729"/>
      <w:r>
        <w:rPr>
          <w:rFonts w:ascii="宋体" w:hAnsi="宋体"/>
          <w:color w:val="auto"/>
          <w:kern w:val="0"/>
          <w:sz w:val="24"/>
          <w:szCs w:val="20"/>
          <w:highlight w:val="none"/>
        </w:rPr>
        <w:t xml:space="preserve">18.8  </w:t>
      </w:r>
      <w:r>
        <w:rPr>
          <w:rFonts w:hint="eastAsia" w:ascii="宋体" w:hAnsi="宋体"/>
          <w:color w:val="auto"/>
          <w:kern w:val="0"/>
          <w:sz w:val="24"/>
          <w:szCs w:val="20"/>
          <w:highlight w:val="none"/>
        </w:rPr>
        <w:t>施工队伍的撤离</w:t>
      </w:r>
      <w:bookmarkEnd w:id="1981"/>
      <w:bookmarkEnd w:id="1982"/>
      <w:bookmarkEnd w:id="1983"/>
      <w:bookmarkEnd w:id="1984"/>
      <w:bookmarkEnd w:id="1985"/>
      <w:bookmarkEnd w:id="1986"/>
      <w:bookmarkEnd w:id="1987"/>
    </w:p>
    <w:p w14:paraId="4E24D723">
      <w:pPr>
        <w:spacing w:line="360" w:lineRule="auto"/>
        <w:ind w:firstLine="420" w:firstLineChars="200"/>
        <w:rPr>
          <w:rFonts w:ascii="宋体"/>
          <w:color w:val="auto"/>
          <w:szCs w:val="21"/>
          <w:highlight w:val="none"/>
          <w:u w:val="single"/>
        </w:rPr>
      </w:pPr>
      <w:r>
        <w:rPr>
          <w:rFonts w:ascii="宋体" w:hAnsi="宋体"/>
          <w:color w:val="auto"/>
          <w:szCs w:val="21"/>
          <w:highlight w:val="none"/>
        </w:rPr>
        <w:t xml:space="preserve">18.8.3  </w:t>
      </w:r>
      <w:r>
        <w:rPr>
          <w:rFonts w:hint="eastAsia" w:ascii="宋体" w:hAnsi="宋体"/>
          <w:color w:val="auto"/>
          <w:szCs w:val="21"/>
          <w:highlight w:val="none"/>
        </w:rPr>
        <w:t>缺陷责任期满时，承包人在施工场地保留的人员和施工设备最终撤离的期限：</w:t>
      </w:r>
      <w:r>
        <w:rPr>
          <w:rFonts w:ascii="宋体" w:hAnsi="宋体"/>
          <w:color w:val="auto"/>
          <w:szCs w:val="21"/>
          <w:highlight w:val="none"/>
          <w:u w:val="single"/>
        </w:rPr>
        <w:t xml:space="preserve"> </w:t>
      </w:r>
    </w:p>
    <w:p w14:paraId="7071889F">
      <w:pPr>
        <w:spacing w:line="360" w:lineRule="auto"/>
        <w:rPr>
          <w:rFonts w:ascii="宋体"/>
          <w:color w:val="auto"/>
          <w:szCs w:val="21"/>
          <w:highlight w:val="none"/>
        </w:rPr>
      </w:pPr>
      <w:r>
        <w:rPr>
          <w:rFonts w:ascii="宋体" w:hAnsi="宋体"/>
          <w:color w:val="auto"/>
          <w:szCs w:val="21"/>
          <w:highlight w:val="none"/>
          <w:u w:val="single"/>
        </w:rPr>
        <w:t xml:space="preserve">  </w:t>
      </w:r>
      <w:r>
        <w:rPr>
          <w:color w:val="auto"/>
          <w:szCs w:val="21"/>
          <w:highlight w:val="none"/>
          <w:u w:val="single"/>
        </w:rPr>
        <w:t>缺陷责任期满28天内</w:t>
      </w:r>
      <w:r>
        <w:rPr>
          <w:rFonts w:ascii="宋体" w:hAnsi="宋体"/>
          <w:color w:val="auto"/>
          <w:szCs w:val="21"/>
          <w:highlight w:val="none"/>
          <w:u w:val="single"/>
        </w:rPr>
        <w:t xml:space="preserve">                                                       </w:t>
      </w:r>
      <w:r>
        <w:rPr>
          <w:rFonts w:ascii="宋体" w:hAnsi="宋体"/>
          <w:color w:val="auto"/>
          <w:szCs w:val="21"/>
          <w:highlight w:val="none"/>
        </w:rPr>
        <w:t xml:space="preserve">  </w:t>
      </w:r>
    </w:p>
    <w:p w14:paraId="4CCEFE6D">
      <w:pPr>
        <w:keepNext/>
        <w:keepLines/>
        <w:spacing w:before="120" w:beforeLines="50" w:after="120" w:afterLines="50" w:line="360" w:lineRule="auto"/>
        <w:outlineLvl w:val="2"/>
        <w:rPr>
          <w:rFonts w:ascii="宋体" w:hAnsi="宋体"/>
          <w:color w:val="auto"/>
          <w:kern w:val="0"/>
          <w:sz w:val="24"/>
          <w:szCs w:val="20"/>
          <w:highlight w:val="none"/>
        </w:rPr>
      </w:pPr>
      <w:bookmarkStart w:id="1988" w:name="_Toc486580439"/>
      <w:bookmarkStart w:id="1989" w:name="_Toc20188"/>
      <w:bookmarkStart w:id="1990" w:name="_Toc5164"/>
      <w:bookmarkStart w:id="1991" w:name="_Toc497214108"/>
      <w:bookmarkStart w:id="1992" w:name="_Toc485323213"/>
      <w:bookmarkStart w:id="1993" w:name="_Toc489280245"/>
      <w:bookmarkStart w:id="1994" w:name="_Toc490331730"/>
      <w:r>
        <w:rPr>
          <w:rFonts w:ascii="宋体" w:hAnsi="宋体"/>
          <w:color w:val="auto"/>
          <w:kern w:val="0"/>
          <w:sz w:val="24"/>
          <w:szCs w:val="20"/>
          <w:highlight w:val="none"/>
        </w:rPr>
        <w:t xml:space="preserve">18.9  </w:t>
      </w:r>
      <w:r>
        <w:rPr>
          <w:rFonts w:hint="eastAsia" w:ascii="宋体" w:hAnsi="宋体"/>
          <w:color w:val="auto"/>
          <w:kern w:val="0"/>
          <w:sz w:val="24"/>
          <w:szCs w:val="20"/>
          <w:highlight w:val="none"/>
        </w:rPr>
        <w:t>中间验收</w:t>
      </w:r>
      <w:bookmarkEnd w:id="1988"/>
      <w:bookmarkEnd w:id="1989"/>
      <w:bookmarkEnd w:id="1990"/>
      <w:bookmarkEnd w:id="1991"/>
      <w:bookmarkEnd w:id="1992"/>
      <w:bookmarkEnd w:id="1993"/>
      <w:bookmarkEnd w:id="1994"/>
    </w:p>
    <w:p w14:paraId="183E0856">
      <w:pPr>
        <w:spacing w:line="360" w:lineRule="auto"/>
        <w:ind w:firstLine="420" w:firstLineChars="200"/>
        <w:rPr>
          <w:rFonts w:ascii="宋体"/>
          <w:color w:val="auto"/>
          <w:szCs w:val="21"/>
          <w:highlight w:val="none"/>
          <w:u w:val="single"/>
        </w:rPr>
      </w:pPr>
      <w:r>
        <w:rPr>
          <w:rFonts w:ascii="宋体" w:hAnsi="宋体"/>
          <w:color w:val="auto"/>
          <w:szCs w:val="21"/>
          <w:highlight w:val="none"/>
        </w:rPr>
        <w:t xml:space="preserve">18.9.1  </w:t>
      </w:r>
      <w:r>
        <w:rPr>
          <w:rFonts w:hint="eastAsia" w:ascii="宋体" w:hAnsi="宋体"/>
          <w:color w:val="auto"/>
          <w:szCs w:val="21"/>
          <w:highlight w:val="none"/>
        </w:rPr>
        <w:t>本工程需要进行中间验收的部位：</w:t>
      </w:r>
      <w:r>
        <w:rPr>
          <w:rFonts w:ascii="宋体" w:hAnsi="宋体"/>
          <w:color w:val="auto"/>
          <w:szCs w:val="21"/>
          <w:highlight w:val="none"/>
          <w:u w:val="single"/>
        </w:rPr>
        <w:t xml:space="preserve">  /                                  </w:t>
      </w:r>
    </w:p>
    <w:p w14:paraId="72F1E430">
      <w:pPr>
        <w:spacing w:line="360" w:lineRule="auto"/>
        <w:ind w:firstLine="420" w:firstLineChars="200"/>
        <w:rPr>
          <w:rFonts w:ascii="宋体"/>
          <w:color w:val="auto"/>
          <w:szCs w:val="21"/>
          <w:highlight w:val="none"/>
        </w:rPr>
      </w:pPr>
      <w:r>
        <w:rPr>
          <w:rFonts w:ascii="宋体" w:hAnsi="宋体"/>
          <w:color w:val="auto"/>
          <w:szCs w:val="21"/>
          <w:highlight w:val="none"/>
        </w:rPr>
        <w:t xml:space="preserve">18.9.2  </w:t>
      </w:r>
      <w:r>
        <w:rPr>
          <w:rFonts w:hint="eastAsia" w:ascii="宋体" w:hAnsi="宋体"/>
          <w:color w:val="auto"/>
          <w:szCs w:val="21"/>
          <w:highlight w:val="none"/>
        </w:rPr>
        <w:t>验收不合格的，承包人在</w:t>
      </w:r>
      <w:r>
        <w:rPr>
          <w:rFonts w:ascii="宋体" w:hAnsi="宋体"/>
          <w:color w:val="auto"/>
          <w:szCs w:val="21"/>
          <w:highlight w:val="none"/>
          <w:u w:val="single"/>
        </w:rPr>
        <w:t xml:space="preserve">  </w:t>
      </w:r>
      <w:r>
        <w:rPr>
          <w:rFonts w:hint="eastAsia" w:ascii="宋体" w:hAnsi="宋体"/>
          <w:color w:val="auto"/>
          <w:szCs w:val="21"/>
          <w:highlight w:val="none"/>
          <w:u w:val="single"/>
        </w:rPr>
        <w:t>监理人书面通知</w:t>
      </w:r>
      <w:r>
        <w:rPr>
          <w:rFonts w:ascii="宋体" w:hAnsi="宋体"/>
          <w:color w:val="auto"/>
          <w:szCs w:val="21"/>
          <w:highlight w:val="none"/>
          <w:u w:val="single"/>
        </w:rPr>
        <w:t xml:space="preserve">    </w:t>
      </w:r>
      <w:r>
        <w:rPr>
          <w:rFonts w:hint="eastAsia" w:ascii="宋体" w:hAnsi="宋体"/>
          <w:color w:val="auto"/>
          <w:szCs w:val="21"/>
          <w:highlight w:val="none"/>
        </w:rPr>
        <w:t>期限内进行修改后重新验收。</w:t>
      </w:r>
    </w:p>
    <w:p w14:paraId="2B064A4D">
      <w:pPr>
        <w:keepNext/>
        <w:keepLines/>
        <w:spacing w:before="120" w:beforeLines="50" w:after="120" w:afterLines="50" w:line="360" w:lineRule="auto"/>
        <w:outlineLvl w:val="1"/>
        <w:rPr>
          <w:rFonts w:ascii="宋体" w:hAnsi="宋体" w:cs="宋体"/>
          <w:color w:val="auto"/>
          <w:sz w:val="28"/>
          <w:szCs w:val="20"/>
          <w:highlight w:val="none"/>
        </w:rPr>
      </w:pPr>
      <w:bookmarkStart w:id="1995" w:name="_Toc486580440"/>
      <w:bookmarkStart w:id="1996" w:name="_Toc3032"/>
      <w:bookmarkStart w:id="1997" w:name="_Toc497214109"/>
      <w:bookmarkStart w:id="1998" w:name="_Toc6475"/>
      <w:bookmarkStart w:id="1999" w:name="_Toc489280246"/>
      <w:bookmarkStart w:id="2000" w:name="_Toc490331731"/>
      <w:bookmarkStart w:id="2001" w:name="_Toc485323214"/>
      <w:r>
        <w:rPr>
          <w:rFonts w:ascii="宋体" w:hAnsi="宋体" w:cs="宋体"/>
          <w:color w:val="auto"/>
          <w:sz w:val="28"/>
          <w:szCs w:val="20"/>
          <w:highlight w:val="none"/>
        </w:rPr>
        <w:t>19.</w:t>
      </w:r>
      <w:r>
        <w:rPr>
          <w:rFonts w:hint="eastAsia" w:ascii="宋体" w:hAnsi="宋体" w:cs="宋体"/>
          <w:color w:val="auto"/>
          <w:sz w:val="28"/>
          <w:szCs w:val="20"/>
          <w:highlight w:val="none"/>
        </w:rPr>
        <w:t>缺陷责任与保修责任</w:t>
      </w:r>
      <w:bookmarkEnd w:id="1995"/>
      <w:bookmarkEnd w:id="1996"/>
      <w:bookmarkEnd w:id="1997"/>
      <w:bookmarkEnd w:id="1998"/>
      <w:bookmarkEnd w:id="1999"/>
      <w:bookmarkEnd w:id="2000"/>
      <w:bookmarkEnd w:id="2001"/>
    </w:p>
    <w:p w14:paraId="786CE2D2">
      <w:pPr>
        <w:keepNext/>
        <w:keepLines/>
        <w:spacing w:before="120" w:beforeLines="50" w:after="120" w:afterLines="50" w:line="360" w:lineRule="auto"/>
        <w:outlineLvl w:val="2"/>
        <w:rPr>
          <w:rFonts w:ascii="宋体" w:hAnsi="宋体"/>
          <w:color w:val="auto"/>
          <w:kern w:val="0"/>
          <w:sz w:val="24"/>
          <w:szCs w:val="20"/>
          <w:highlight w:val="none"/>
        </w:rPr>
      </w:pPr>
      <w:bookmarkStart w:id="2002" w:name="_Toc486580441"/>
      <w:bookmarkStart w:id="2003" w:name="_Toc485323215"/>
      <w:bookmarkStart w:id="2004" w:name="_Toc490331732"/>
      <w:bookmarkStart w:id="2005" w:name="_Toc497214110"/>
      <w:bookmarkStart w:id="2006" w:name="_Toc20694"/>
      <w:bookmarkStart w:id="2007" w:name="_Toc489280247"/>
      <w:bookmarkStart w:id="2008" w:name="_Toc32014"/>
      <w:r>
        <w:rPr>
          <w:rFonts w:ascii="宋体" w:hAnsi="宋体"/>
          <w:color w:val="auto"/>
          <w:kern w:val="0"/>
          <w:sz w:val="24"/>
          <w:szCs w:val="20"/>
          <w:highlight w:val="none"/>
        </w:rPr>
        <w:t xml:space="preserve">19.7  </w:t>
      </w:r>
      <w:r>
        <w:rPr>
          <w:rFonts w:hint="eastAsia" w:ascii="宋体" w:hAnsi="宋体"/>
          <w:color w:val="auto"/>
          <w:kern w:val="0"/>
          <w:sz w:val="24"/>
          <w:szCs w:val="20"/>
          <w:highlight w:val="none"/>
        </w:rPr>
        <w:t>保修责任</w:t>
      </w:r>
      <w:bookmarkEnd w:id="2002"/>
      <w:bookmarkEnd w:id="2003"/>
      <w:bookmarkEnd w:id="2004"/>
      <w:bookmarkEnd w:id="2005"/>
      <w:bookmarkEnd w:id="2006"/>
      <w:bookmarkEnd w:id="2007"/>
      <w:bookmarkEnd w:id="2008"/>
    </w:p>
    <w:p w14:paraId="21B4FA39">
      <w:pPr>
        <w:spacing w:line="360" w:lineRule="auto"/>
        <w:ind w:firstLine="420" w:firstLineChars="200"/>
        <w:rPr>
          <w:rFonts w:hint="eastAsia" w:ascii="宋体" w:hAnsi="宋体"/>
          <w:color w:val="auto"/>
          <w:szCs w:val="21"/>
          <w:highlight w:val="none"/>
        </w:rPr>
      </w:pPr>
      <w:r>
        <w:rPr>
          <w:rFonts w:ascii="宋体" w:hAnsi="宋体"/>
          <w:color w:val="auto"/>
          <w:szCs w:val="21"/>
          <w:highlight w:val="none"/>
        </w:rPr>
        <w:t xml:space="preserve">19.7.1  </w:t>
      </w:r>
      <w:r>
        <w:rPr>
          <w:rFonts w:hint="eastAsia" w:ascii="宋体" w:hAnsi="宋体"/>
          <w:color w:val="auto"/>
          <w:szCs w:val="21"/>
          <w:highlight w:val="none"/>
        </w:rPr>
        <w:t>工程质量保修范围：</w:t>
      </w:r>
      <w:r>
        <w:rPr>
          <w:rFonts w:hint="eastAsia" w:hAnsi="宋体"/>
          <w:color w:val="auto"/>
          <w:szCs w:val="21"/>
          <w:highlight w:val="none"/>
          <w:u w:val="single"/>
        </w:rPr>
        <w:t>施工合同约定的所有施工承包范围内工程质量保修责任</w:t>
      </w:r>
      <w:r>
        <w:rPr>
          <w:rFonts w:hint="eastAsia" w:ascii="宋体" w:hAnsi="宋体"/>
          <w:color w:val="auto"/>
          <w:szCs w:val="21"/>
          <w:highlight w:val="none"/>
        </w:rPr>
        <w:t>。</w:t>
      </w:r>
    </w:p>
    <w:p w14:paraId="1ED4D947">
      <w:pPr>
        <w:spacing w:line="360" w:lineRule="auto"/>
        <w:ind w:firstLine="420" w:firstLineChars="200"/>
        <w:rPr>
          <w:rFonts w:ascii="宋体"/>
          <w:color w:val="auto"/>
          <w:szCs w:val="21"/>
          <w:highlight w:val="none"/>
        </w:rPr>
      </w:pPr>
      <w:r>
        <w:rPr>
          <w:rFonts w:hint="eastAsia" w:ascii="宋体" w:hAnsi="宋体"/>
          <w:color w:val="auto"/>
          <w:szCs w:val="21"/>
          <w:highlight w:val="none"/>
        </w:rPr>
        <w:t>工程质量保修期限：</w:t>
      </w:r>
      <w:r>
        <w:rPr>
          <w:color w:val="auto"/>
          <w:szCs w:val="21"/>
          <w:highlight w:val="none"/>
          <w:u w:val="single"/>
        </w:rPr>
        <w:t>按《建设工程质量管理条例》相关规定执行</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p>
    <w:p w14:paraId="1F726D09">
      <w:pPr>
        <w:spacing w:line="360" w:lineRule="auto"/>
        <w:ind w:firstLine="420" w:firstLineChars="200"/>
        <w:rPr>
          <w:rFonts w:ascii="宋体"/>
          <w:color w:val="auto"/>
          <w:szCs w:val="21"/>
          <w:highlight w:val="none"/>
        </w:rPr>
      </w:pPr>
      <w:r>
        <w:rPr>
          <w:rFonts w:hint="eastAsia" w:ascii="宋体" w:hAnsi="宋体"/>
          <w:color w:val="auto"/>
          <w:szCs w:val="21"/>
          <w:highlight w:val="none"/>
        </w:rPr>
        <w:t>工程质量保修责任：</w:t>
      </w:r>
      <w:r>
        <w:rPr>
          <w:rFonts w:hint="eastAsia" w:ascii="宋体" w:hAnsi="宋体"/>
          <w:color w:val="auto"/>
          <w:szCs w:val="21"/>
          <w:highlight w:val="none"/>
          <w:u w:val="single"/>
        </w:rPr>
        <w:t>按《建设工程质量管理条例》规定执行。</w:t>
      </w:r>
      <w:r>
        <w:rPr>
          <w:rFonts w:ascii="宋体" w:hAnsi="宋体"/>
          <w:color w:val="auto"/>
          <w:szCs w:val="21"/>
          <w:highlight w:val="none"/>
          <w:u w:val="single"/>
        </w:rPr>
        <w:t xml:space="preserve">                      </w:t>
      </w:r>
    </w:p>
    <w:p w14:paraId="07527F22">
      <w:pPr>
        <w:keepNext/>
        <w:keepLines/>
        <w:spacing w:before="120" w:beforeLines="50" w:after="120" w:afterLines="50" w:line="360" w:lineRule="auto"/>
        <w:outlineLvl w:val="1"/>
        <w:rPr>
          <w:rFonts w:ascii="宋体" w:hAnsi="宋体" w:cs="宋体"/>
          <w:color w:val="auto"/>
          <w:sz w:val="28"/>
          <w:szCs w:val="20"/>
          <w:highlight w:val="none"/>
        </w:rPr>
      </w:pPr>
      <w:bookmarkStart w:id="2009" w:name="_Toc497214111"/>
      <w:bookmarkStart w:id="2010" w:name="_Toc21153"/>
      <w:bookmarkStart w:id="2011" w:name="_Toc490331733"/>
      <w:bookmarkStart w:id="2012" w:name="_Toc485323216"/>
      <w:bookmarkStart w:id="2013" w:name="_Toc486580442"/>
      <w:bookmarkStart w:id="2014" w:name="_Toc8295"/>
      <w:bookmarkStart w:id="2015" w:name="_Toc489280248"/>
      <w:r>
        <w:rPr>
          <w:rFonts w:ascii="宋体" w:hAnsi="宋体" w:cs="宋体"/>
          <w:color w:val="auto"/>
          <w:sz w:val="28"/>
          <w:szCs w:val="20"/>
          <w:highlight w:val="none"/>
        </w:rPr>
        <w:t>20.</w:t>
      </w:r>
      <w:r>
        <w:rPr>
          <w:rFonts w:hint="eastAsia" w:ascii="宋体" w:hAnsi="宋体" w:cs="宋体"/>
          <w:color w:val="auto"/>
          <w:sz w:val="28"/>
          <w:szCs w:val="20"/>
          <w:highlight w:val="none"/>
        </w:rPr>
        <w:t>保险</w:t>
      </w:r>
      <w:bookmarkEnd w:id="2009"/>
      <w:bookmarkEnd w:id="2010"/>
      <w:bookmarkEnd w:id="2011"/>
      <w:bookmarkEnd w:id="2012"/>
      <w:bookmarkEnd w:id="2013"/>
      <w:bookmarkEnd w:id="2014"/>
      <w:bookmarkEnd w:id="2015"/>
    </w:p>
    <w:p w14:paraId="25F1964B">
      <w:pPr>
        <w:keepNext/>
        <w:keepLines/>
        <w:spacing w:before="120" w:beforeLines="50" w:after="120" w:afterLines="50" w:line="360" w:lineRule="auto"/>
        <w:outlineLvl w:val="2"/>
        <w:rPr>
          <w:rFonts w:ascii="宋体" w:hAnsi="宋体"/>
          <w:color w:val="auto"/>
          <w:kern w:val="0"/>
          <w:sz w:val="24"/>
          <w:szCs w:val="20"/>
          <w:highlight w:val="none"/>
        </w:rPr>
      </w:pPr>
      <w:bookmarkStart w:id="2016" w:name="_Toc489280249"/>
      <w:bookmarkStart w:id="2017" w:name="_Toc497214112"/>
      <w:bookmarkStart w:id="2018" w:name="_Toc485323217"/>
      <w:bookmarkStart w:id="2019" w:name="_Toc19755"/>
      <w:bookmarkStart w:id="2020" w:name="_Toc486580443"/>
      <w:bookmarkStart w:id="2021" w:name="_Toc4698"/>
      <w:bookmarkStart w:id="2022" w:name="_Toc490331734"/>
      <w:r>
        <w:rPr>
          <w:rFonts w:ascii="宋体" w:hAnsi="宋体"/>
          <w:color w:val="auto"/>
          <w:kern w:val="0"/>
          <w:sz w:val="24"/>
          <w:szCs w:val="20"/>
          <w:highlight w:val="none"/>
        </w:rPr>
        <w:t xml:space="preserve">20.1  </w:t>
      </w:r>
      <w:r>
        <w:rPr>
          <w:rFonts w:hint="eastAsia" w:ascii="宋体" w:hAnsi="宋体"/>
          <w:color w:val="auto"/>
          <w:kern w:val="0"/>
          <w:sz w:val="24"/>
          <w:szCs w:val="20"/>
          <w:highlight w:val="none"/>
        </w:rPr>
        <w:t>工程保险</w:t>
      </w:r>
      <w:bookmarkEnd w:id="2016"/>
      <w:bookmarkEnd w:id="2017"/>
      <w:bookmarkEnd w:id="2018"/>
      <w:bookmarkEnd w:id="2019"/>
      <w:bookmarkEnd w:id="2020"/>
      <w:bookmarkEnd w:id="2021"/>
      <w:bookmarkEnd w:id="2022"/>
    </w:p>
    <w:p w14:paraId="5055A8B1">
      <w:pPr>
        <w:spacing w:line="360" w:lineRule="auto"/>
        <w:ind w:firstLine="420" w:firstLineChars="200"/>
        <w:rPr>
          <w:rFonts w:ascii="宋体"/>
          <w:color w:val="auto"/>
          <w:szCs w:val="21"/>
          <w:highlight w:val="none"/>
        </w:rPr>
      </w:pPr>
      <w:r>
        <w:rPr>
          <w:rFonts w:hint="eastAsia" w:ascii="宋体" w:hAnsi="宋体"/>
          <w:color w:val="auto"/>
          <w:szCs w:val="21"/>
          <w:highlight w:val="none"/>
        </w:rPr>
        <w:t>本工程</w:t>
      </w:r>
      <w:r>
        <w:rPr>
          <w:rFonts w:ascii="宋体" w:hAnsi="宋体"/>
          <w:color w:val="auto"/>
          <w:szCs w:val="21"/>
          <w:highlight w:val="none"/>
          <w:u w:val="single"/>
        </w:rPr>
        <w:t xml:space="preserve">  </w:t>
      </w:r>
      <w:r>
        <w:rPr>
          <w:rFonts w:hint="eastAsia" w:ascii="宋体" w:hAnsi="宋体"/>
          <w:color w:val="auto"/>
          <w:szCs w:val="21"/>
          <w:highlight w:val="none"/>
          <w:u w:val="single"/>
        </w:rPr>
        <w:t>不投保</w:t>
      </w:r>
      <w:r>
        <w:rPr>
          <w:rFonts w:ascii="宋体" w:hAnsi="宋体"/>
          <w:color w:val="auto"/>
          <w:szCs w:val="21"/>
          <w:highlight w:val="none"/>
          <w:u w:val="single"/>
        </w:rPr>
        <w:t xml:space="preserve">  </w:t>
      </w:r>
      <w:r>
        <w:rPr>
          <w:rFonts w:ascii="宋体" w:hAnsi="宋体"/>
          <w:color w:val="auto"/>
          <w:szCs w:val="21"/>
          <w:highlight w:val="none"/>
        </w:rPr>
        <w:t>(</w:t>
      </w:r>
      <w:r>
        <w:rPr>
          <w:rFonts w:hint="eastAsia" w:ascii="宋体" w:hAnsi="宋体"/>
          <w:color w:val="auto"/>
          <w:szCs w:val="21"/>
          <w:highlight w:val="none"/>
        </w:rPr>
        <w:t>投保/不投保</w:t>
      </w:r>
      <w:r>
        <w:rPr>
          <w:rFonts w:ascii="宋体" w:hAnsi="宋体"/>
          <w:color w:val="auto"/>
          <w:szCs w:val="21"/>
          <w:highlight w:val="none"/>
        </w:rPr>
        <w:t>)</w:t>
      </w:r>
      <w:r>
        <w:rPr>
          <w:rFonts w:hint="eastAsia" w:ascii="宋体" w:hAnsi="宋体"/>
          <w:color w:val="auto"/>
          <w:szCs w:val="21"/>
          <w:highlight w:val="none"/>
        </w:rPr>
        <w:t>工程保险。投保工程保险时，险种为：</w:t>
      </w:r>
      <w:r>
        <w:rPr>
          <w:rFonts w:ascii="宋体" w:hAnsi="宋体"/>
          <w:color w:val="auto"/>
          <w:szCs w:val="21"/>
          <w:highlight w:val="none"/>
          <w:u w:val="single"/>
        </w:rPr>
        <w:t xml:space="preserve">   /       </w:t>
      </w:r>
      <w:r>
        <w:rPr>
          <w:rFonts w:hint="eastAsia" w:ascii="宋体" w:hAnsi="宋体"/>
          <w:color w:val="auto"/>
          <w:szCs w:val="21"/>
          <w:highlight w:val="none"/>
        </w:rPr>
        <w:t>，并符合以下约定：</w:t>
      </w:r>
    </w:p>
    <w:p w14:paraId="3413B8FE">
      <w:pPr>
        <w:spacing w:line="360" w:lineRule="auto"/>
        <w:ind w:firstLine="420" w:firstLineChars="200"/>
        <w:rPr>
          <w:rFonts w:asci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1</w:t>
      </w:r>
      <w:r>
        <w:rPr>
          <w:rFonts w:hint="eastAsia" w:ascii="宋体" w:hAnsi="宋体"/>
          <w:color w:val="auto"/>
          <w:szCs w:val="21"/>
          <w:highlight w:val="none"/>
        </w:rPr>
        <w:t>）投保人：</w:t>
      </w:r>
      <w:r>
        <w:rPr>
          <w:rFonts w:ascii="宋体" w:hAnsi="宋体"/>
          <w:color w:val="auto"/>
          <w:szCs w:val="21"/>
          <w:highlight w:val="none"/>
          <w:u w:val="single"/>
        </w:rPr>
        <w:t xml:space="preserve">            /                                               </w:t>
      </w:r>
    </w:p>
    <w:p w14:paraId="3DB8DDDA">
      <w:pPr>
        <w:spacing w:line="360" w:lineRule="auto"/>
        <w:ind w:firstLine="420" w:firstLineChars="200"/>
        <w:rPr>
          <w:rFonts w:asci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2</w:t>
      </w:r>
      <w:r>
        <w:rPr>
          <w:rFonts w:hint="eastAsia" w:ascii="宋体" w:hAnsi="宋体"/>
          <w:color w:val="auto"/>
          <w:szCs w:val="21"/>
          <w:highlight w:val="none"/>
        </w:rPr>
        <w:t>）投保内容：</w:t>
      </w:r>
      <w:r>
        <w:rPr>
          <w:rFonts w:ascii="宋体" w:hAnsi="宋体"/>
          <w:color w:val="auto"/>
          <w:szCs w:val="21"/>
          <w:highlight w:val="none"/>
          <w:u w:val="single"/>
        </w:rPr>
        <w:t xml:space="preserve">         /                                                 </w:t>
      </w:r>
    </w:p>
    <w:p w14:paraId="359E370E">
      <w:pPr>
        <w:spacing w:line="360" w:lineRule="auto"/>
        <w:ind w:firstLine="420" w:firstLineChars="200"/>
        <w:rPr>
          <w:rFonts w:ascii="宋体" w:cs="Arial"/>
          <w:color w:val="auto"/>
          <w:highlight w:val="none"/>
        </w:rPr>
      </w:pPr>
      <w:r>
        <w:rPr>
          <w:rFonts w:hint="eastAsia" w:ascii="宋体" w:hAnsi="宋体"/>
          <w:color w:val="auto"/>
          <w:szCs w:val="21"/>
          <w:highlight w:val="none"/>
        </w:rPr>
        <w:t>（</w:t>
      </w:r>
      <w:r>
        <w:rPr>
          <w:rFonts w:ascii="宋体" w:hAnsi="宋体"/>
          <w:color w:val="auto"/>
          <w:szCs w:val="21"/>
          <w:highlight w:val="none"/>
        </w:rPr>
        <w:t>3</w:t>
      </w:r>
      <w:r>
        <w:rPr>
          <w:rFonts w:hint="eastAsia" w:ascii="宋体" w:hAnsi="宋体"/>
          <w:color w:val="auto"/>
          <w:szCs w:val="21"/>
          <w:highlight w:val="none"/>
        </w:rPr>
        <w:t>）保险费率：由投保人与合同双方同意的保险人商定</w:t>
      </w:r>
      <w:r>
        <w:rPr>
          <w:rFonts w:hint="eastAsia" w:ascii="宋体" w:hAnsi="宋体" w:cs="Arial"/>
          <w:color w:val="auto"/>
          <w:highlight w:val="none"/>
        </w:rPr>
        <w:t>。</w:t>
      </w:r>
    </w:p>
    <w:p w14:paraId="22E90CC3">
      <w:pPr>
        <w:spacing w:line="360" w:lineRule="auto"/>
        <w:ind w:firstLine="420" w:firstLineChars="200"/>
        <w:rPr>
          <w:rFonts w:asci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4</w:t>
      </w:r>
      <w:r>
        <w:rPr>
          <w:rFonts w:hint="eastAsia" w:ascii="宋体" w:hAnsi="宋体"/>
          <w:color w:val="auto"/>
          <w:szCs w:val="21"/>
          <w:highlight w:val="none"/>
        </w:rPr>
        <w:t>）保险金额：</w:t>
      </w:r>
      <w:r>
        <w:rPr>
          <w:rFonts w:ascii="宋体" w:hAnsi="宋体"/>
          <w:color w:val="auto"/>
          <w:szCs w:val="21"/>
          <w:highlight w:val="none"/>
          <w:u w:val="single"/>
        </w:rPr>
        <w:t xml:space="preserve">  </w:t>
      </w:r>
      <w:r>
        <w:rPr>
          <w:rFonts w:ascii="宋体" w:hAnsi="宋体" w:cs="Arial"/>
          <w:color w:val="auto"/>
          <w:highlight w:val="none"/>
          <w:u w:val="single"/>
        </w:rPr>
        <w:t xml:space="preserve">     /                                                  </w:t>
      </w:r>
    </w:p>
    <w:p w14:paraId="7DB50B8B">
      <w:pPr>
        <w:spacing w:line="360" w:lineRule="auto"/>
        <w:ind w:firstLine="420" w:firstLineChars="200"/>
        <w:rPr>
          <w:rFonts w:ascii="宋体"/>
          <w:color w:val="auto"/>
          <w:szCs w:val="21"/>
          <w:highlight w:val="none"/>
          <w:u w:val="single"/>
        </w:rPr>
      </w:pPr>
      <w:r>
        <w:rPr>
          <w:rFonts w:hint="eastAsia" w:ascii="宋体" w:hAnsi="宋体"/>
          <w:color w:val="auto"/>
          <w:szCs w:val="21"/>
          <w:highlight w:val="none"/>
        </w:rPr>
        <w:t>（</w:t>
      </w:r>
      <w:r>
        <w:rPr>
          <w:rFonts w:ascii="宋体" w:hAnsi="宋体"/>
          <w:color w:val="auto"/>
          <w:szCs w:val="21"/>
          <w:highlight w:val="none"/>
        </w:rPr>
        <w:t>5</w:t>
      </w:r>
      <w:r>
        <w:rPr>
          <w:rFonts w:hint="eastAsia" w:ascii="宋体" w:hAnsi="宋体"/>
          <w:color w:val="auto"/>
          <w:szCs w:val="21"/>
          <w:highlight w:val="none"/>
        </w:rPr>
        <w:t>）保险期限：</w:t>
      </w:r>
      <w:r>
        <w:rPr>
          <w:rFonts w:ascii="宋体" w:hAnsi="宋体"/>
          <w:color w:val="auto"/>
          <w:szCs w:val="21"/>
          <w:highlight w:val="none"/>
          <w:u w:val="single"/>
        </w:rPr>
        <w:t xml:space="preserve">  </w:t>
      </w:r>
      <w:r>
        <w:rPr>
          <w:rFonts w:ascii="宋体" w:hAnsi="宋体" w:cs="Arial"/>
          <w:color w:val="auto"/>
          <w:highlight w:val="none"/>
          <w:u w:val="single"/>
        </w:rPr>
        <w:t xml:space="preserve">     /                                                    </w:t>
      </w:r>
    </w:p>
    <w:p w14:paraId="0AB8E6DD">
      <w:pPr>
        <w:keepNext/>
        <w:keepLines/>
        <w:spacing w:before="120" w:beforeLines="50" w:after="120" w:afterLines="50" w:line="360" w:lineRule="auto"/>
        <w:outlineLvl w:val="2"/>
        <w:rPr>
          <w:rFonts w:ascii="宋体" w:hAnsi="宋体"/>
          <w:color w:val="auto"/>
          <w:kern w:val="0"/>
          <w:sz w:val="24"/>
          <w:szCs w:val="20"/>
          <w:highlight w:val="none"/>
        </w:rPr>
      </w:pPr>
      <w:bookmarkStart w:id="2023" w:name="_Toc490331735"/>
      <w:bookmarkStart w:id="2024" w:name="_Toc12862"/>
      <w:bookmarkStart w:id="2025" w:name="_Toc486580444"/>
      <w:bookmarkStart w:id="2026" w:name="_Toc485323218"/>
      <w:bookmarkStart w:id="2027" w:name="_Toc497214113"/>
      <w:bookmarkStart w:id="2028" w:name="_Toc489280250"/>
      <w:bookmarkStart w:id="2029" w:name="_Toc9657"/>
      <w:r>
        <w:rPr>
          <w:rFonts w:ascii="宋体" w:hAnsi="宋体"/>
          <w:color w:val="auto"/>
          <w:kern w:val="0"/>
          <w:sz w:val="24"/>
          <w:szCs w:val="20"/>
          <w:highlight w:val="none"/>
        </w:rPr>
        <w:t xml:space="preserve">20.4  </w:t>
      </w:r>
      <w:r>
        <w:rPr>
          <w:rFonts w:hint="eastAsia" w:ascii="宋体" w:hAnsi="宋体"/>
          <w:color w:val="auto"/>
          <w:kern w:val="0"/>
          <w:sz w:val="24"/>
          <w:szCs w:val="20"/>
          <w:highlight w:val="none"/>
        </w:rPr>
        <w:t>第三者责任险</w:t>
      </w:r>
      <w:bookmarkEnd w:id="2023"/>
      <w:bookmarkEnd w:id="2024"/>
      <w:bookmarkEnd w:id="2025"/>
      <w:bookmarkEnd w:id="2026"/>
      <w:bookmarkEnd w:id="2027"/>
      <w:bookmarkEnd w:id="2028"/>
      <w:bookmarkEnd w:id="2029"/>
    </w:p>
    <w:p w14:paraId="06601A1B">
      <w:pPr>
        <w:spacing w:line="360" w:lineRule="auto"/>
        <w:ind w:firstLine="420" w:firstLineChars="200"/>
        <w:rPr>
          <w:rFonts w:ascii="宋体" w:cs="Arial"/>
          <w:color w:val="auto"/>
          <w:highlight w:val="none"/>
        </w:rPr>
      </w:pPr>
      <w:r>
        <w:rPr>
          <w:rFonts w:ascii="宋体" w:hAnsi="宋体"/>
          <w:color w:val="auto"/>
          <w:szCs w:val="21"/>
          <w:highlight w:val="none"/>
        </w:rPr>
        <w:t xml:space="preserve">20.4.2  </w:t>
      </w:r>
      <w:r>
        <w:rPr>
          <w:rFonts w:hint="eastAsia" w:ascii="宋体" w:hAnsi="宋体"/>
          <w:color w:val="auto"/>
          <w:szCs w:val="21"/>
          <w:highlight w:val="none"/>
        </w:rPr>
        <w:t>保险金额：</w:t>
      </w:r>
      <w:r>
        <w:rPr>
          <w:rFonts w:ascii="宋体" w:hAnsi="宋体"/>
          <w:color w:val="auto"/>
          <w:szCs w:val="21"/>
          <w:highlight w:val="none"/>
          <w:u w:val="single"/>
        </w:rPr>
        <w:t xml:space="preserve">  </w:t>
      </w:r>
      <w:r>
        <w:rPr>
          <w:rFonts w:ascii="宋体" w:hAnsi="宋体" w:cs="Arial"/>
          <w:color w:val="auto"/>
          <w:highlight w:val="none"/>
          <w:u w:val="single"/>
        </w:rPr>
        <w:t xml:space="preserve">   /               </w:t>
      </w:r>
      <w:r>
        <w:rPr>
          <w:rFonts w:hint="eastAsia" w:ascii="宋体" w:hAnsi="宋体" w:cs="Arial"/>
          <w:color w:val="auto"/>
          <w:highlight w:val="none"/>
        </w:rPr>
        <w:t>，</w:t>
      </w:r>
      <w:r>
        <w:rPr>
          <w:rFonts w:hint="eastAsia" w:ascii="宋体" w:hAnsi="宋体"/>
          <w:color w:val="auto"/>
          <w:szCs w:val="21"/>
          <w:highlight w:val="none"/>
        </w:rPr>
        <w:t>保险费率由承包人与发包人同意的保险人商定，相关保险费由</w:t>
      </w:r>
      <w:r>
        <w:rPr>
          <w:rFonts w:ascii="宋体" w:hAnsi="宋体"/>
          <w:color w:val="auto"/>
          <w:szCs w:val="21"/>
          <w:highlight w:val="none"/>
          <w:u w:val="single"/>
        </w:rPr>
        <w:t xml:space="preserve">   /     </w:t>
      </w:r>
      <w:r>
        <w:rPr>
          <w:rFonts w:hint="eastAsia" w:ascii="宋体" w:hAnsi="宋体"/>
          <w:color w:val="auto"/>
          <w:szCs w:val="21"/>
          <w:highlight w:val="none"/>
        </w:rPr>
        <w:t>承担</w:t>
      </w:r>
      <w:r>
        <w:rPr>
          <w:rFonts w:hint="eastAsia" w:ascii="宋体" w:hAnsi="宋体" w:cs="Arial"/>
          <w:color w:val="auto"/>
          <w:highlight w:val="none"/>
        </w:rPr>
        <w:t>。</w:t>
      </w:r>
      <w:r>
        <w:rPr>
          <w:rFonts w:ascii="宋体" w:hAnsi="宋体" w:cs="Arial"/>
          <w:color w:val="auto"/>
          <w:highlight w:val="none"/>
        </w:rPr>
        <w:t xml:space="preserve">                               </w:t>
      </w:r>
    </w:p>
    <w:p w14:paraId="6BD6FA80">
      <w:pPr>
        <w:keepNext/>
        <w:keepLines/>
        <w:spacing w:before="120" w:beforeLines="50" w:after="120" w:afterLines="50" w:line="360" w:lineRule="auto"/>
        <w:outlineLvl w:val="2"/>
        <w:rPr>
          <w:rFonts w:ascii="宋体" w:hAnsi="宋体"/>
          <w:color w:val="auto"/>
          <w:kern w:val="0"/>
          <w:sz w:val="24"/>
          <w:szCs w:val="20"/>
          <w:highlight w:val="none"/>
        </w:rPr>
      </w:pPr>
      <w:bookmarkStart w:id="2030" w:name="_Toc490331736"/>
      <w:bookmarkStart w:id="2031" w:name="_Toc18337"/>
      <w:bookmarkStart w:id="2032" w:name="_Toc30822"/>
      <w:bookmarkStart w:id="2033" w:name="_Toc497214114"/>
      <w:bookmarkStart w:id="2034" w:name="_Toc486580445"/>
      <w:bookmarkStart w:id="2035" w:name="_Toc489280251"/>
      <w:bookmarkStart w:id="2036" w:name="_Toc485323219"/>
      <w:r>
        <w:rPr>
          <w:rFonts w:ascii="宋体" w:hAnsi="宋体"/>
          <w:color w:val="auto"/>
          <w:kern w:val="0"/>
          <w:sz w:val="24"/>
          <w:szCs w:val="20"/>
          <w:highlight w:val="none"/>
        </w:rPr>
        <w:t xml:space="preserve">20.5  </w:t>
      </w:r>
      <w:r>
        <w:rPr>
          <w:rFonts w:hint="eastAsia" w:ascii="宋体" w:hAnsi="宋体"/>
          <w:color w:val="auto"/>
          <w:kern w:val="0"/>
          <w:sz w:val="24"/>
          <w:szCs w:val="20"/>
          <w:highlight w:val="none"/>
        </w:rPr>
        <w:t>其他保险</w:t>
      </w:r>
      <w:bookmarkEnd w:id="2030"/>
      <w:bookmarkEnd w:id="2031"/>
      <w:bookmarkEnd w:id="2032"/>
      <w:bookmarkEnd w:id="2033"/>
      <w:bookmarkEnd w:id="2034"/>
      <w:bookmarkEnd w:id="2035"/>
      <w:bookmarkEnd w:id="2036"/>
    </w:p>
    <w:p w14:paraId="7C58808F">
      <w:pPr>
        <w:spacing w:line="360" w:lineRule="auto"/>
        <w:ind w:firstLine="420" w:firstLineChars="200"/>
        <w:rPr>
          <w:rFonts w:ascii="宋体"/>
          <w:color w:val="auto"/>
          <w:szCs w:val="21"/>
          <w:highlight w:val="none"/>
          <w:u w:val="single"/>
        </w:rPr>
      </w:pPr>
      <w:r>
        <w:rPr>
          <w:rFonts w:hint="eastAsia" w:ascii="宋体" w:hAnsi="宋体"/>
          <w:color w:val="auto"/>
          <w:szCs w:val="21"/>
          <w:highlight w:val="none"/>
        </w:rPr>
        <w:t>承包人应为其施工设备、进场材料和工程设备等办理的保险：</w:t>
      </w:r>
      <w:r>
        <w:rPr>
          <w:rFonts w:ascii="宋体" w:hAnsi="宋体"/>
          <w:color w:val="auto"/>
          <w:szCs w:val="21"/>
          <w:highlight w:val="none"/>
          <w:u w:val="single"/>
        </w:rPr>
        <w:t xml:space="preserve">  </w:t>
      </w:r>
      <w:r>
        <w:rPr>
          <w:rFonts w:hint="eastAsia" w:ascii="宋体" w:hAnsi="宋体"/>
          <w:color w:val="auto"/>
          <w:szCs w:val="21"/>
          <w:highlight w:val="none"/>
          <w:u w:val="single"/>
        </w:rPr>
        <w:t>承包人自行考虑，所需费用由承包人自行承担。</w:t>
      </w:r>
      <w:r>
        <w:rPr>
          <w:rFonts w:ascii="宋体" w:hAnsi="宋体"/>
          <w:color w:val="auto"/>
          <w:szCs w:val="21"/>
          <w:highlight w:val="none"/>
          <w:u w:val="single"/>
        </w:rPr>
        <w:t xml:space="preserve">    </w:t>
      </w:r>
    </w:p>
    <w:p w14:paraId="1311425F">
      <w:pPr>
        <w:keepNext/>
        <w:keepLines/>
        <w:spacing w:before="120" w:beforeLines="50" w:after="120" w:afterLines="50" w:line="360" w:lineRule="auto"/>
        <w:outlineLvl w:val="2"/>
        <w:rPr>
          <w:rFonts w:ascii="宋体" w:hAnsi="宋体"/>
          <w:color w:val="auto"/>
          <w:kern w:val="0"/>
          <w:sz w:val="24"/>
          <w:szCs w:val="20"/>
          <w:highlight w:val="none"/>
        </w:rPr>
      </w:pPr>
      <w:bookmarkStart w:id="2037" w:name="_Toc12690"/>
      <w:bookmarkStart w:id="2038" w:name="_Toc485323220"/>
      <w:bookmarkStart w:id="2039" w:name="_Toc489280252"/>
      <w:bookmarkStart w:id="2040" w:name="_Toc486580446"/>
      <w:bookmarkStart w:id="2041" w:name="_Toc497214115"/>
      <w:bookmarkStart w:id="2042" w:name="_Toc490331737"/>
      <w:bookmarkStart w:id="2043" w:name="_Toc16561"/>
      <w:r>
        <w:rPr>
          <w:rFonts w:ascii="宋体" w:hAnsi="宋体"/>
          <w:color w:val="auto"/>
          <w:kern w:val="0"/>
          <w:sz w:val="24"/>
          <w:szCs w:val="20"/>
          <w:highlight w:val="none"/>
        </w:rPr>
        <w:t xml:space="preserve">20.6  </w:t>
      </w:r>
      <w:r>
        <w:rPr>
          <w:rFonts w:hint="eastAsia" w:ascii="宋体" w:hAnsi="宋体"/>
          <w:color w:val="auto"/>
          <w:kern w:val="0"/>
          <w:sz w:val="24"/>
          <w:szCs w:val="20"/>
          <w:highlight w:val="none"/>
        </w:rPr>
        <w:t>对各项保险的一般要求</w:t>
      </w:r>
      <w:bookmarkEnd w:id="2037"/>
      <w:bookmarkEnd w:id="2038"/>
      <w:bookmarkEnd w:id="2039"/>
      <w:bookmarkEnd w:id="2040"/>
      <w:bookmarkEnd w:id="2041"/>
      <w:bookmarkEnd w:id="2042"/>
      <w:bookmarkEnd w:id="2043"/>
    </w:p>
    <w:p w14:paraId="24F874C6">
      <w:pPr>
        <w:spacing w:line="360" w:lineRule="auto"/>
        <w:ind w:firstLine="420" w:firstLineChars="200"/>
        <w:rPr>
          <w:rFonts w:ascii="宋体"/>
          <w:color w:val="auto"/>
          <w:szCs w:val="21"/>
          <w:highlight w:val="none"/>
        </w:rPr>
      </w:pPr>
      <w:r>
        <w:rPr>
          <w:rFonts w:ascii="宋体" w:hAnsi="宋体"/>
          <w:color w:val="auto"/>
          <w:szCs w:val="21"/>
          <w:highlight w:val="none"/>
        </w:rPr>
        <w:t xml:space="preserve">20.6.1  </w:t>
      </w:r>
      <w:r>
        <w:rPr>
          <w:rFonts w:hint="eastAsia" w:ascii="宋体" w:hAnsi="宋体"/>
          <w:color w:val="auto"/>
          <w:szCs w:val="21"/>
          <w:highlight w:val="none"/>
        </w:rPr>
        <w:t>保险凭证</w:t>
      </w:r>
    </w:p>
    <w:p w14:paraId="39ECEB04">
      <w:pPr>
        <w:spacing w:line="360" w:lineRule="auto"/>
        <w:ind w:firstLine="420" w:firstLineChars="200"/>
        <w:rPr>
          <w:rFonts w:ascii="宋体"/>
          <w:color w:val="auto"/>
          <w:szCs w:val="21"/>
          <w:highlight w:val="none"/>
          <w:u w:val="single"/>
        </w:rPr>
      </w:pPr>
      <w:r>
        <w:rPr>
          <w:rFonts w:hint="eastAsia" w:ascii="宋体" w:hAnsi="宋体"/>
          <w:color w:val="auto"/>
          <w:szCs w:val="21"/>
          <w:highlight w:val="none"/>
        </w:rPr>
        <w:t>承包人向发包人提交各项保险生效的证据和保险单副本的期限：</w:t>
      </w:r>
      <w:r>
        <w:rPr>
          <w:rFonts w:ascii="宋体" w:hAnsi="宋体"/>
          <w:color w:val="auto"/>
          <w:szCs w:val="21"/>
          <w:highlight w:val="none"/>
          <w:u w:val="single"/>
        </w:rPr>
        <w:t xml:space="preserve">  </w:t>
      </w:r>
      <w:r>
        <w:rPr>
          <w:rFonts w:hint="eastAsia" w:ascii="宋体" w:hAnsi="宋体"/>
          <w:color w:val="auto"/>
          <w:szCs w:val="21"/>
          <w:highlight w:val="none"/>
          <w:u w:val="single"/>
        </w:rPr>
        <w:t>开工前7天内。</w:t>
      </w:r>
      <w:r>
        <w:rPr>
          <w:rFonts w:ascii="宋体" w:hAnsi="宋体"/>
          <w:color w:val="auto"/>
          <w:szCs w:val="21"/>
          <w:highlight w:val="none"/>
          <w:u w:val="single"/>
        </w:rPr>
        <w:t xml:space="preserve">  </w:t>
      </w:r>
    </w:p>
    <w:p w14:paraId="20EAA186">
      <w:pPr>
        <w:spacing w:line="360" w:lineRule="auto"/>
        <w:ind w:firstLine="420" w:firstLineChars="200"/>
        <w:rPr>
          <w:rFonts w:ascii="宋体"/>
          <w:color w:val="auto"/>
          <w:szCs w:val="21"/>
          <w:highlight w:val="none"/>
        </w:rPr>
      </w:pPr>
      <w:r>
        <w:rPr>
          <w:rFonts w:ascii="宋体" w:hAnsi="宋体"/>
          <w:color w:val="auto"/>
          <w:szCs w:val="21"/>
          <w:highlight w:val="none"/>
        </w:rPr>
        <w:t xml:space="preserve">20.6.4  </w:t>
      </w:r>
      <w:r>
        <w:rPr>
          <w:rFonts w:hint="eastAsia" w:ascii="宋体" w:hAnsi="宋体"/>
          <w:color w:val="auto"/>
          <w:szCs w:val="21"/>
          <w:highlight w:val="none"/>
        </w:rPr>
        <w:t>保险金不足的补偿</w:t>
      </w:r>
    </w:p>
    <w:p w14:paraId="6DFACC48">
      <w:pPr>
        <w:spacing w:line="360" w:lineRule="auto"/>
        <w:ind w:firstLine="420" w:firstLineChars="200"/>
        <w:rPr>
          <w:rFonts w:ascii="宋体"/>
          <w:color w:val="auto"/>
          <w:szCs w:val="21"/>
          <w:highlight w:val="none"/>
          <w:u w:val="single"/>
        </w:rPr>
      </w:pPr>
      <w:r>
        <w:rPr>
          <w:rFonts w:hint="eastAsia" w:ascii="宋体" w:hAnsi="宋体"/>
          <w:color w:val="auto"/>
          <w:szCs w:val="21"/>
          <w:highlight w:val="none"/>
        </w:rPr>
        <w:t>保险金不足以补偿损失时，承包人和发包人负责补偿的责任分摊：</w:t>
      </w:r>
      <w:r>
        <w:rPr>
          <w:rFonts w:ascii="宋体" w:hAnsi="宋体"/>
          <w:color w:val="auto"/>
          <w:szCs w:val="21"/>
          <w:highlight w:val="none"/>
          <w:u w:val="single"/>
        </w:rPr>
        <w:t xml:space="preserve">   </w:t>
      </w:r>
      <w:r>
        <w:rPr>
          <w:rFonts w:hint="eastAsia" w:ascii="宋体" w:hAnsi="宋体"/>
          <w:color w:val="auto"/>
          <w:szCs w:val="21"/>
          <w:highlight w:val="none"/>
          <w:u w:val="single"/>
        </w:rPr>
        <w:t>按责任划分。</w:t>
      </w:r>
      <w:r>
        <w:rPr>
          <w:rFonts w:ascii="宋体" w:hAnsi="宋体"/>
          <w:color w:val="auto"/>
          <w:szCs w:val="21"/>
          <w:highlight w:val="none"/>
          <w:u w:val="single"/>
        </w:rPr>
        <w:t xml:space="preserve">  </w:t>
      </w:r>
    </w:p>
    <w:p w14:paraId="0DC96560">
      <w:pPr>
        <w:keepNext/>
        <w:keepLines/>
        <w:spacing w:before="120" w:beforeLines="50" w:after="120" w:afterLines="50" w:line="360" w:lineRule="auto"/>
        <w:outlineLvl w:val="1"/>
        <w:rPr>
          <w:rFonts w:ascii="宋体" w:hAnsi="宋体" w:cs="宋体"/>
          <w:color w:val="auto"/>
          <w:sz w:val="28"/>
          <w:szCs w:val="20"/>
          <w:highlight w:val="none"/>
        </w:rPr>
      </w:pPr>
      <w:bookmarkStart w:id="2044" w:name="_Toc490331738"/>
      <w:bookmarkStart w:id="2045" w:name="_Toc489280253"/>
      <w:bookmarkStart w:id="2046" w:name="_Toc497214116"/>
      <w:bookmarkStart w:id="2047" w:name="_Toc486580447"/>
      <w:bookmarkStart w:id="2048" w:name="_Toc19876"/>
      <w:bookmarkStart w:id="2049" w:name="_Toc485323221"/>
      <w:bookmarkStart w:id="2050" w:name="_Toc13002"/>
      <w:r>
        <w:rPr>
          <w:rFonts w:ascii="宋体" w:hAnsi="宋体" w:cs="宋体"/>
          <w:color w:val="auto"/>
          <w:sz w:val="28"/>
          <w:szCs w:val="20"/>
          <w:highlight w:val="none"/>
        </w:rPr>
        <w:t>21.</w:t>
      </w:r>
      <w:r>
        <w:rPr>
          <w:rFonts w:hint="eastAsia" w:ascii="宋体" w:hAnsi="宋体" w:cs="宋体"/>
          <w:color w:val="auto"/>
          <w:sz w:val="28"/>
          <w:szCs w:val="20"/>
          <w:highlight w:val="none"/>
        </w:rPr>
        <w:t>不可抗力</w:t>
      </w:r>
      <w:bookmarkEnd w:id="2044"/>
      <w:bookmarkEnd w:id="2045"/>
      <w:bookmarkEnd w:id="2046"/>
      <w:bookmarkEnd w:id="2047"/>
      <w:bookmarkEnd w:id="2048"/>
      <w:bookmarkEnd w:id="2049"/>
      <w:bookmarkEnd w:id="2050"/>
    </w:p>
    <w:p w14:paraId="428035C2">
      <w:pPr>
        <w:keepNext/>
        <w:keepLines/>
        <w:spacing w:before="120" w:beforeLines="50" w:after="120" w:afterLines="50" w:line="360" w:lineRule="auto"/>
        <w:outlineLvl w:val="2"/>
        <w:rPr>
          <w:rFonts w:ascii="宋体" w:hAnsi="宋体"/>
          <w:color w:val="auto"/>
          <w:kern w:val="0"/>
          <w:sz w:val="24"/>
          <w:szCs w:val="20"/>
          <w:highlight w:val="none"/>
        </w:rPr>
      </w:pPr>
      <w:bookmarkStart w:id="2051" w:name="_Toc497214117"/>
      <w:bookmarkStart w:id="2052" w:name="_Toc490331739"/>
      <w:bookmarkStart w:id="2053" w:name="_Toc489280254"/>
      <w:bookmarkStart w:id="2054" w:name="_Toc485323222"/>
      <w:bookmarkStart w:id="2055" w:name="_Toc486580448"/>
      <w:bookmarkStart w:id="2056" w:name="_Toc6084"/>
      <w:bookmarkStart w:id="2057" w:name="_Toc9001"/>
      <w:r>
        <w:rPr>
          <w:rFonts w:ascii="宋体" w:hAnsi="宋体"/>
          <w:color w:val="auto"/>
          <w:kern w:val="0"/>
          <w:sz w:val="24"/>
          <w:szCs w:val="20"/>
          <w:highlight w:val="none"/>
        </w:rPr>
        <w:t xml:space="preserve">21.1  </w:t>
      </w:r>
      <w:r>
        <w:rPr>
          <w:rFonts w:hint="eastAsia" w:ascii="宋体" w:hAnsi="宋体"/>
          <w:color w:val="auto"/>
          <w:kern w:val="0"/>
          <w:sz w:val="24"/>
          <w:szCs w:val="20"/>
          <w:highlight w:val="none"/>
        </w:rPr>
        <w:t>不可抗力的确认</w:t>
      </w:r>
      <w:bookmarkEnd w:id="2051"/>
      <w:bookmarkEnd w:id="2052"/>
      <w:bookmarkEnd w:id="2053"/>
      <w:bookmarkEnd w:id="2054"/>
      <w:bookmarkEnd w:id="2055"/>
      <w:bookmarkEnd w:id="2056"/>
      <w:bookmarkEnd w:id="2057"/>
    </w:p>
    <w:p w14:paraId="34FF27BB">
      <w:pPr>
        <w:spacing w:line="360" w:lineRule="auto"/>
        <w:ind w:firstLine="420" w:firstLineChars="200"/>
        <w:rPr>
          <w:rFonts w:ascii="宋体"/>
          <w:color w:val="auto"/>
          <w:szCs w:val="21"/>
          <w:highlight w:val="none"/>
        </w:rPr>
      </w:pPr>
      <w:r>
        <w:rPr>
          <w:rFonts w:ascii="宋体" w:hAnsi="宋体"/>
          <w:color w:val="auto"/>
          <w:szCs w:val="21"/>
          <w:highlight w:val="none"/>
        </w:rPr>
        <w:t xml:space="preserve">21.1.1  </w:t>
      </w:r>
      <w:r>
        <w:rPr>
          <w:rFonts w:hint="eastAsia" w:ascii="宋体" w:hAnsi="宋体"/>
          <w:color w:val="auto"/>
          <w:szCs w:val="21"/>
          <w:highlight w:val="none"/>
        </w:rPr>
        <w:t>合同条款通用部分第</w:t>
      </w:r>
      <w:r>
        <w:rPr>
          <w:rFonts w:ascii="宋体" w:hAnsi="宋体"/>
          <w:color w:val="auto"/>
          <w:szCs w:val="21"/>
          <w:highlight w:val="none"/>
        </w:rPr>
        <w:t>21.1.1</w:t>
      </w:r>
      <w:r>
        <w:rPr>
          <w:rFonts w:hint="eastAsia" w:ascii="宋体" w:hAnsi="宋体"/>
          <w:color w:val="auto"/>
          <w:szCs w:val="21"/>
          <w:highlight w:val="none"/>
        </w:rPr>
        <w:t>项约定的不可抗力以外的其他情形：</w:t>
      </w:r>
      <w:r>
        <w:rPr>
          <w:rFonts w:ascii="宋体" w:hAnsi="宋体"/>
          <w:color w:val="auto"/>
          <w:szCs w:val="21"/>
          <w:highlight w:val="none"/>
          <w:u w:val="single"/>
        </w:rPr>
        <w:t xml:space="preserve">  /      </w:t>
      </w:r>
    </w:p>
    <w:p w14:paraId="6883BC9A">
      <w:pPr>
        <w:spacing w:line="360" w:lineRule="auto"/>
        <w:ind w:firstLine="420" w:firstLineChars="200"/>
        <w:rPr>
          <w:rFonts w:ascii="宋体" w:cs="Arial"/>
          <w:color w:val="auto"/>
          <w:highlight w:val="none"/>
        </w:rPr>
      </w:pPr>
      <w:r>
        <w:rPr>
          <w:rFonts w:hint="eastAsia" w:ascii="宋体" w:hAnsi="宋体"/>
          <w:color w:val="auto"/>
          <w:szCs w:val="21"/>
          <w:highlight w:val="none"/>
        </w:rPr>
        <w:t>不可抗力的等级范围约定：</w:t>
      </w:r>
      <w:r>
        <w:rPr>
          <w:rFonts w:ascii="宋体" w:hAnsi="宋体"/>
          <w:color w:val="auto"/>
          <w:szCs w:val="21"/>
          <w:highlight w:val="none"/>
          <w:u w:val="single"/>
        </w:rPr>
        <w:t xml:space="preserve">  </w:t>
      </w:r>
      <w:r>
        <w:rPr>
          <w:rFonts w:hint="eastAsia" w:ascii="宋体" w:hAnsi="宋体"/>
          <w:color w:val="auto"/>
          <w:szCs w:val="21"/>
          <w:highlight w:val="none"/>
          <w:u w:val="single"/>
        </w:rPr>
        <w:t>6级以上地震、12级以上的大风、6小时内降雪量大于15mm及以上降雪，24小时内降水量为300mm以上的暴雨等</w:t>
      </w:r>
      <w:r>
        <w:rPr>
          <w:rFonts w:ascii="宋体" w:hAnsi="宋体"/>
          <w:color w:val="auto"/>
          <w:szCs w:val="21"/>
          <w:highlight w:val="none"/>
          <w:u w:val="single"/>
        </w:rPr>
        <w:t>国家相关规定。</w:t>
      </w:r>
      <w:r>
        <w:rPr>
          <w:rFonts w:ascii="宋体" w:hAnsi="宋体" w:cs="Arial"/>
          <w:color w:val="auto"/>
          <w:highlight w:val="none"/>
          <w:u w:val="single"/>
        </w:rPr>
        <w:t xml:space="preserve">                </w:t>
      </w:r>
    </w:p>
    <w:p w14:paraId="54C50AFA">
      <w:pPr>
        <w:keepNext/>
        <w:keepLines/>
        <w:spacing w:before="120" w:beforeLines="50" w:after="120" w:afterLines="50" w:line="360" w:lineRule="auto"/>
        <w:outlineLvl w:val="1"/>
        <w:rPr>
          <w:rFonts w:ascii="宋体" w:hAnsi="宋体" w:cs="宋体"/>
          <w:color w:val="auto"/>
          <w:sz w:val="28"/>
          <w:szCs w:val="20"/>
          <w:highlight w:val="none"/>
        </w:rPr>
      </w:pPr>
      <w:bookmarkStart w:id="2058" w:name="_Toc486580450"/>
      <w:bookmarkStart w:id="2059" w:name="_Toc8823"/>
      <w:bookmarkStart w:id="2060" w:name="_Toc497214118"/>
      <w:bookmarkStart w:id="2061" w:name="_Toc485323224"/>
      <w:bookmarkStart w:id="2062" w:name="_Toc489280256"/>
      <w:bookmarkStart w:id="2063" w:name="_Toc490331741"/>
      <w:bookmarkStart w:id="2064" w:name="_Toc16155"/>
      <w:r>
        <w:rPr>
          <w:rFonts w:ascii="宋体" w:hAnsi="宋体" w:cs="宋体"/>
          <w:color w:val="auto"/>
          <w:sz w:val="28"/>
          <w:szCs w:val="20"/>
          <w:highlight w:val="none"/>
        </w:rPr>
        <w:t>24.</w:t>
      </w:r>
      <w:r>
        <w:rPr>
          <w:rFonts w:hint="eastAsia" w:ascii="宋体" w:hAnsi="宋体" w:cs="宋体"/>
          <w:color w:val="auto"/>
          <w:sz w:val="28"/>
          <w:szCs w:val="20"/>
          <w:highlight w:val="none"/>
        </w:rPr>
        <w:t>争议的解决</w:t>
      </w:r>
      <w:bookmarkEnd w:id="2058"/>
      <w:bookmarkEnd w:id="2059"/>
      <w:bookmarkEnd w:id="2060"/>
      <w:bookmarkEnd w:id="2061"/>
      <w:bookmarkEnd w:id="2062"/>
      <w:bookmarkEnd w:id="2063"/>
      <w:bookmarkEnd w:id="2064"/>
    </w:p>
    <w:p w14:paraId="1FF4E5CF">
      <w:pPr>
        <w:keepNext/>
        <w:keepLines/>
        <w:spacing w:before="120" w:beforeLines="50" w:after="120" w:afterLines="50" w:line="360" w:lineRule="auto"/>
        <w:outlineLvl w:val="2"/>
        <w:rPr>
          <w:rFonts w:ascii="宋体" w:hAnsi="宋体"/>
          <w:color w:val="auto"/>
          <w:kern w:val="0"/>
          <w:sz w:val="24"/>
          <w:szCs w:val="20"/>
          <w:highlight w:val="none"/>
        </w:rPr>
      </w:pPr>
      <w:bookmarkStart w:id="2065" w:name="_Toc2230"/>
      <w:bookmarkStart w:id="2066" w:name="_Toc490331742"/>
      <w:bookmarkStart w:id="2067" w:name="_Toc485323225"/>
      <w:bookmarkStart w:id="2068" w:name="_Toc489280257"/>
      <w:bookmarkStart w:id="2069" w:name="_Toc497214119"/>
      <w:bookmarkStart w:id="2070" w:name="_Toc486580451"/>
      <w:bookmarkStart w:id="2071" w:name="_Toc21283"/>
      <w:r>
        <w:rPr>
          <w:rFonts w:ascii="宋体" w:hAnsi="宋体"/>
          <w:color w:val="auto"/>
          <w:kern w:val="0"/>
          <w:sz w:val="24"/>
          <w:szCs w:val="20"/>
          <w:highlight w:val="none"/>
        </w:rPr>
        <w:t xml:space="preserve">24.1  </w:t>
      </w:r>
      <w:r>
        <w:rPr>
          <w:rFonts w:hint="eastAsia" w:ascii="宋体" w:hAnsi="宋体"/>
          <w:color w:val="auto"/>
          <w:kern w:val="0"/>
          <w:sz w:val="24"/>
          <w:szCs w:val="20"/>
          <w:highlight w:val="none"/>
        </w:rPr>
        <w:t>争议的解决方式</w:t>
      </w:r>
      <w:bookmarkEnd w:id="2065"/>
      <w:bookmarkEnd w:id="2066"/>
      <w:bookmarkEnd w:id="2067"/>
      <w:bookmarkEnd w:id="2068"/>
      <w:bookmarkEnd w:id="2069"/>
      <w:bookmarkEnd w:id="2070"/>
      <w:bookmarkEnd w:id="2071"/>
    </w:p>
    <w:p w14:paraId="11ED8E51">
      <w:pPr>
        <w:spacing w:line="360" w:lineRule="auto"/>
        <w:ind w:firstLine="420" w:firstLineChars="200"/>
        <w:rPr>
          <w:rFonts w:ascii="宋体"/>
          <w:color w:val="auto"/>
          <w:szCs w:val="21"/>
          <w:highlight w:val="none"/>
        </w:rPr>
      </w:pPr>
      <w:r>
        <w:rPr>
          <w:rFonts w:hint="eastAsia" w:ascii="宋体" w:hAnsi="宋体"/>
          <w:color w:val="auto"/>
          <w:szCs w:val="21"/>
          <w:highlight w:val="none"/>
        </w:rPr>
        <w:t>因本合同引起的或与本合同有关的任何争议，合同双方友好协商不成、不愿提请争议组评审或者不愿接受争议评审组意见的，选择下列第</w:t>
      </w:r>
      <w:r>
        <w:rPr>
          <w:rFonts w:ascii="宋体" w:hAnsi="宋体"/>
          <w:color w:val="auto"/>
          <w:szCs w:val="21"/>
          <w:highlight w:val="none"/>
          <w:u w:val="single"/>
        </w:rPr>
        <w:t xml:space="preserve">  </w:t>
      </w:r>
      <w:r>
        <w:rPr>
          <w:rFonts w:hint="eastAsia" w:ascii="宋体" w:hAnsi="宋体"/>
          <w:color w:val="auto"/>
          <w:szCs w:val="21"/>
          <w:highlight w:val="none"/>
          <w:u w:val="single"/>
        </w:rPr>
        <w:t>贰</w:t>
      </w:r>
      <w:r>
        <w:rPr>
          <w:rFonts w:ascii="宋体" w:hAnsi="宋体"/>
          <w:color w:val="auto"/>
          <w:szCs w:val="21"/>
          <w:highlight w:val="none"/>
          <w:u w:val="single"/>
        </w:rPr>
        <w:t xml:space="preserve">  </w:t>
      </w:r>
      <w:r>
        <w:rPr>
          <w:rFonts w:hint="eastAsia" w:ascii="宋体" w:hAnsi="宋体"/>
          <w:color w:val="auto"/>
          <w:szCs w:val="21"/>
          <w:highlight w:val="none"/>
        </w:rPr>
        <w:t>种方式解决：</w:t>
      </w:r>
    </w:p>
    <w:p w14:paraId="0D828650">
      <w:pPr>
        <w:spacing w:line="360" w:lineRule="auto"/>
        <w:ind w:firstLine="420" w:firstLineChars="200"/>
        <w:rPr>
          <w:rFonts w:ascii="宋体"/>
          <w:color w:val="auto"/>
          <w:highlight w:val="none"/>
        </w:rPr>
      </w:pPr>
      <w:r>
        <w:rPr>
          <w:rFonts w:hint="eastAsia" w:ascii="宋体" w:hAnsi="宋体"/>
          <w:color w:val="auto"/>
          <w:highlight w:val="none"/>
          <w:u w:val="single"/>
        </w:rPr>
        <w:t>（壹）</w:t>
      </w:r>
      <w:r>
        <w:rPr>
          <w:rFonts w:hint="eastAsia" w:ascii="宋体" w:hAnsi="宋体"/>
          <w:color w:val="auto"/>
          <w:highlight w:val="none"/>
        </w:rPr>
        <w:t>提请</w:t>
      </w:r>
      <w:r>
        <w:rPr>
          <w:rFonts w:ascii="宋体" w:hAnsi="宋体"/>
          <w:color w:val="auto"/>
          <w:highlight w:val="none"/>
          <w:u w:val="single"/>
        </w:rPr>
        <w:t xml:space="preserve">  </w:t>
      </w:r>
      <w:r>
        <w:rPr>
          <w:rFonts w:hint="eastAsia" w:ascii="宋体" w:hAnsi="宋体"/>
          <w:color w:val="auto"/>
          <w:highlight w:val="none"/>
          <w:u w:val="single"/>
        </w:rPr>
        <w:t>北京</w:t>
      </w:r>
      <w:r>
        <w:rPr>
          <w:rFonts w:ascii="宋体" w:hAnsi="宋体"/>
          <w:color w:val="auto"/>
          <w:highlight w:val="none"/>
          <w:u w:val="single"/>
        </w:rPr>
        <w:t xml:space="preserve">   </w:t>
      </w:r>
      <w:r>
        <w:rPr>
          <w:rFonts w:hint="eastAsia" w:ascii="宋体" w:hAnsi="宋体"/>
          <w:color w:val="auto"/>
          <w:highlight w:val="none"/>
        </w:rPr>
        <w:t>仲裁委员会按照该会仲裁规则进行仲裁，仲裁裁决是终局的，对合同双方均有约束力。</w:t>
      </w:r>
    </w:p>
    <w:p w14:paraId="074EBCC1">
      <w:pPr>
        <w:spacing w:line="360" w:lineRule="auto"/>
        <w:ind w:firstLine="420" w:firstLineChars="200"/>
        <w:rPr>
          <w:rFonts w:ascii="宋体"/>
          <w:color w:val="auto"/>
          <w:szCs w:val="21"/>
          <w:highlight w:val="none"/>
        </w:rPr>
      </w:pPr>
      <w:r>
        <w:rPr>
          <w:rFonts w:hint="eastAsia" w:ascii="宋体" w:hAnsi="宋体"/>
          <w:color w:val="auto"/>
          <w:szCs w:val="21"/>
          <w:highlight w:val="none"/>
          <w:u w:val="single"/>
        </w:rPr>
        <w:t>（贰）</w:t>
      </w:r>
      <w:r>
        <w:rPr>
          <w:rFonts w:hint="eastAsia" w:ascii="宋体" w:hAnsi="宋体"/>
          <w:color w:val="auto"/>
          <w:szCs w:val="21"/>
          <w:highlight w:val="none"/>
        </w:rPr>
        <w:t>向</w:t>
      </w:r>
      <w:r>
        <w:rPr>
          <w:rFonts w:hint="eastAsia" w:ascii="宋体" w:hAnsi="宋体"/>
          <w:color w:val="auto"/>
          <w:szCs w:val="21"/>
          <w:highlight w:val="none"/>
          <w:lang w:val="en-US" w:eastAsia="zh-CN"/>
        </w:rPr>
        <w:t>甲方所在地</w:t>
      </w:r>
      <w:r>
        <w:rPr>
          <w:rFonts w:hint="eastAsia" w:ascii="宋体" w:hAnsi="宋体"/>
          <w:color w:val="auto"/>
          <w:szCs w:val="21"/>
          <w:highlight w:val="none"/>
        </w:rPr>
        <w:t>有管辖权的人民法院提起诉讼。</w:t>
      </w:r>
    </w:p>
    <w:p w14:paraId="1311785F">
      <w:pPr>
        <w:keepNext/>
        <w:keepLines/>
        <w:spacing w:before="120" w:beforeLines="50" w:after="120" w:afterLines="50" w:line="360" w:lineRule="auto"/>
        <w:outlineLvl w:val="2"/>
        <w:rPr>
          <w:rFonts w:ascii="宋体" w:hAnsi="宋体"/>
          <w:color w:val="auto"/>
          <w:kern w:val="0"/>
          <w:sz w:val="24"/>
          <w:szCs w:val="20"/>
          <w:highlight w:val="none"/>
        </w:rPr>
      </w:pPr>
      <w:bookmarkStart w:id="2072" w:name="_Toc5569"/>
      <w:bookmarkStart w:id="2073" w:name="_Toc15044"/>
      <w:bookmarkStart w:id="2074" w:name="_Toc489280258"/>
      <w:bookmarkStart w:id="2075" w:name="_Toc497214120"/>
      <w:bookmarkStart w:id="2076" w:name="_Toc490331743"/>
      <w:bookmarkStart w:id="2077" w:name="_Toc485323226"/>
      <w:bookmarkStart w:id="2078" w:name="_Toc486580452"/>
      <w:r>
        <w:rPr>
          <w:rFonts w:ascii="宋体" w:hAnsi="宋体"/>
          <w:color w:val="auto"/>
          <w:kern w:val="0"/>
          <w:sz w:val="24"/>
          <w:szCs w:val="20"/>
          <w:highlight w:val="none"/>
        </w:rPr>
        <w:t xml:space="preserve">24.3  </w:t>
      </w:r>
      <w:r>
        <w:rPr>
          <w:rFonts w:hint="eastAsia" w:ascii="宋体" w:hAnsi="宋体"/>
          <w:color w:val="auto"/>
          <w:kern w:val="0"/>
          <w:sz w:val="24"/>
          <w:szCs w:val="20"/>
          <w:highlight w:val="none"/>
        </w:rPr>
        <w:t>争议评审</w:t>
      </w:r>
      <w:bookmarkEnd w:id="2072"/>
      <w:bookmarkEnd w:id="2073"/>
      <w:bookmarkEnd w:id="2074"/>
      <w:bookmarkEnd w:id="2075"/>
      <w:bookmarkEnd w:id="2076"/>
      <w:bookmarkEnd w:id="2077"/>
      <w:bookmarkEnd w:id="2078"/>
    </w:p>
    <w:p w14:paraId="0B5B3DF7">
      <w:pPr>
        <w:spacing w:line="360" w:lineRule="auto"/>
        <w:ind w:firstLine="420" w:firstLineChars="200"/>
        <w:rPr>
          <w:rFonts w:ascii="宋体"/>
          <w:color w:val="auto"/>
          <w:szCs w:val="21"/>
          <w:highlight w:val="none"/>
        </w:rPr>
      </w:pPr>
      <w:r>
        <w:rPr>
          <w:rFonts w:ascii="宋体" w:hAnsi="宋体"/>
          <w:color w:val="auto"/>
          <w:szCs w:val="21"/>
          <w:highlight w:val="none"/>
        </w:rPr>
        <w:t xml:space="preserve">24.3.4  </w:t>
      </w:r>
      <w:r>
        <w:rPr>
          <w:rFonts w:hint="eastAsia" w:ascii="宋体" w:hAnsi="宋体"/>
          <w:color w:val="auto"/>
          <w:szCs w:val="21"/>
          <w:highlight w:val="none"/>
        </w:rPr>
        <w:t>争议评审组邀请合同双方代表人和有关人员举行调查会的期限：</w:t>
      </w:r>
      <w:r>
        <w:rPr>
          <w:rFonts w:ascii="宋体" w:hAnsi="宋体"/>
          <w:color w:val="auto"/>
          <w:szCs w:val="21"/>
          <w:highlight w:val="none"/>
          <w:u w:val="single"/>
        </w:rPr>
        <w:t xml:space="preserve">  /    </w:t>
      </w:r>
    </w:p>
    <w:p w14:paraId="54DC3631">
      <w:pPr>
        <w:spacing w:line="360" w:lineRule="auto"/>
        <w:ind w:firstLine="420" w:firstLineChars="200"/>
        <w:rPr>
          <w:rFonts w:ascii="宋体" w:hAnsi="宋体"/>
          <w:color w:val="auto"/>
          <w:szCs w:val="21"/>
          <w:highlight w:val="none"/>
          <w:u w:val="single"/>
        </w:rPr>
      </w:pPr>
      <w:r>
        <w:rPr>
          <w:rFonts w:ascii="宋体" w:hAnsi="宋体"/>
          <w:color w:val="auto"/>
          <w:szCs w:val="21"/>
          <w:highlight w:val="none"/>
        </w:rPr>
        <w:t xml:space="preserve">24.3.5  </w:t>
      </w:r>
      <w:r>
        <w:rPr>
          <w:rFonts w:hint="eastAsia" w:ascii="宋体" w:hAnsi="宋体"/>
          <w:color w:val="auto"/>
          <w:szCs w:val="21"/>
          <w:highlight w:val="none"/>
        </w:rPr>
        <w:t>争议评审组在调查会后作出争议评审意见的期限：</w:t>
      </w:r>
      <w:r>
        <w:rPr>
          <w:rFonts w:ascii="宋体" w:hAnsi="宋体"/>
          <w:color w:val="auto"/>
          <w:szCs w:val="21"/>
          <w:highlight w:val="none"/>
          <w:u w:val="single"/>
        </w:rPr>
        <w:t xml:space="preserve">    /              </w:t>
      </w:r>
      <w:bookmarkStart w:id="2079" w:name="_Toc485323228"/>
      <w:bookmarkStart w:id="2080" w:name="_Toc12985"/>
      <w:bookmarkStart w:id="2081" w:name="_Toc480303474"/>
      <w:bookmarkStart w:id="2082" w:name="_Toc477964603"/>
      <w:bookmarkStart w:id="2083" w:name="_Toc486580454"/>
      <w:bookmarkStart w:id="2084" w:name="_Toc497456962"/>
      <w:bookmarkStart w:id="2085" w:name="_Toc489280260"/>
    </w:p>
    <w:p w14:paraId="50D492BF">
      <w:pPr>
        <w:spacing w:line="360" w:lineRule="auto"/>
        <w:ind w:firstLine="420" w:firstLineChars="200"/>
        <w:rPr>
          <w:rFonts w:ascii="宋体" w:hAnsi="宋体"/>
          <w:color w:val="auto"/>
          <w:szCs w:val="21"/>
          <w:highlight w:val="none"/>
          <w:u w:val="single"/>
        </w:rPr>
      </w:pPr>
    </w:p>
    <w:p w14:paraId="1DFBED91">
      <w:pPr>
        <w:spacing w:line="360" w:lineRule="auto"/>
        <w:ind w:firstLine="420" w:firstLineChars="200"/>
        <w:rPr>
          <w:rFonts w:ascii="宋体" w:hAnsi="宋体"/>
          <w:color w:val="auto"/>
          <w:szCs w:val="21"/>
          <w:highlight w:val="none"/>
          <w:u w:val="single"/>
        </w:rPr>
      </w:pPr>
    </w:p>
    <w:p w14:paraId="12F5276B">
      <w:pPr>
        <w:spacing w:line="360" w:lineRule="auto"/>
        <w:ind w:firstLine="420" w:firstLineChars="200"/>
        <w:rPr>
          <w:rFonts w:ascii="宋体" w:hAnsi="宋体"/>
          <w:color w:val="auto"/>
          <w:szCs w:val="21"/>
          <w:highlight w:val="none"/>
          <w:u w:val="single"/>
        </w:rPr>
      </w:pPr>
    </w:p>
    <w:p w14:paraId="550A6713">
      <w:pPr>
        <w:spacing w:line="360" w:lineRule="auto"/>
        <w:ind w:firstLine="420" w:firstLineChars="200"/>
        <w:rPr>
          <w:rFonts w:ascii="宋体" w:hAnsi="宋体"/>
          <w:color w:val="auto"/>
          <w:szCs w:val="21"/>
          <w:highlight w:val="none"/>
          <w:u w:val="single"/>
        </w:rPr>
      </w:pPr>
    </w:p>
    <w:p w14:paraId="3FAE7952">
      <w:pPr>
        <w:spacing w:line="360" w:lineRule="auto"/>
        <w:ind w:firstLine="420" w:firstLineChars="200"/>
        <w:rPr>
          <w:rFonts w:ascii="宋体" w:hAnsi="宋体"/>
          <w:color w:val="auto"/>
          <w:szCs w:val="21"/>
          <w:highlight w:val="none"/>
          <w:u w:val="single"/>
        </w:rPr>
      </w:pPr>
    </w:p>
    <w:p w14:paraId="62C5B8C7">
      <w:pPr>
        <w:spacing w:line="360" w:lineRule="auto"/>
        <w:ind w:firstLine="420" w:firstLineChars="200"/>
        <w:rPr>
          <w:rFonts w:ascii="宋体" w:hAnsi="宋体"/>
          <w:color w:val="auto"/>
          <w:szCs w:val="21"/>
          <w:highlight w:val="none"/>
          <w:u w:val="single"/>
        </w:rPr>
      </w:pPr>
    </w:p>
    <w:p w14:paraId="2033D295">
      <w:pPr>
        <w:pStyle w:val="7"/>
        <w:rPr>
          <w:rFonts w:ascii="宋体" w:hAnsi="宋体"/>
          <w:color w:val="auto"/>
          <w:szCs w:val="21"/>
          <w:highlight w:val="none"/>
          <w:u w:val="single"/>
        </w:rPr>
      </w:pPr>
    </w:p>
    <w:p w14:paraId="66BEE0CA">
      <w:pPr>
        <w:pStyle w:val="7"/>
        <w:rPr>
          <w:rFonts w:ascii="宋体" w:hAnsi="宋体"/>
          <w:color w:val="auto"/>
          <w:szCs w:val="21"/>
          <w:highlight w:val="none"/>
          <w:u w:val="single"/>
        </w:rPr>
      </w:pPr>
    </w:p>
    <w:p w14:paraId="0CAF522E">
      <w:pPr>
        <w:pStyle w:val="7"/>
        <w:rPr>
          <w:rFonts w:ascii="宋体" w:hAnsi="宋体"/>
          <w:color w:val="auto"/>
          <w:szCs w:val="21"/>
          <w:highlight w:val="none"/>
          <w:u w:val="single"/>
        </w:rPr>
      </w:pPr>
    </w:p>
    <w:p w14:paraId="25881DE6">
      <w:pPr>
        <w:pStyle w:val="7"/>
        <w:rPr>
          <w:rFonts w:ascii="宋体" w:hAnsi="宋体"/>
          <w:color w:val="auto"/>
          <w:szCs w:val="21"/>
          <w:highlight w:val="none"/>
          <w:u w:val="single"/>
        </w:rPr>
      </w:pPr>
    </w:p>
    <w:p w14:paraId="220F0C2F">
      <w:pPr>
        <w:pStyle w:val="7"/>
        <w:rPr>
          <w:rFonts w:ascii="宋体" w:hAnsi="宋体"/>
          <w:color w:val="auto"/>
          <w:szCs w:val="21"/>
          <w:highlight w:val="none"/>
          <w:u w:val="single"/>
        </w:rPr>
      </w:pPr>
    </w:p>
    <w:p w14:paraId="26748D62">
      <w:pPr>
        <w:pStyle w:val="7"/>
        <w:rPr>
          <w:rFonts w:ascii="宋体" w:hAnsi="宋体"/>
          <w:color w:val="auto"/>
          <w:szCs w:val="21"/>
          <w:highlight w:val="none"/>
          <w:u w:val="single"/>
        </w:rPr>
      </w:pPr>
    </w:p>
    <w:p w14:paraId="4DFF9F96">
      <w:pPr>
        <w:pStyle w:val="7"/>
        <w:rPr>
          <w:rFonts w:ascii="宋体" w:hAnsi="宋体"/>
          <w:color w:val="auto"/>
          <w:szCs w:val="21"/>
          <w:highlight w:val="none"/>
          <w:u w:val="single"/>
        </w:rPr>
      </w:pPr>
    </w:p>
    <w:p w14:paraId="05A1BE9C">
      <w:pPr>
        <w:spacing w:line="360" w:lineRule="auto"/>
        <w:ind w:firstLine="420" w:firstLineChars="200"/>
        <w:rPr>
          <w:rFonts w:ascii="宋体" w:hAnsi="宋体"/>
          <w:color w:val="auto"/>
          <w:szCs w:val="21"/>
          <w:highlight w:val="none"/>
          <w:u w:val="single"/>
        </w:rPr>
      </w:pPr>
    </w:p>
    <w:p w14:paraId="1E00BFD5">
      <w:pPr>
        <w:spacing w:line="360" w:lineRule="auto"/>
        <w:ind w:firstLine="420" w:firstLineChars="200"/>
        <w:rPr>
          <w:rFonts w:ascii="宋体" w:hAnsi="宋体"/>
          <w:color w:val="auto"/>
          <w:szCs w:val="21"/>
          <w:highlight w:val="none"/>
          <w:u w:val="single"/>
        </w:rPr>
      </w:pPr>
    </w:p>
    <w:p w14:paraId="6CDA1874">
      <w:pPr>
        <w:pStyle w:val="36"/>
        <w:spacing w:before="120" w:after="120"/>
        <w:outlineLvl w:val="1"/>
        <w:rPr>
          <w:color w:val="auto"/>
          <w:highlight w:val="none"/>
        </w:rPr>
      </w:pPr>
      <w:r>
        <w:rPr>
          <w:rFonts w:hint="eastAsia"/>
          <w:color w:val="auto"/>
          <w:highlight w:val="none"/>
        </w:rPr>
        <w:t>附件二：承包人承揽工程项目一览表</w:t>
      </w:r>
    </w:p>
    <w:p w14:paraId="4BE7051E">
      <w:pPr>
        <w:spacing w:line="360" w:lineRule="auto"/>
        <w:jc w:val="center"/>
        <w:rPr>
          <w:rFonts w:ascii="宋体"/>
          <w:b/>
          <w:color w:val="auto"/>
          <w:sz w:val="28"/>
          <w:szCs w:val="28"/>
          <w:highlight w:val="none"/>
        </w:rPr>
      </w:pPr>
      <w:r>
        <w:rPr>
          <w:rFonts w:hint="eastAsia" w:ascii="宋体" w:hAnsi="宋体"/>
          <w:b/>
          <w:color w:val="auto"/>
          <w:sz w:val="28"/>
          <w:szCs w:val="28"/>
          <w:highlight w:val="none"/>
        </w:rPr>
        <w:t>承包人承揽工程项目一览表</w:t>
      </w:r>
    </w:p>
    <w:tbl>
      <w:tblPr>
        <w:tblStyle w:val="18"/>
        <w:tblW w:w="8766" w:type="dxa"/>
        <w:tblInd w:w="-1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76"/>
        <w:gridCol w:w="400"/>
        <w:gridCol w:w="850"/>
        <w:gridCol w:w="649"/>
        <w:gridCol w:w="444"/>
        <w:gridCol w:w="640"/>
        <w:gridCol w:w="724"/>
        <w:gridCol w:w="1676"/>
        <w:gridCol w:w="894"/>
        <w:gridCol w:w="913"/>
      </w:tblGrid>
      <w:tr w14:paraId="6B208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noWrap w:val="0"/>
            <w:vAlign w:val="center"/>
          </w:tcPr>
          <w:p w14:paraId="6D72D46F">
            <w:pPr>
              <w:spacing w:line="540" w:lineRule="exact"/>
              <w:jc w:val="center"/>
              <w:rPr>
                <w:rFonts w:ascii="宋体"/>
                <w:color w:val="auto"/>
                <w:spacing w:val="12"/>
                <w:highlight w:val="none"/>
              </w:rPr>
            </w:pPr>
            <w:r>
              <w:rPr>
                <w:rFonts w:hint="eastAsia" w:ascii="宋体" w:hAnsi="宋体"/>
                <w:color w:val="auto"/>
                <w:spacing w:val="12"/>
                <w:highlight w:val="none"/>
              </w:rPr>
              <w:t>单位工程</w:t>
            </w:r>
          </w:p>
          <w:p w14:paraId="53488B85">
            <w:pPr>
              <w:spacing w:line="540" w:lineRule="exact"/>
              <w:jc w:val="center"/>
              <w:rPr>
                <w:rFonts w:ascii="宋体"/>
                <w:color w:val="auto"/>
                <w:spacing w:val="12"/>
                <w:highlight w:val="none"/>
              </w:rPr>
            </w:pPr>
            <w:r>
              <w:rPr>
                <w:rFonts w:hint="eastAsia" w:ascii="宋体" w:hAnsi="宋体"/>
                <w:color w:val="auto"/>
                <w:spacing w:val="12"/>
                <w:highlight w:val="none"/>
              </w:rPr>
              <w:t>名</w:t>
            </w:r>
            <w:r>
              <w:rPr>
                <w:rFonts w:ascii="宋体" w:hAnsi="宋体"/>
                <w:color w:val="auto"/>
                <w:spacing w:val="12"/>
                <w:highlight w:val="none"/>
              </w:rPr>
              <w:t xml:space="preserve">    </w:t>
            </w:r>
            <w:r>
              <w:rPr>
                <w:rFonts w:hint="eastAsia" w:ascii="宋体" w:hAnsi="宋体"/>
                <w:color w:val="auto"/>
                <w:spacing w:val="12"/>
                <w:highlight w:val="none"/>
              </w:rPr>
              <w:t>称</w:t>
            </w:r>
          </w:p>
        </w:tc>
        <w:tc>
          <w:tcPr>
            <w:tcW w:w="400" w:type="dxa"/>
            <w:noWrap w:val="0"/>
            <w:vAlign w:val="center"/>
          </w:tcPr>
          <w:p w14:paraId="3A3192A0">
            <w:pPr>
              <w:spacing w:line="540" w:lineRule="exact"/>
              <w:jc w:val="center"/>
              <w:rPr>
                <w:rFonts w:ascii="宋体"/>
                <w:color w:val="auto"/>
                <w:spacing w:val="12"/>
                <w:highlight w:val="none"/>
              </w:rPr>
            </w:pPr>
            <w:r>
              <w:rPr>
                <w:rFonts w:hint="eastAsia" w:ascii="宋体" w:hAnsi="宋体"/>
                <w:color w:val="auto"/>
                <w:spacing w:val="12"/>
                <w:highlight w:val="none"/>
              </w:rPr>
              <w:t>建设</w:t>
            </w:r>
          </w:p>
          <w:p w14:paraId="28E8E919">
            <w:pPr>
              <w:spacing w:line="540" w:lineRule="exact"/>
              <w:jc w:val="center"/>
              <w:rPr>
                <w:rFonts w:ascii="宋体"/>
                <w:color w:val="auto"/>
                <w:spacing w:val="12"/>
                <w:highlight w:val="none"/>
              </w:rPr>
            </w:pPr>
            <w:r>
              <w:rPr>
                <w:rFonts w:hint="eastAsia" w:ascii="宋体" w:hAnsi="宋体"/>
                <w:color w:val="auto"/>
                <w:spacing w:val="12"/>
                <w:highlight w:val="none"/>
              </w:rPr>
              <w:t>规模</w:t>
            </w:r>
          </w:p>
        </w:tc>
        <w:tc>
          <w:tcPr>
            <w:tcW w:w="850" w:type="dxa"/>
            <w:noWrap w:val="0"/>
            <w:vAlign w:val="center"/>
          </w:tcPr>
          <w:p w14:paraId="3545520B">
            <w:pPr>
              <w:spacing w:line="540" w:lineRule="exact"/>
              <w:jc w:val="center"/>
              <w:rPr>
                <w:rFonts w:ascii="宋体"/>
                <w:color w:val="auto"/>
                <w:spacing w:val="12"/>
                <w:highlight w:val="none"/>
              </w:rPr>
            </w:pPr>
            <w:r>
              <w:rPr>
                <w:rFonts w:hint="eastAsia" w:ascii="宋体" w:hAnsi="宋体"/>
                <w:color w:val="auto"/>
                <w:spacing w:val="12"/>
                <w:highlight w:val="none"/>
              </w:rPr>
              <w:t>建筑面积</w:t>
            </w:r>
          </w:p>
          <w:p w14:paraId="1D07D769">
            <w:pPr>
              <w:spacing w:line="540" w:lineRule="exact"/>
              <w:jc w:val="center"/>
              <w:rPr>
                <w:rFonts w:ascii="宋体"/>
                <w:color w:val="auto"/>
                <w:spacing w:val="12"/>
                <w:highlight w:val="none"/>
              </w:rPr>
            </w:pPr>
            <w:r>
              <w:rPr>
                <w:rFonts w:ascii="宋体" w:hAnsi="宋体"/>
                <w:color w:val="auto"/>
                <w:spacing w:val="12"/>
                <w:highlight w:val="none"/>
              </w:rPr>
              <w:t>(</w:t>
            </w:r>
            <w:r>
              <w:rPr>
                <w:rFonts w:hint="eastAsia" w:ascii="宋体" w:hAnsi="宋体"/>
                <w:color w:val="auto"/>
                <w:spacing w:val="12"/>
                <w:highlight w:val="none"/>
              </w:rPr>
              <w:t>平方米</w:t>
            </w:r>
            <w:r>
              <w:rPr>
                <w:rFonts w:ascii="宋体" w:hAnsi="宋体"/>
                <w:color w:val="auto"/>
                <w:spacing w:val="12"/>
                <w:highlight w:val="none"/>
              </w:rPr>
              <w:t>)</w:t>
            </w:r>
          </w:p>
        </w:tc>
        <w:tc>
          <w:tcPr>
            <w:tcW w:w="649" w:type="dxa"/>
            <w:noWrap w:val="0"/>
            <w:vAlign w:val="center"/>
          </w:tcPr>
          <w:p w14:paraId="23DC8997">
            <w:pPr>
              <w:spacing w:line="540" w:lineRule="exact"/>
              <w:jc w:val="center"/>
              <w:rPr>
                <w:rFonts w:ascii="宋体"/>
                <w:color w:val="auto"/>
                <w:spacing w:val="12"/>
                <w:highlight w:val="none"/>
              </w:rPr>
            </w:pPr>
            <w:r>
              <w:rPr>
                <w:rFonts w:hint="eastAsia" w:ascii="宋体" w:hAnsi="宋体"/>
                <w:color w:val="auto"/>
                <w:spacing w:val="12"/>
                <w:highlight w:val="none"/>
              </w:rPr>
              <w:t>结</w:t>
            </w:r>
          </w:p>
          <w:p w14:paraId="232283BE">
            <w:pPr>
              <w:spacing w:line="540" w:lineRule="exact"/>
              <w:jc w:val="center"/>
              <w:rPr>
                <w:rFonts w:ascii="宋体"/>
                <w:color w:val="auto"/>
                <w:spacing w:val="12"/>
                <w:highlight w:val="none"/>
              </w:rPr>
            </w:pPr>
            <w:r>
              <w:rPr>
                <w:rFonts w:hint="eastAsia" w:ascii="宋体" w:hAnsi="宋体"/>
                <w:color w:val="auto"/>
                <w:spacing w:val="12"/>
                <w:highlight w:val="none"/>
              </w:rPr>
              <w:t>构</w:t>
            </w:r>
          </w:p>
        </w:tc>
        <w:tc>
          <w:tcPr>
            <w:tcW w:w="444" w:type="dxa"/>
            <w:noWrap w:val="0"/>
            <w:vAlign w:val="center"/>
          </w:tcPr>
          <w:p w14:paraId="4F69E121">
            <w:pPr>
              <w:spacing w:line="540" w:lineRule="exact"/>
              <w:jc w:val="center"/>
              <w:rPr>
                <w:rFonts w:ascii="宋体"/>
                <w:color w:val="auto"/>
                <w:spacing w:val="12"/>
                <w:highlight w:val="none"/>
              </w:rPr>
            </w:pPr>
            <w:r>
              <w:rPr>
                <w:rFonts w:hint="eastAsia" w:ascii="宋体" w:hAnsi="宋体"/>
                <w:color w:val="auto"/>
                <w:spacing w:val="12"/>
                <w:highlight w:val="none"/>
              </w:rPr>
              <w:t>层</w:t>
            </w:r>
          </w:p>
          <w:p w14:paraId="3893BE5A">
            <w:pPr>
              <w:spacing w:line="540" w:lineRule="exact"/>
              <w:jc w:val="center"/>
              <w:rPr>
                <w:rFonts w:ascii="宋体"/>
                <w:color w:val="auto"/>
                <w:spacing w:val="12"/>
                <w:highlight w:val="none"/>
              </w:rPr>
            </w:pPr>
            <w:r>
              <w:rPr>
                <w:rFonts w:hint="eastAsia" w:ascii="宋体" w:hAnsi="宋体"/>
                <w:color w:val="auto"/>
                <w:spacing w:val="12"/>
                <w:highlight w:val="none"/>
              </w:rPr>
              <w:t>数</w:t>
            </w:r>
          </w:p>
        </w:tc>
        <w:tc>
          <w:tcPr>
            <w:tcW w:w="640" w:type="dxa"/>
            <w:noWrap w:val="0"/>
            <w:vAlign w:val="center"/>
          </w:tcPr>
          <w:p w14:paraId="74736597">
            <w:pPr>
              <w:spacing w:line="540" w:lineRule="exact"/>
              <w:jc w:val="center"/>
              <w:rPr>
                <w:rFonts w:ascii="宋体"/>
                <w:color w:val="auto"/>
                <w:spacing w:val="12"/>
                <w:highlight w:val="none"/>
              </w:rPr>
            </w:pPr>
            <w:r>
              <w:rPr>
                <w:rFonts w:hint="eastAsia" w:ascii="宋体" w:hAnsi="宋体"/>
                <w:color w:val="auto"/>
                <w:spacing w:val="12"/>
                <w:highlight w:val="none"/>
              </w:rPr>
              <w:t>跨度</w:t>
            </w:r>
            <w:r>
              <w:rPr>
                <w:rFonts w:ascii="宋体" w:hAnsi="宋体"/>
                <w:color w:val="auto"/>
                <w:spacing w:val="12"/>
                <w:highlight w:val="none"/>
              </w:rPr>
              <w:t>(</w:t>
            </w:r>
            <w:r>
              <w:rPr>
                <w:rFonts w:hint="eastAsia" w:ascii="宋体" w:hAnsi="宋体"/>
                <w:color w:val="auto"/>
                <w:spacing w:val="12"/>
                <w:highlight w:val="none"/>
              </w:rPr>
              <w:t>米</w:t>
            </w:r>
            <w:r>
              <w:rPr>
                <w:rFonts w:ascii="宋体" w:hAnsi="宋体"/>
                <w:color w:val="auto"/>
                <w:spacing w:val="12"/>
                <w:highlight w:val="none"/>
              </w:rPr>
              <w:t>)</w:t>
            </w:r>
          </w:p>
        </w:tc>
        <w:tc>
          <w:tcPr>
            <w:tcW w:w="724" w:type="dxa"/>
            <w:noWrap w:val="0"/>
            <w:vAlign w:val="center"/>
          </w:tcPr>
          <w:p w14:paraId="2B2B663B">
            <w:pPr>
              <w:spacing w:line="540" w:lineRule="exact"/>
              <w:jc w:val="center"/>
              <w:rPr>
                <w:rFonts w:hint="eastAsia" w:ascii="宋体" w:hAnsi="宋体"/>
                <w:color w:val="auto"/>
                <w:spacing w:val="12"/>
                <w:highlight w:val="none"/>
              </w:rPr>
            </w:pPr>
            <w:r>
              <w:rPr>
                <w:rFonts w:hint="eastAsia" w:ascii="宋体" w:hAnsi="宋体"/>
                <w:color w:val="auto"/>
                <w:spacing w:val="12"/>
                <w:highlight w:val="none"/>
              </w:rPr>
              <w:t>设备</w:t>
            </w:r>
          </w:p>
          <w:p w14:paraId="74B29524">
            <w:pPr>
              <w:spacing w:line="540" w:lineRule="exact"/>
              <w:jc w:val="center"/>
              <w:rPr>
                <w:rFonts w:ascii="宋体"/>
                <w:color w:val="auto"/>
                <w:spacing w:val="12"/>
                <w:highlight w:val="none"/>
              </w:rPr>
            </w:pPr>
            <w:r>
              <w:rPr>
                <w:rFonts w:hint="eastAsia" w:ascii="宋体" w:hAnsi="宋体"/>
                <w:color w:val="auto"/>
                <w:spacing w:val="12"/>
                <w:highlight w:val="none"/>
              </w:rPr>
              <w:t>安装</w:t>
            </w:r>
          </w:p>
          <w:p w14:paraId="1DD58E75">
            <w:pPr>
              <w:spacing w:line="540" w:lineRule="exact"/>
              <w:jc w:val="center"/>
              <w:rPr>
                <w:rFonts w:ascii="宋体"/>
                <w:color w:val="auto"/>
                <w:spacing w:val="12"/>
                <w:highlight w:val="none"/>
              </w:rPr>
            </w:pPr>
            <w:r>
              <w:rPr>
                <w:rFonts w:hint="eastAsia" w:ascii="宋体" w:hAnsi="宋体"/>
                <w:color w:val="auto"/>
                <w:spacing w:val="12"/>
                <w:highlight w:val="none"/>
              </w:rPr>
              <w:t>内容</w:t>
            </w:r>
          </w:p>
        </w:tc>
        <w:tc>
          <w:tcPr>
            <w:tcW w:w="1676" w:type="dxa"/>
            <w:noWrap w:val="0"/>
            <w:vAlign w:val="center"/>
          </w:tcPr>
          <w:p w14:paraId="55623D32">
            <w:pPr>
              <w:spacing w:line="540" w:lineRule="exact"/>
              <w:jc w:val="center"/>
              <w:rPr>
                <w:rFonts w:hint="eastAsia" w:ascii="宋体" w:hAnsi="宋体"/>
                <w:color w:val="auto"/>
                <w:spacing w:val="12"/>
                <w:highlight w:val="none"/>
              </w:rPr>
            </w:pPr>
            <w:r>
              <w:rPr>
                <w:rFonts w:hint="eastAsia" w:ascii="宋体" w:hAnsi="宋体"/>
                <w:color w:val="auto"/>
                <w:spacing w:val="12"/>
                <w:highlight w:val="none"/>
              </w:rPr>
              <w:t>工程</w:t>
            </w:r>
          </w:p>
          <w:p w14:paraId="43A59817">
            <w:pPr>
              <w:spacing w:line="540" w:lineRule="exact"/>
              <w:jc w:val="center"/>
              <w:rPr>
                <w:rFonts w:ascii="宋体"/>
                <w:color w:val="auto"/>
                <w:spacing w:val="12"/>
                <w:highlight w:val="none"/>
              </w:rPr>
            </w:pPr>
            <w:r>
              <w:rPr>
                <w:rFonts w:hint="eastAsia" w:ascii="宋体" w:hAnsi="宋体"/>
                <w:color w:val="auto"/>
                <w:spacing w:val="12"/>
                <w:highlight w:val="none"/>
              </w:rPr>
              <w:t>造价</w:t>
            </w:r>
          </w:p>
          <w:p w14:paraId="7042040A">
            <w:pPr>
              <w:spacing w:line="540" w:lineRule="exact"/>
              <w:jc w:val="center"/>
              <w:rPr>
                <w:rFonts w:ascii="宋体"/>
                <w:color w:val="auto"/>
                <w:spacing w:val="12"/>
                <w:highlight w:val="none"/>
              </w:rPr>
            </w:pPr>
            <w:r>
              <w:rPr>
                <w:rFonts w:ascii="宋体" w:hAnsi="宋体"/>
                <w:color w:val="auto"/>
                <w:spacing w:val="12"/>
                <w:highlight w:val="none"/>
              </w:rPr>
              <w:t>(</w:t>
            </w:r>
            <w:r>
              <w:rPr>
                <w:rFonts w:hint="eastAsia" w:ascii="宋体" w:hAnsi="宋体"/>
                <w:color w:val="auto"/>
                <w:spacing w:val="12"/>
                <w:highlight w:val="none"/>
              </w:rPr>
              <w:t>元</w:t>
            </w:r>
            <w:r>
              <w:rPr>
                <w:rFonts w:ascii="宋体" w:hAnsi="宋体"/>
                <w:color w:val="auto"/>
                <w:spacing w:val="12"/>
                <w:highlight w:val="none"/>
              </w:rPr>
              <w:t>)</w:t>
            </w:r>
          </w:p>
        </w:tc>
        <w:tc>
          <w:tcPr>
            <w:tcW w:w="894" w:type="dxa"/>
            <w:noWrap w:val="0"/>
            <w:vAlign w:val="center"/>
          </w:tcPr>
          <w:p w14:paraId="2E012AE4">
            <w:pPr>
              <w:spacing w:line="540" w:lineRule="exact"/>
              <w:jc w:val="center"/>
              <w:rPr>
                <w:rFonts w:ascii="宋体"/>
                <w:color w:val="auto"/>
                <w:spacing w:val="12"/>
                <w:highlight w:val="none"/>
              </w:rPr>
            </w:pPr>
            <w:r>
              <w:rPr>
                <w:rFonts w:hint="eastAsia" w:ascii="宋体" w:hAnsi="宋体"/>
                <w:color w:val="auto"/>
                <w:spacing w:val="12"/>
                <w:highlight w:val="none"/>
              </w:rPr>
              <w:t>开工</w:t>
            </w:r>
          </w:p>
          <w:p w14:paraId="2DCFC286">
            <w:pPr>
              <w:spacing w:line="540" w:lineRule="exact"/>
              <w:jc w:val="center"/>
              <w:rPr>
                <w:rFonts w:ascii="宋体"/>
                <w:color w:val="auto"/>
                <w:spacing w:val="12"/>
                <w:highlight w:val="none"/>
              </w:rPr>
            </w:pPr>
            <w:r>
              <w:rPr>
                <w:rFonts w:hint="eastAsia" w:ascii="宋体" w:hAnsi="宋体"/>
                <w:color w:val="auto"/>
                <w:spacing w:val="12"/>
                <w:highlight w:val="none"/>
              </w:rPr>
              <w:t>日期</w:t>
            </w:r>
          </w:p>
        </w:tc>
        <w:tc>
          <w:tcPr>
            <w:tcW w:w="913" w:type="dxa"/>
            <w:noWrap w:val="0"/>
            <w:vAlign w:val="center"/>
          </w:tcPr>
          <w:p w14:paraId="6551CB0A">
            <w:pPr>
              <w:spacing w:line="540" w:lineRule="exact"/>
              <w:jc w:val="center"/>
              <w:rPr>
                <w:rFonts w:ascii="宋体"/>
                <w:color w:val="auto"/>
                <w:spacing w:val="12"/>
                <w:highlight w:val="none"/>
              </w:rPr>
            </w:pPr>
            <w:r>
              <w:rPr>
                <w:rFonts w:hint="eastAsia" w:ascii="宋体" w:hAnsi="宋体"/>
                <w:color w:val="auto"/>
                <w:spacing w:val="12"/>
                <w:highlight w:val="none"/>
              </w:rPr>
              <w:t>竣工</w:t>
            </w:r>
          </w:p>
          <w:p w14:paraId="70BDFC93">
            <w:pPr>
              <w:spacing w:line="540" w:lineRule="exact"/>
              <w:jc w:val="center"/>
              <w:rPr>
                <w:rFonts w:ascii="宋体"/>
                <w:color w:val="auto"/>
                <w:spacing w:val="12"/>
                <w:highlight w:val="none"/>
              </w:rPr>
            </w:pPr>
            <w:r>
              <w:rPr>
                <w:rFonts w:hint="eastAsia" w:ascii="宋体" w:hAnsi="宋体"/>
                <w:color w:val="auto"/>
                <w:spacing w:val="12"/>
                <w:highlight w:val="none"/>
              </w:rPr>
              <w:t>日期</w:t>
            </w:r>
          </w:p>
        </w:tc>
      </w:tr>
      <w:tr w14:paraId="1B6B2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1" w:hRule="exact"/>
        </w:trPr>
        <w:tc>
          <w:tcPr>
            <w:tcW w:w="1576" w:type="dxa"/>
            <w:noWrap w:val="0"/>
            <w:vAlign w:val="top"/>
          </w:tcPr>
          <w:p w14:paraId="4D88C7A9">
            <w:pPr>
              <w:spacing w:line="540" w:lineRule="exact"/>
              <w:rPr>
                <w:rFonts w:hint="default" w:ascii="宋体" w:eastAsia="宋体"/>
                <w:color w:val="auto"/>
                <w:highlight w:val="none"/>
                <w:lang w:val="en-US" w:eastAsia="zh-CN"/>
              </w:rPr>
            </w:pPr>
          </w:p>
        </w:tc>
        <w:tc>
          <w:tcPr>
            <w:tcW w:w="400" w:type="dxa"/>
            <w:noWrap w:val="0"/>
            <w:vAlign w:val="center"/>
          </w:tcPr>
          <w:p w14:paraId="19766EFE">
            <w:pPr>
              <w:spacing w:line="540" w:lineRule="exact"/>
              <w:jc w:val="center"/>
              <w:rPr>
                <w:rFonts w:hint="default" w:ascii="宋体" w:eastAsia="宋体"/>
                <w:color w:val="auto"/>
                <w:spacing w:val="12"/>
                <w:highlight w:val="none"/>
                <w:lang w:val="en-US" w:eastAsia="zh-CN"/>
              </w:rPr>
            </w:pPr>
          </w:p>
        </w:tc>
        <w:tc>
          <w:tcPr>
            <w:tcW w:w="850" w:type="dxa"/>
            <w:noWrap w:val="0"/>
            <w:vAlign w:val="center"/>
          </w:tcPr>
          <w:p w14:paraId="63FA223D">
            <w:pPr>
              <w:spacing w:line="540" w:lineRule="exact"/>
              <w:jc w:val="center"/>
              <w:rPr>
                <w:rFonts w:hint="default" w:ascii="宋体" w:eastAsia="宋体"/>
                <w:color w:val="auto"/>
                <w:spacing w:val="12"/>
                <w:highlight w:val="none"/>
                <w:lang w:val="en-US" w:eastAsia="zh-CN"/>
              </w:rPr>
            </w:pPr>
          </w:p>
        </w:tc>
        <w:tc>
          <w:tcPr>
            <w:tcW w:w="649" w:type="dxa"/>
            <w:noWrap w:val="0"/>
            <w:vAlign w:val="center"/>
          </w:tcPr>
          <w:p w14:paraId="4EEBDA58">
            <w:pPr>
              <w:spacing w:line="540" w:lineRule="exact"/>
              <w:jc w:val="center"/>
              <w:rPr>
                <w:rFonts w:hint="default" w:ascii="宋体" w:eastAsia="宋体"/>
                <w:color w:val="auto"/>
                <w:spacing w:val="12"/>
                <w:highlight w:val="none"/>
                <w:lang w:val="en-US" w:eastAsia="zh-CN"/>
              </w:rPr>
            </w:pPr>
          </w:p>
        </w:tc>
        <w:tc>
          <w:tcPr>
            <w:tcW w:w="444" w:type="dxa"/>
            <w:noWrap w:val="0"/>
            <w:vAlign w:val="center"/>
          </w:tcPr>
          <w:p w14:paraId="6EB73FA3">
            <w:pPr>
              <w:spacing w:line="540" w:lineRule="exact"/>
              <w:jc w:val="center"/>
              <w:rPr>
                <w:rFonts w:hint="default" w:ascii="宋体" w:eastAsia="宋体"/>
                <w:color w:val="auto"/>
                <w:spacing w:val="12"/>
                <w:highlight w:val="none"/>
                <w:lang w:val="en-US" w:eastAsia="zh-CN"/>
              </w:rPr>
            </w:pPr>
          </w:p>
        </w:tc>
        <w:tc>
          <w:tcPr>
            <w:tcW w:w="640" w:type="dxa"/>
            <w:noWrap w:val="0"/>
            <w:vAlign w:val="center"/>
          </w:tcPr>
          <w:p w14:paraId="4C835455">
            <w:pPr>
              <w:spacing w:line="540" w:lineRule="exact"/>
              <w:jc w:val="center"/>
              <w:rPr>
                <w:rFonts w:hint="default" w:ascii="宋体" w:eastAsia="宋体"/>
                <w:color w:val="auto"/>
                <w:spacing w:val="12"/>
                <w:highlight w:val="none"/>
                <w:lang w:val="en-US" w:eastAsia="zh-CN"/>
              </w:rPr>
            </w:pPr>
          </w:p>
        </w:tc>
        <w:tc>
          <w:tcPr>
            <w:tcW w:w="724" w:type="dxa"/>
            <w:noWrap w:val="0"/>
            <w:vAlign w:val="center"/>
          </w:tcPr>
          <w:p w14:paraId="0CD9EF21">
            <w:pPr>
              <w:spacing w:line="540" w:lineRule="exact"/>
              <w:jc w:val="center"/>
              <w:rPr>
                <w:rFonts w:hint="default" w:ascii="宋体" w:eastAsia="宋体"/>
                <w:color w:val="auto"/>
                <w:spacing w:val="12"/>
                <w:highlight w:val="none"/>
                <w:lang w:val="en-US" w:eastAsia="zh-CN"/>
              </w:rPr>
            </w:pPr>
          </w:p>
        </w:tc>
        <w:tc>
          <w:tcPr>
            <w:tcW w:w="1676" w:type="dxa"/>
            <w:noWrap w:val="0"/>
            <w:vAlign w:val="top"/>
          </w:tcPr>
          <w:p w14:paraId="1DCF71BF"/>
          <w:p w14:paraId="58A14CE3"/>
          <w:p w14:paraId="730C193E"/>
          <w:p w14:paraId="32289B48"/>
          <w:p w14:paraId="7AD27D08"/>
          <w:p w14:paraId="76796EB6"/>
          <w:p w14:paraId="39216720">
            <w:pPr>
              <w:spacing w:line="540" w:lineRule="exact"/>
              <w:rPr>
                <w:rFonts w:hint="default" w:ascii="宋体" w:eastAsia="宋体"/>
                <w:color w:val="auto"/>
                <w:spacing w:val="12"/>
                <w:highlight w:val="none"/>
                <w:lang w:val="en-US" w:eastAsia="zh-CN"/>
              </w:rPr>
            </w:pPr>
          </w:p>
        </w:tc>
        <w:tc>
          <w:tcPr>
            <w:tcW w:w="894" w:type="dxa"/>
            <w:vMerge w:val="restart"/>
            <w:noWrap w:val="0"/>
            <w:vAlign w:val="center"/>
          </w:tcPr>
          <w:p w14:paraId="66846898"/>
          <w:p w14:paraId="5B1A18EB"/>
          <w:p w14:paraId="1927E293"/>
          <w:p w14:paraId="38E33A65"/>
          <w:p w14:paraId="2FADB5F1"/>
          <w:p w14:paraId="2CFF676B"/>
          <w:p w14:paraId="11CCDD5D"/>
          <w:p w14:paraId="40D45B75"/>
          <w:p w14:paraId="6270E099"/>
          <w:p w14:paraId="07F9FE91"/>
          <w:p w14:paraId="5F7CB4F4"/>
          <w:p w14:paraId="308B28FE"/>
          <w:p w14:paraId="7749F316"/>
          <w:p w14:paraId="6C4DA5B7">
            <w:pPr>
              <w:spacing w:line="540" w:lineRule="exact"/>
              <w:ind w:firstLine="234" w:firstLineChars="100"/>
              <w:jc w:val="center"/>
              <w:rPr>
                <w:rFonts w:ascii="宋体"/>
                <w:color w:val="auto"/>
                <w:spacing w:val="12"/>
                <w:highlight w:val="none"/>
              </w:rPr>
            </w:pPr>
          </w:p>
        </w:tc>
        <w:tc>
          <w:tcPr>
            <w:tcW w:w="913" w:type="dxa"/>
            <w:vMerge w:val="restart"/>
            <w:noWrap w:val="0"/>
            <w:vAlign w:val="center"/>
          </w:tcPr>
          <w:p w14:paraId="63146A6D"/>
          <w:p w14:paraId="666D42DF"/>
          <w:p w14:paraId="52FBF39F"/>
          <w:p w14:paraId="21510467"/>
          <w:p w14:paraId="09481F1E"/>
          <w:p w14:paraId="6216434D"/>
          <w:p w14:paraId="422EA8CE"/>
          <w:p w14:paraId="2BE3B5FC"/>
          <w:p w14:paraId="5B305AFE"/>
          <w:p w14:paraId="67462982"/>
          <w:p w14:paraId="65887C80"/>
          <w:p w14:paraId="2C7E8254"/>
          <w:p w14:paraId="290DCD8E"/>
          <w:p w14:paraId="0A01A381"/>
          <w:p w14:paraId="1561A468"/>
          <w:p w14:paraId="019F233A">
            <w:pPr>
              <w:spacing w:line="540" w:lineRule="exact"/>
              <w:ind w:firstLine="234" w:firstLineChars="100"/>
              <w:jc w:val="center"/>
              <w:rPr>
                <w:rFonts w:ascii="宋体"/>
                <w:color w:val="auto"/>
                <w:spacing w:val="12"/>
                <w:highlight w:val="none"/>
              </w:rPr>
            </w:pPr>
          </w:p>
        </w:tc>
      </w:tr>
      <w:tr w14:paraId="62C6A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1" w:hRule="exact"/>
        </w:trPr>
        <w:tc>
          <w:tcPr>
            <w:tcW w:w="1576" w:type="dxa"/>
            <w:noWrap w:val="0"/>
            <w:vAlign w:val="top"/>
          </w:tcPr>
          <w:p w14:paraId="303FF1F8">
            <w:pPr>
              <w:spacing w:line="540" w:lineRule="exact"/>
              <w:rPr>
                <w:rFonts w:hint="default" w:ascii="宋体" w:eastAsia="宋体"/>
                <w:color w:val="auto"/>
                <w:highlight w:val="none"/>
                <w:lang w:val="en-US" w:eastAsia="zh-CN"/>
              </w:rPr>
            </w:pPr>
          </w:p>
        </w:tc>
        <w:tc>
          <w:tcPr>
            <w:tcW w:w="400" w:type="dxa"/>
            <w:noWrap w:val="0"/>
            <w:vAlign w:val="center"/>
          </w:tcPr>
          <w:p w14:paraId="28272D3A">
            <w:pPr>
              <w:spacing w:line="540" w:lineRule="exact"/>
              <w:jc w:val="center"/>
              <w:rPr>
                <w:rFonts w:hint="eastAsia" w:ascii="宋体" w:eastAsia="宋体"/>
                <w:color w:val="auto"/>
                <w:spacing w:val="12"/>
                <w:highlight w:val="none"/>
                <w:lang w:val="en-US" w:eastAsia="zh-CN"/>
              </w:rPr>
            </w:pPr>
          </w:p>
        </w:tc>
        <w:tc>
          <w:tcPr>
            <w:tcW w:w="850" w:type="dxa"/>
            <w:noWrap w:val="0"/>
            <w:vAlign w:val="center"/>
          </w:tcPr>
          <w:p w14:paraId="3A718D3E">
            <w:pPr>
              <w:spacing w:line="540" w:lineRule="exact"/>
              <w:jc w:val="center"/>
              <w:rPr>
                <w:rFonts w:hint="eastAsia" w:ascii="宋体" w:eastAsia="宋体"/>
                <w:color w:val="auto"/>
                <w:spacing w:val="12"/>
                <w:highlight w:val="none"/>
                <w:lang w:val="en-US" w:eastAsia="zh-CN"/>
              </w:rPr>
            </w:pPr>
          </w:p>
        </w:tc>
        <w:tc>
          <w:tcPr>
            <w:tcW w:w="649" w:type="dxa"/>
            <w:noWrap w:val="0"/>
            <w:vAlign w:val="center"/>
          </w:tcPr>
          <w:p w14:paraId="1010422E">
            <w:pPr>
              <w:spacing w:line="540" w:lineRule="exact"/>
              <w:jc w:val="center"/>
              <w:rPr>
                <w:rFonts w:hint="eastAsia" w:ascii="宋体" w:eastAsia="宋体"/>
                <w:color w:val="auto"/>
                <w:spacing w:val="12"/>
                <w:highlight w:val="none"/>
                <w:lang w:val="en-US" w:eastAsia="zh-CN"/>
              </w:rPr>
            </w:pPr>
          </w:p>
        </w:tc>
        <w:tc>
          <w:tcPr>
            <w:tcW w:w="444" w:type="dxa"/>
            <w:noWrap w:val="0"/>
            <w:vAlign w:val="center"/>
          </w:tcPr>
          <w:p w14:paraId="6364D89F">
            <w:pPr>
              <w:spacing w:line="540" w:lineRule="exact"/>
              <w:jc w:val="center"/>
              <w:rPr>
                <w:rFonts w:hint="eastAsia" w:ascii="宋体" w:eastAsia="宋体"/>
                <w:color w:val="auto"/>
                <w:spacing w:val="12"/>
                <w:highlight w:val="none"/>
                <w:lang w:val="en-US" w:eastAsia="zh-CN"/>
              </w:rPr>
            </w:pPr>
          </w:p>
        </w:tc>
        <w:tc>
          <w:tcPr>
            <w:tcW w:w="640" w:type="dxa"/>
            <w:noWrap w:val="0"/>
            <w:vAlign w:val="center"/>
          </w:tcPr>
          <w:p w14:paraId="37E25758">
            <w:pPr>
              <w:spacing w:line="540" w:lineRule="exact"/>
              <w:jc w:val="center"/>
              <w:rPr>
                <w:rFonts w:hint="eastAsia" w:ascii="宋体" w:eastAsia="宋体"/>
                <w:color w:val="auto"/>
                <w:spacing w:val="12"/>
                <w:highlight w:val="none"/>
                <w:lang w:val="en-US" w:eastAsia="zh-CN"/>
              </w:rPr>
            </w:pPr>
          </w:p>
        </w:tc>
        <w:tc>
          <w:tcPr>
            <w:tcW w:w="724" w:type="dxa"/>
            <w:noWrap w:val="0"/>
            <w:vAlign w:val="center"/>
          </w:tcPr>
          <w:p w14:paraId="7A5181B5">
            <w:pPr>
              <w:spacing w:line="540" w:lineRule="exact"/>
              <w:jc w:val="center"/>
              <w:rPr>
                <w:rFonts w:hint="eastAsia" w:ascii="宋体" w:eastAsia="宋体"/>
                <w:color w:val="auto"/>
                <w:spacing w:val="12"/>
                <w:highlight w:val="none"/>
                <w:lang w:val="en-US" w:eastAsia="zh-CN"/>
              </w:rPr>
            </w:pPr>
          </w:p>
        </w:tc>
        <w:tc>
          <w:tcPr>
            <w:tcW w:w="1676" w:type="dxa"/>
            <w:noWrap w:val="0"/>
            <w:vAlign w:val="top"/>
          </w:tcPr>
          <w:p w14:paraId="04920E2F"/>
          <w:p w14:paraId="4CA6E93F">
            <w:pPr>
              <w:spacing w:line="540" w:lineRule="exact"/>
              <w:rPr>
                <w:rFonts w:hint="default" w:ascii="宋体"/>
                <w:color w:val="auto"/>
                <w:spacing w:val="12"/>
                <w:highlight w:val="none"/>
                <w:lang w:val="en-US"/>
              </w:rPr>
            </w:pPr>
          </w:p>
        </w:tc>
        <w:tc>
          <w:tcPr>
            <w:tcW w:w="894" w:type="dxa"/>
            <w:vMerge w:val="continue"/>
            <w:noWrap w:val="0"/>
            <w:vAlign w:val="top"/>
          </w:tcPr>
          <w:p w14:paraId="75740836">
            <w:pPr>
              <w:spacing w:line="540" w:lineRule="exact"/>
              <w:ind w:firstLine="234" w:firstLineChars="100"/>
              <w:rPr>
                <w:rFonts w:ascii="宋体"/>
                <w:color w:val="auto"/>
                <w:spacing w:val="12"/>
                <w:highlight w:val="none"/>
              </w:rPr>
            </w:pPr>
          </w:p>
        </w:tc>
        <w:tc>
          <w:tcPr>
            <w:tcW w:w="913" w:type="dxa"/>
            <w:vMerge w:val="continue"/>
            <w:noWrap w:val="0"/>
            <w:vAlign w:val="top"/>
          </w:tcPr>
          <w:p w14:paraId="6A2B8DF0">
            <w:pPr>
              <w:spacing w:line="540" w:lineRule="exact"/>
              <w:ind w:firstLine="234" w:firstLineChars="100"/>
              <w:rPr>
                <w:rFonts w:ascii="宋体"/>
                <w:color w:val="auto"/>
                <w:spacing w:val="12"/>
                <w:highlight w:val="none"/>
              </w:rPr>
            </w:pPr>
          </w:p>
        </w:tc>
      </w:tr>
      <w:tr w14:paraId="14DCC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1" w:hRule="exact"/>
        </w:trPr>
        <w:tc>
          <w:tcPr>
            <w:tcW w:w="1576" w:type="dxa"/>
            <w:noWrap w:val="0"/>
            <w:vAlign w:val="top"/>
          </w:tcPr>
          <w:p w14:paraId="1E0C4F94">
            <w:pPr>
              <w:spacing w:line="540" w:lineRule="exact"/>
              <w:rPr>
                <w:rFonts w:ascii="宋体"/>
                <w:color w:val="auto"/>
                <w:spacing w:val="12"/>
                <w:highlight w:val="none"/>
              </w:rPr>
            </w:pPr>
          </w:p>
        </w:tc>
        <w:tc>
          <w:tcPr>
            <w:tcW w:w="400" w:type="dxa"/>
            <w:noWrap w:val="0"/>
            <w:vAlign w:val="center"/>
          </w:tcPr>
          <w:p w14:paraId="360DF348"/>
          <w:p w14:paraId="7E74AC48">
            <w:pPr>
              <w:spacing w:line="540" w:lineRule="exact"/>
              <w:jc w:val="center"/>
              <w:rPr>
                <w:rFonts w:hint="default" w:ascii="宋体" w:eastAsia="宋体"/>
                <w:color w:val="auto"/>
                <w:spacing w:val="12"/>
                <w:highlight w:val="none"/>
                <w:lang w:val="en-US" w:eastAsia="zh-CN"/>
              </w:rPr>
            </w:pPr>
          </w:p>
        </w:tc>
        <w:tc>
          <w:tcPr>
            <w:tcW w:w="850" w:type="dxa"/>
            <w:noWrap w:val="0"/>
            <w:vAlign w:val="center"/>
          </w:tcPr>
          <w:p w14:paraId="3EE7C531">
            <w:pPr>
              <w:spacing w:line="540" w:lineRule="exact"/>
              <w:jc w:val="center"/>
              <w:rPr>
                <w:rFonts w:hint="eastAsia" w:ascii="宋体" w:eastAsia="宋体"/>
                <w:color w:val="auto"/>
                <w:spacing w:val="12"/>
                <w:highlight w:val="none"/>
                <w:lang w:val="en-US" w:eastAsia="zh-CN"/>
              </w:rPr>
            </w:pPr>
          </w:p>
        </w:tc>
        <w:tc>
          <w:tcPr>
            <w:tcW w:w="649" w:type="dxa"/>
            <w:noWrap w:val="0"/>
            <w:vAlign w:val="center"/>
          </w:tcPr>
          <w:p w14:paraId="5BC292BD">
            <w:pPr>
              <w:spacing w:line="540" w:lineRule="exact"/>
              <w:jc w:val="center"/>
              <w:rPr>
                <w:rFonts w:hint="eastAsia" w:ascii="宋体" w:eastAsia="宋体"/>
                <w:color w:val="auto"/>
                <w:spacing w:val="12"/>
                <w:highlight w:val="none"/>
                <w:lang w:val="en-US" w:eastAsia="zh-CN"/>
              </w:rPr>
            </w:pPr>
          </w:p>
        </w:tc>
        <w:tc>
          <w:tcPr>
            <w:tcW w:w="444" w:type="dxa"/>
            <w:noWrap w:val="0"/>
            <w:vAlign w:val="center"/>
          </w:tcPr>
          <w:p w14:paraId="692FAD7F">
            <w:pPr>
              <w:spacing w:line="540" w:lineRule="exact"/>
              <w:jc w:val="center"/>
              <w:rPr>
                <w:rFonts w:hint="eastAsia" w:ascii="宋体" w:eastAsia="宋体"/>
                <w:color w:val="auto"/>
                <w:spacing w:val="12"/>
                <w:highlight w:val="none"/>
                <w:lang w:val="en-US" w:eastAsia="zh-CN"/>
              </w:rPr>
            </w:pPr>
          </w:p>
        </w:tc>
        <w:tc>
          <w:tcPr>
            <w:tcW w:w="640" w:type="dxa"/>
            <w:noWrap w:val="0"/>
            <w:vAlign w:val="center"/>
          </w:tcPr>
          <w:p w14:paraId="14C5C2AC">
            <w:pPr>
              <w:spacing w:line="540" w:lineRule="exact"/>
              <w:jc w:val="center"/>
              <w:rPr>
                <w:rFonts w:hint="eastAsia" w:ascii="宋体" w:eastAsia="宋体"/>
                <w:color w:val="auto"/>
                <w:spacing w:val="12"/>
                <w:highlight w:val="none"/>
                <w:lang w:val="en-US" w:eastAsia="zh-CN"/>
              </w:rPr>
            </w:pPr>
          </w:p>
        </w:tc>
        <w:tc>
          <w:tcPr>
            <w:tcW w:w="724" w:type="dxa"/>
            <w:noWrap w:val="0"/>
            <w:vAlign w:val="center"/>
          </w:tcPr>
          <w:p w14:paraId="1072030F">
            <w:pPr>
              <w:spacing w:line="540" w:lineRule="exact"/>
              <w:jc w:val="center"/>
              <w:rPr>
                <w:rFonts w:hint="eastAsia" w:ascii="宋体" w:eastAsia="宋体"/>
                <w:color w:val="auto"/>
                <w:spacing w:val="12"/>
                <w:highlight w:val="none"/>
                <w:lang w:val="en-US" w:eastAsia="zh-CN"/>
              </w:rPr>
            </w:pPr>
          </w:p>
        </w:tc>
        <w:tc>
          <w:tcPr>
            <w:tcW w:w="1676" w:type="dxa"/>
            <w:noWrap w:val="0"/>
            <w:vAlign w:val="top"/>
          </w:tcPr>
          <w:p w14:paraId="1F678233">
            <w:pPr>
              <w:spacing w:line="540" w:lineRule="exact"/>
              <w:rPr>
                <w:rFonts w:hint="eastAsia" w:ascii="宋体" w:eastAsia="宋体"/>
                <w:color w:val="auto"/>
                <w:spacing w:val="12"/>
                <w:highlight w:val="none"/>
                <w:lang w:val="en-US" w:eastAsia="zh-CN"/>
              </w:rPr>
            </w:pPr>
          </w:p>
        </w:tc>
        <w:tc>
          <w:tcPr>
            <w:tcW w:w="894" w:type="dxa"/>
            <w:vMerge w:val="continue"/>
            <w:noWrap w:val="0"/>
            <w:vAlign w:val="top"/>
          </w:tcPr>
          <w:p w14:paraId="2621820C">
            <w:pPr>
              <w:spacing w:line="540" w:lineRule="exact"/>
              <w:rPr>
                <w:rFonts w:ascii="宋体"/>
                <w:color w:val="auto"/>
                <w:spacing w:val="12"/>
                <w:highlight w:val="none"/>
              </w:rPr>
            </w:pPr>
          </w:p>
        </w:tc>
        <w:tc>
          <w:tcPr>
            <w:tcW w:w="913" w:type="dxa"/>
            <w:vMerge w:val="continue"/>
            <w:noWrap w:val="0"/>
            <w:vAlign w:val="top"/>
          </w:tcPr>
          <w:p w14:paraId="000A9FA9">
            <w:pPr>
              <w:spacing w:line="540" w:lineRule="exact"/>
              <w:rPr>
                <w:rFonts w:ascii="宋体"/>
                <w:color w:val="auto"/>
                <w:spacing w:val="12"/>
                <w:highlight w:val="none"/>
              </w:rPr>
            </w:pPr>
          </w:p>
        </w:tc>
      </w:tr>
      <w:tr w14:paraId="3644E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1" w:hRule="exact"/>
        </w:trPr>
        <w:tc>
          <w:tcPr>
            <w:tcW w:w="1576" w:type="dxa"/>
            <w:noWrap w:val="0"/>
            <w:vAlign w:val="top"/>
          </w:tcPr>
          <w:p w14:paraId="5536FAAA">
            <w:pPr>
              <w:spacing w:line="540" w:lineRule="exact"/>
              <w:rPr>
                <w:rFonts w:ascii="宋体"/>
                <w:color w:val="auto"/>
                <w:spacing w:val="12"/>
                <w:highlight w:val="none"/>
              </w:rPr>
            </w:pPr>
          </w:p>
        </w:tc>
        <w:tc>
          <w:tcPr>
            <w:tcW w:w="400" w:type="dxa"/>
            <w:noWrap w:val="0"/>
            <w:vAlign w:val="center"/>
          </w:tcPr>
          <w:p w14:paraId="4A64BE7F">
            <w:pPr>
              <w:spacing w:line="540" w:lineRule="exact"/>
              <w:jc w:val="center"/>
              <w:rPr>
                <w:rFonts w:hint="eastAsia" w:ascii="宋体" w:eastAsia="宋体"/>
                <w:color w:val="auto"/>
                <w:spacing w:val="12"/>
                <w:highlight w:val="none"/>
                <w:lang w:val="en-US" w:eastAsia="zh-CN"/>
              </w:rPr>
            </w:pPr>
          </w:p>
        </w:tc>
        <w:tc>
          <w:tcPr>
            <w:tcW w:w="850" w:type="dxa"/>
            <w:noWrap w:val="0"/>
            <w:vAlign w:val="center"/>
          </w:tcPr>
          <w:p w14:paraId="374F49C3">
            <w:pPr>
              <w:spacing w:line="540" w:lineRule="exact"/>
              <w:jc w:val="center"/>
              <w:rPr>
                <w:rFonts w:hint="eastAsia" w:ascii="宋体" w:eastAsia="宋体"/>
                <w:color w:val="auto"/>
                <w:spacing w:val="12"/>
                <w:highlight w:val="none"/>
                <w:lang w:val="en-US" w:eastAsia="zh-CN"/>
              </w:rPr>
            </w:pPr>
          </w:p>
        </w:tc>
        <w:tc>
          <w:tcPr>
            <w:tcW w:w="649" w:type="dxa"/>
            <w:noWrap w:val="0"/>
            <w:vAlign w:val="center"/>
          </w:tcPr>
          <w:p w14:paraId="2767B59D">
            <w:pPr>
              <w:spacing w:line="540" w:lineRule="exact"/>
              <w:jc w:val="center"/>
              <w:rPr>
                <w:rFonts w:hint="eastAsia" w:ascii="宋体" w:eastAsia="宋体"/>
                <w:color w:val="auto"/>
                <w:spacing w:val="12"/>
                <w:highlight w:val="none"/>
                <w:lang w:val="en-US" w:eastAsia="zh-CN"/>
              </w:rPr>
            </w:pPr>
          </w:p>
        </w:tc>
        <w:tc>
          <w:tcPr>
            <w:tcW w:w="444" w:type="dxa"/>
            <w:noWrap w:val="0"/>
            <w:vAlign w:val="center"/>
          </w:tcPr>
          <w:p w14:paraId="1B278581">
            <w:pPr>
              <w:spacing w:line="540" w:lineRule="exact"/>
              <w:jc w:val="center"/>
              <w:rPr>
                <w:rFonts w:hint="eastAsia" w:ascii="宋体" w:eastAsia="宋体"/>
                <w:color w:val="auto"/>
                <w:spacing w:val="12"/>
                <w:highlight w:val="none"/>
                <w:lang w:val="en-US" w:eastAsia="zh-CN"/>
              </w:rPr>
            </w:pPr>
          </w:p>
        </w:tc>
        <w:tc>
          <w:tcPr>
            <w:tcW w:w="640" w:type="dxa"/>
            <w:noWrap w:val="0"/>
            <w:vAlign w:val="center"/>
          </w:tcPr>
          <w:p w14:paraId="0DB3626D">
            <w:pPr>
              <w:spacing w:line="540" w:lineRule="exact"/>
              <w:jc w:val="center"/>
              <w:rPr>
                <w:rFonts w:hint="eastAsia" w:ascii="宋体" w:eastAsia="宋体"/>
                <w:color w:val="auto"/>
                <w:spacing w:val="12"/>
                <w:highlight w:val="none"/>
                <w:lang w:val="en-US" w:eastAsia="zh-CN"/>
              </w:rPr>
            </w:pPr>
          </w:p>
        </w:tc>
        <w:tc>
          <w:tcPr>
            <w:tcW w:w="724" w:type="dxa"/>
            <w:noWrap w:val="0"/>
            <w:vAlign w:val="center"/>
          </w:tcPr>
          <w:p w14:paraId="238EF288">
            <w:pPr>
              <w:spacing w:line="540" w:lineRule="exact"/>
              <w:jc w:val="center"/>
              <w:rPr>
                <w:rFonts w:hint="eastAsia" w:ascii="宋体" w:eastAsia="宋体"/>
                <w:color w:val="auto"/>
                <w:spacing w:val="12"/>
                <w:highlight w:val="none"/>
                <w:lang w:val="en-US" w:eastAsia="zh-CN"/>
              </w:rPr>
            </w:pPr>
          </w:p>
        </w:tc>
        <w:tc>
          <w:tcPr>
            <w:tcW w:w="1676" w:type="dxa"/>
            <w:noWrap w:val="0"/>
            <w:vAlign w:val="top"/>
          </w:tcPr>
          <w:p w14:paraId="415D36A6">
            <w:pPr>
              <w:spacing w:line="540" w:lineRule="exact"/>
              <w:rPr>
                <w:rFonts w:hint="eastAsia" w:ascii="宋体" w:eastAsia="宋体"/>
                <w:color w:val="auto"/>
                <w:spacing w:val="12"/>
                <w:highlight w:val="none"/>
                <w:lang w:val="en-US" w:eastAsia="zh-CN"/>
              </w:rPr>
            </w:pPr>
          </w:p>
        </w:tc>
        <w:tc>
          <w:tcPr>
            <w:tcW w:w="894" w:type="dxa"/>
            <w:vMerge w:val="continue"/>
            <w:noWrap w:val="0"/>
            <w:vAlign w:val="top"/>
          </w:tcPr>
          <w:p w14:paraId="55F61B91">
            <w:pPr>
              <w:spacing w:line="540" w:lineRule="exact"/>
              <w:rPr>
                <w:rFonts w:ascii="宋体"/>
                <w:color w:val="auto"/>
                <w:spacing w:val="12"/>
                <w:highlight w:val="none"/>
              </w:rPr>
            </w:pPr>
          </w:p>
        </w:tc>
        <w:tc>
          <w:tcPr>
            <w:tcW w:w="913" w:type="dxa"/>
            <w:vMerge w:val="continue"/>
            <w:noWrap w:val="0"/>
            <w:vAlign w:val="top"/>
          </w:tcPr>
          <w:p w14:paraId="2F9912DD">
            <w:pPr>
              <w:spacing w:line="540" w:lineRule="exact"/>
              <w:rPr>
                <w:rFonts w:ascii="宋体"/>
                <w:color w:val="auto"/>
                <w:spacing w:val="12"/>
                <w:highlight w:val="none"/>
              </w:rPr>
            </w:pPr>
          </w:p>
        </w:tc>
      </w:tr>
      <w:tr w14:paraId="79A9E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1" w:hRule="exact"/>
        </w:trPr>
        <w:tc>
          <w:tcPr>
            <w:tcW w:w="1576" w:type="dxa"/>
            <w:noWrap w:val="0"/>
            <w:vAlign w:val="top"/>
          </w:tcPr>
          <w:p w14:paraId="0DE29784">
            <w:pPr>
              <w:spacing w:line="540" w:lineRule="exact"/>
              <w:rPr>
                <w:rFonts w:ascii="宋体"/>
                <w:color w:val="auto"/>
                <w:spacing w:val="12"/>
                <w:highlight w:val="none"/>
              </w:rPr>
            </w:pPr>
          </w:p>
        </w:tc>
        <w:tc>
          <w:tcPr>
            <w:tcW w:w="400" w:type="dxa"/>
            <w:noWrap w:val="0"/>
            <w:vAlign w:val="center"/>
          </w:tcPr>
          <w:p w14:paraId="579D3341">
            <w:pPr>
              <w:spacing w:line="540" w:lineRule="exact"/>
              <w:jc w:val="center"/>
              <w:rPr>
                <w:rFonts w:hint="eastAsia" w:ascii="宋体" w:eastAsia="宋体"/>
                <w:color w:val="auto"/>
                <w:spacing w:val="12"/>
                <w:highlight w:val="none"/>
                <w:lang w:val="en-US" w:eastAsia="zh-CN"/>
              </w:rPr>
            </w:pPr>
          </w:p>
        </w:tc>
        <w:tc>
          <w:tcPr>
            <w:tcW w:w="850" w:type="dxa"/>
            <w:noWrap w:val="0"/>
            <w:vAlign w:val="center"/>
          </w:tcPr>
          <w:p w14:paraId="34278FB9">
            <w:pPr>
              <w:spacing w:line="540" w:lineRule="exact"/>
              <w:jc w:val="center"/>
              <w:rPr>
                <w:rFonts w:hint="eastAsia" w:ascii="宋体" w:eastAsia="宋体"/>
                <w:color w:val="auto"/>
                <w:spacing w:val="12"/>
                <w:highlight w:val="none"/>
                <w:lang w:val="en-US" w:eastAsia="zh-CN"/>
              </w:rPr>
            </w:pPr>
          </w:p>
        </w:tc>
        <w:tc>
          <w:tcPr>
            <w:tcW w:w="649" w:type="dxa"/>
            <w:noWrap w:val="0"/>
            <w:vAlign w:val="center"/>
          </w:tcPr>
          <w:p w14:paraId="114ACBF0">
            <w:pPr>
              <w:spacing w:line="540" w:lineRule="exact"/>
              <w:jc w:val="center"/>
              <w:rPr>
                <w:rFonts w:hint="eastAsia" w:ascii="宋体" w:eastAsia="宋体"/>
                <w:color w:val="auto"/>
                <w:spacing w:val="12"/>
                <w:highlight w:val="none"/>
                <w:lang w:val="en-US" w:eastAsia="zh-CN"/>
              </w:rPr>
            </w:pPr>
          </w:p>
        </w:tc>
        <w:tc>
          <w:tcPr>
            <w:tcW w:w="444" w:type="dxa"/>
            <w:noWrap w:val="0"/>
            <w:vAlign w:val="center"/>
          </w:tcPr>
          <w:p w14:paraId="0B676E5C">
            <w:pPr>
              <w:spacing w:line="540" w:lineRule="exact"/>
              <w:jc w:val="center"/>
              <w:rPr>
                <w:rFonts w:hint="eastAsia" w:ascii="宋体" w:eastAsia="宋体"/>
                <w:color w:val="auto"/>
                <w:spacing w:val="12"/>
                <w:highlight w:val="none"/>
                <w:lang w:val="en-US" w:eastAsia="zh-CN"/>
              </w:rPr>
            </w:pPr>
          </w:p>
        </w:tc>
        <w:tc>
          <w:tcPr>
            <w:tcW w:w="640" w:type="dxa"/>
            <w:noWrap w:val="0"/>
            <w:vAlign w:val="center"/>
          </w:tcPr>
          <w:p w14:paraId="6EBD7AB6">
            <w:pPr>
              <w:spacing w:line="540" w:lineRule="exact"/>
              <w:jc w:val="center"/>
              <w:rPr>
                <w:rFonts w:hint="eastAsia" w:ascii="宋体" w:eastAsia="宋体"/>
                <w:color w:val="auto"/>
                <w:spacing w:val="12"/>
                <w:highlight w:val="none"/>
                <w:lang w:val="en-US" w:eastAsia="zh-CN"/>
              </w:rPr>
            </w:pPr>
          </w:p>
        </w:tc>
        <w:tc>
          <w:tcPr>
            <w:tcW w:w="724" w:type="dxa"/>
            <w:noWrap w:val="0"/>
            <w:vAlign w:val="center"/>
          </w:tcPr>
          <w:p w14:paraId="588F3C72">
            <w:pPr>
              <w:spacing w:line="540" w:lineRule="exact"/>
              <w:jc w:val="center"/>
              <w:rPr>
                <w:rFonts w:hint="eastAsia" w:ascii="宋体" w:eastAsia="宋体"/>
                <w:color w:val="auto"/>
                <w:spacing w:val="12"/>
                <w:highlight w:val="none"/>
                <w:lang w:val="en-US" w:eastAsia="zh-CN"/>
              </w:rPr>
            </w:pPr>
          </w:p>
        </w:tc>
        <w:tc>
          <w:tcPr>
            <w:tcW w:w="1676" w:type="dxa"/>
            <w:noWrap w:val="0"/>
            <w:vAlign w:val="top"/>
          </w:tcPr>
          <w:p w14:paraId="478F430C">
            <w:pPr>
              <w:spacing w:line="540" w:lineRule="exact"/>
              <w:rPr>
                <w:rFonts w:hint="eastAsia" w:ascii="宋体" w:eastAsia="宋体"/>
                <w:color w:val="auto"/>
                <w:spacing w:val="12"/>
                <w:highlight w:val="none"/>
                <w:lang w:val="en-US" w:eastAsia="zh-CN"/>
              </w:rPr>
            </w:pPr>
          </w:p>
        </w:tc>
        <w:tc>
          <w:tcPr>
            <w:tcW w:w="894" w:type="dxa"/>
            <w:vMerge w:val="continue"/>
            <w:noWrap w:val="0"/>
            <w:vAlign w:val="top"/>
          </w:tcPr>
          <w:p w14:paraId="1EA7BCF8">
            <w:pPr>
              <w:spacing w:line="540" w:lineRule="exact"/>
              <w:rPr>
                <w:rFonts w:ascii="宋体"/>
                <w:color w:val="auto"/>
                <w:spacing w:val="12"/>
                <w:highlight w:val="none"/>
              </w:rPr>
            </w:pPr>
          </w:p>
        </w:tc>
        <w:tc>
          <w:tcPr>
            <w:tcW w:w="913" w:type="dxa"/>
            <w:vMerge w:val="continue"/>
            <w:noWrap w:val="0"/>
            <w:vAlign w:val="top"/>
          </w:tcPr>
          <w:p w14:paraId="12EDA562">
            <w:pPr>
              <w:spacing w:line="540" w:lineRule="exact"/>
              <w:rPr>
                <w:rFonts w:ascii="宋体"/>
                <w:color w:val="auto"/>
                <w:spacing w:val="12"/>
                <w:highlight w:val="none"/>
              </w:rPr>
            </w:pPr>
          </w:p>
        </w:tc>
      </w:tr>
      <w:tr w14:paraId="01362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1" w:hRule="exact"/>
        </w:trPr>
        <w:tc>
          <w:tcPr>
            <w:tcW w:w="1576" w:type="dxa"/>
            <w:noWrap w:val="0"/>
            <w:vAlign w:val="top"/>
          </w:tcPr>
          <w:p w14:paraId="5B9A2392">
            <w:pPr>
              <w:spacing w:line="540" w:lineRule="exact"/>
              <w:rPr>
                <w:rFonts w:ascii="宋体"/>
                <w:color w:val="auto"/>
                <w:spacing w:val="12"/>
                <w:highlight w:val="none"/>
              </w:rPr>
            </w:pPr>
          </w:p>
        </w:tc>
        <w:tc>
          <w:tcPr>
            <w:tcW w:w="400" w:type="dxa"/>
            <w:noWrap w:val="0"/>
            <w:vAlign w:val="center"/>
          </w:tcPr>
          <w:p w14:paraId="255D9FB3">
            <w:pPr>
              <w:spacing w:line="540" w:lineRule="exact"/>
              <w:jc w:val="center"/>
              <w:rPr>
                <w:rFonts w:hint="eastAsia" w:ascii="宋体" w:eastAsia="宋体"/>
                <w:color w:val="auto"/>
                <w:spacing w:val="12"/>
                <w:highlight w:val="none"/>
                <w:lang w:val="en-US" w:eastAsia="zh-CN"/>
              </w:rPr>
            </w:pPr>
          </w:p>
        </w:tc>
        <w:tc>
          <w:tcPr>
            <w:tcW w:w="850" w:type="dxa"/>
            <w:noWrap w:val="0"/>
            <w:vAlign w:val="center"/>
          </w:tcPr>
          <w:p w14:paraId="1698EBF7">
            <w:pPr>
              <w:spacing w:line="540" w:lineRule="exact"/>
              <w:jc w:val="center"/>
              <w:rPr>
                <w:rFonts w:hint="eastAsia" w:ascii="宋体" w:eastAsia="宋体"/>
                <w:color w:val="auto"/>
                <w:spacing w:val="12"/>
                <w:highlight w:val="none"/>
                <w:lang w:val="en-US" w:eastAsia="zh-CN"/>
              </w:rPr>
            </w:pPr>
          </w:p>
        </w:tc>
        <w:tc>
          <w:tcPr>
            <w:tcW w:w="649" w:type="dxa"/>
            <w:noWrap w:val="0"/>
            <w:vAlign w:val="center"/>
          </w:tcPr>
          <w:p w14:paraId="3A0CC48B">
            <w:pPr>
              <w:spacing w:line="540" w:lineRule="exact"/>
              <w:jc w:val="center"/>
              <w:rPr>
                <w:rFonts w:hint="eastAsia" w:ascii="宋体" w:eastAsia="宋体"/>
                <w:color w:val="auto"/>
                <w:spacing w:val="12"/>
                <w:highlight w:val="none"/>
                <w:lang w:val="en-US" w:eastAsia="zh-CN"/>
              </w:rPr>
            </w:pPr>
          </w:p>
        </w:tc>
        <w:tc>
          <w:tcPr>
            <w:tcW w:w="444" w:type="dxa"/>
            <w:noWrap w:val="0"/>
            <w:vAlign w:val="center"/>
          </w:tcPr>
          <w:p w14:paraId="0D33D865">
            <w:pPr>
              <w:spacing w:line="540" w:lineRule="exact"/>
              <w:jc w:val="center"/>
              <w:rPr>
                <w:rFonts w:hint="eastAsia" w:ascii="宋体" w:eastAsia="宋体"/>
                <w:color w:val="auto"/>
                <w:spacing w:val="12"/>
                <w:highlight w:val="none"/>
                <w:lang w:val="en-US" w:eastAsia="zh-CN"/>
              </w:rPr>
            </w:pPr>
          </w:p>
        </w:tc>
        <w:tc>
          <w:tcPr>
            <w:tcW w:w="640" w:type="dxa"/>
            <w:noWrap w:val="0"/>
            <w:vAlign w:val="center"/>
          </w:tcPr>
          <w:p w14:paraId="42EEB69D">
            <w:pPr>
              <w:spacing w:line="540" w:lineRule="exact"/>
              <w:jc w:val="center"/>
              <w:rPr>
                <w:rFonts w:hint="eastAsia" w:ascii="宋体" w:eastAsia="宋体"/>
                <w:color w:val="auto"/>
                <w:spacing w:val="12"/>
                <w:highlight w:val="none"/>
                <w:lang w:val="en-US" w:eastAsia="zh-CN"/>
              </w:rPr>
            </w:pPr>
          </w:p>
        </w:tc>
        <w:tc>
          <w:tcPr>
            <w:tcW w:w="724" w:type="dxa"/>
            <w:noWrap w:val="0"/>
            <w:vAlign w:val="center"/>
          </w:tcPr>
          <w:p w14:paraId="683A7313">
            <w:pPr>
              <w:spacing w:line="540" w:lineRule="exact"/>
              <w:jc w:val="center"/>
              <w:rPr>
                <w:rFonts w:hint="eastAsia" w:ascii="宋体" w:eastAsia="宋体"/>
                <w:color w:val="auto"/>
                <w:spacing w:val="12"/>
                <w:highlight w:val="none"/>
                <w:lang w:val="en-US" w:eastAsia="zh-CN"/>
              </w:rPr>
            </w:pPr>
          </w:p>
        </w:tc>
        <w:tc>
          <w:tcPr>
            <w:tcW w:w="1676" w:type="dxa"/>
            <w:noWrap w:val="0"/>
            <w:vAlign w:val="top"/>
          </w:tcPr>
          <w:p w14:paraId="36702E46">
            <w:pPr>
              <w:spacing w:line="540" w:lineRule="exact"/>
              <w:rPr>
                <w:rFonts w:hint="eastAsia" w:ascii="宋体" w:eastAsia="宋体"/>
                <w:color w:val="auto"/>
                <w:spacing w:val="12"/>
                <w:highlight w:val="none"/>
                <w:lang w:val="en-US" w:eastAsia="zh-CN"/>
              </w:rPr>
            </w:pPr>
          </w:p>
        </w:tc>
        <w:tc>
          <w:tcPr>
            <w:tcW w:w="894" w:type="dxa"/>
            <w:vMerge w:val="continue"/>
            <w:noWrap w:val="0"/>
            <w:vAlign w:val="top"/>
          </w:tcPr>
          <w:p w14:paraId="4A6555C5">
            <w:pPr>
              <w:spacing w:line="540" w:lineRule="exact"/>
              <w:rPr>
                <w:rFonts w:ascii="宋体"/>
                <w:color w:val="auto"/>
                <w:spacing w:val="12"/>
                <w:highlight w:val="none"/>
              </w:rPr>
            </w:pPr>
          </w:p>
        </w:tc>
        <w:tc>
          <w:tcPr>
            <w:tcW w:w="913" w:type="dxa"/>
            <w:vMerge w:val="continue"/>
            <w:noWrap w:val="0"/>
            <w:vAlign w:val="top"/>
          </w:tcPr>
          <w:p w14:paraId="5F831688">
            <w:pPr>
              <w:spacing w:line="540" w:lineRule="exact"/>
              <w:rPr>
                <w:rFonts w:ascii="宋体"/>
                <w:color w:val="auto"/>
                <w:spacing w:val="12"/>
                <w:highlight w:val="none"/>
              </w:rPr>
            </w:pPr>
          </w:p>
        </w:tc>
      </w:tr>
      <w:tr w14:paraId="4E73D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1" w:hRule="exact"/>
        </w:trPr>
        <w:tc>
          <w:tcPr>
            <w:tcW w:w="1576" w:type="dxa"/>
            <w:noWrap w:val="0"/>
            <w:vAlign w:val="top"/>
          </w:tcPr>
          <w:p w14:paraId="3817AEDA">
            <w:pPr>
              <w:spacing w:line="540" w:lineRule="exact"/>
              <w:rPr>
                <w:rFonts w:ascii="宋体"/>
                <w:color w:val="auto"/>
                <w:spacing w:val="12"/>
                <w:highlight w:val="none"/>
              </w:rPr>
            </w:pPr>
          </w:p>
        </w:tc>
        <w:tc>
          <w:tcPr>
            <w:tcW w:w="400" w:type="dxa"/>
            <w:noWrap w:val="0"/>
            <w:vAlign w:val="center"/>
          </w:tcPr>
          <w:p w14:paraId="58F41717">
            <w:pPr>
              <w:spacing w:line="540" w:lineRule="exact"/>
              <w:jc w:val="center"/>
              <w:rPr>
                <w:rFonts w:hint="eastAsia" w:ascii="宋体" w:eastAsia="宋体"/>
                <w:color w:val="auto"/>
                <w:spacing w:val="12"/>
                <w:highlight w:val="none"/>
                <w:lang w:val="en-US" w:eastAsia="zh-CN"/>
              </w:rPr>
            </w:pPr>
          </w:p>
        </w:tc>
        <w:tc>
          <w:tcPr>
            <w:tcW w:w="850" w:type="dxa"/>
            <w:noWrap w:val="0"/>
            <w:vAlign w:val="center"/>
          </w:tcPr>
          <w:p w14:paraId="54252A19">
            <w:pPr>
              <w:spacing w:line="540" w:lineRule="exact"/>
              <w:jc w:val="center"/>
              <w:rPr>
                <w:rFonts w:hint="eastAsia" w:ascii="宋体" w:eastAsia="宋体"/>
                <w:color w:val="auto"/>
                <w:spacing w:val="12"/>
                <w:highlight w:val="none"/>
                <w:lang w:val="en-US" w:eastAsia="zh-CN"/>
              </w:rPr>
            </w:pPr>
          </w:p>
        </w:tc>
        <w:tc>
          <w:tcPr>
            <w:tcW w:w="649" w:type="dxa"/>
            <w:noWrap w:val="0"/>
            <w:vAlign w:val="center"/>
          </w:tcPr>
          <w:p w14:paraId="36A1C1A8">
            <w:pPr>
              <w:spacing w:line="540" w:lineRule="exact"/>
              <w:jc w:val="center"/>
              <w:rPr>
                <w:rFonts w:hint="eastAsia" w:ascii="宋体" w:eastAsia="宋体"/>
                <w:color w:val="auto"/>
                <w:spacing w:val="12"/>
                <w:highlight w:val="none"/>
                <w:lang w:val="en-US" w:eastAsia="zh-CN"/>
              </w:rPr>
            </w:pPr>
          </w:p>
        </w:tc>
        <w:tc>
          <w:tcPr>
            <w:tcW w:w="444" w:type="dxa"/>
            <w:noWrap w:val="0"/>
            <w:vAlign w:val="center"/>
          </w:tcPr>
          <w:p w14:paraId="1C4537DF">
            <w:pPr>
              <w:spacing w:line="540" w:lineRule="exact"/>
              <w:jc w:val="center"/>
              <w:rPr>
                <w:rFonts w:hint="eastAsia" w:ascii="宋体" w:eastAsia="宋体"/>
                <w:color w:val="auto"/>
                <w:spacing w:val="12"/>
                <w:highlight w:val="none"/>
                <w:lang w:val="en-US" w:eastAsia="zh-CN"/>
              </w:rPr>
            </w:pPr>
          </w:p>
        </w:tc>
        <w:tc>
          <w:tcPr>
            <w:tcW w:w="640" w:type="dxa"/>
            <w:noWrap w:val="0"/>
            <w:vAlign w:val="center"/>
          </w:tcPr>
          <w:p w14:paraId="37AF0569">
            <w:pPr>
              <w:spacing w:line="540" w:lineRule="exact"/>
              <w:jc w:val="center"/>
              <w:rPr>
                <w:rFonts w:hint="eastAsia" w:ascii="宋体" w:eastAsia="宋体"/>
                <w:color w:val="auto"/>
                <w:spacing w:val="12"/>
                <w:highlight w:val="none"/>
                <w:lang w:val="en-US" w:eastAsia="zh-CN"/>
              </w:rPr>
            </w:pPr>
          </w:p>
        </w:tc>
        <w:tc>
          <w:tcPr>
            <w:tcW w:w="724" w:type="dxa"/>
            <w:noWrap w:val="0"/>
            <w:vAlign w:val="center"/>
          </w:tcPr>
          <w:p w14:paraId="20EDEFB6">
            <w:pPr>
              <w:spacing w:line="540" w:lineRule="exact"/>
              <w:jc w:val="center"/>
              <w:rPr>
                <w:rFonts w:hint="eastAsia" w:ascii="宋体" w:eastAsia="宋体"/>
                <w:color w:val="auto"/>
                <w:spacing w:val="12"/>
                <w:highlight w:val="none"/>
                <w:lang w:val="en-US" w:eastAsia="zh-CN"/>
              </w:rPr>
            </w:pPr>
          </w:p>
        </w:tc>
        <w:tc>
          <w:tcPr>
            <w:tcW w:w="1676" w:type="dxa"/>
            <w:noWrap w:val="0"/>
            <w:vAlign w:val="top"/>
          </w:tcPr>
          <w:p w14:paraId="03FECF77">
            <w:pPr>
              <w:spacing w:line="540" w:lineRule="exact"/>
              <w:rPr>
                <w:rFonts w:hint="eastAsia" w:ascii="宋体" w:eastAsia="宋体"/>
                <w:color w:val="auto"/>
                <w:spacing w:val="12"/>
                <w:highlight w:val="none"/>
                <w:lang w:val="en-US" w:eastAsia="zh-CN"/>
              </w:rPr>
            </w:pPr>
          </w:p>
        </w:tc>
        <w:tc>
          <w:tcPr>
            <w:tcW w:w="894" w:type="dxa"/>
            <w:vMerge w:val="continue"/>
            <w:noWrap w:val="0"/>
            <w:vAlign w:val="top"/>
          </w:tcPr>
          <w:p w14:paraId="538D9734">
            <w:pPr>
              <w:spacing w:line="540" w:lineRule="exact"/>
              <w:rPr>
                <w:rFonts w:ascii="宋体"/>
                <w:color w:val="auto"/>
                <w:spacing w:val="12"/>
                <w:highlight w:val="none"/>
              </w:rPr>
            </w:pPr>
          </w:p>
        </w:tc>
        <w:tc>
          <w:tcPr>
            <w:tcW w:w="913" w:type="dxa"/>
            <w:vMerge w:val="continue"/>
            <w:noWrap w:val="0"/>
            <w:vAlign w:val="top"/>
          </w:tcPr>
          <w:p w14:paraId="34F3D85A">
            <w:pPr>
              <w:spacing w:line="540" w:lineRule="exact"/>
              <w:rPr>
                <w:rFonts w:ascii="宋体"/>
                <w:color w:val="auto"/>
                <w:spacing w:val="12"/>
                <w:highlight w:val="none"/>
              </w:rPr>
            </w:pPr>
          </w:p>
        </w:tc>
      </w:tr>
      <w:tr w14:paraId="7BE5F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1" w:hRule="exact"/>
        </w:trPr>
        <w:tc>
          <w:tcPr>
            <w:tcW w:w="1576" w:type="dxa"/>
            <w:noWrap w:val="0"/>
            <w:vAlign w:val="top"/>
          </w:tcPr>
          <w:p w14:paraId="6CFF21B3">
            <w:pPr>
              <w:spacing w:line="540" w:lineRule="exact"/>
              <w:rPr>
                <w:rFonts w:hint="eastAsia" w:ascii="宋体"/>
                <w:color w:val="auto"/>
                <w:spacing w:val="12"/>
                <w:highlight w:val="none"/>
              </w:rPr>
            </w:pPr>
          </w:p>
        </w:tc>
        <w:tc>
          <w:tcPr>
            <w:tcW w:w="400" w:type="dxa"/>
            <w:noWrap w:val="0"/>
            <w:vAlign w:val="center"/>
          </w:tcPr>
          <w:p w14:paraId="55B63D41">
            <w:pPr>
              <w:spacing w:line="540" w:lineRule="exact"/>
              <w:jc w:val="center"/>
              <w:rPr>
                <w:rFonts w:hint="eastAsia" w:ascii="宋体" w:eastAsia="宋体"/>
                <w:color w:val="auto"/>
                <w:spacing w:val="12"/>
                <w:highlight w:val="none"/>
                <w:lang w:val="en-US" w:eastAsia="zh-CN"/>
              </w:rPr>
            </w:pPr>
          </w:p>
        </w:tc>
        <w:tc>
          <w:tcPr>
            <w:tcW w:w="850" w:type="dxa"/>
            <w:noWrap w:val="0"/>
            <w:vAlign w:val="center"/>
          </w:tcPr>
          <w:p w14:paraId="0ED83D1E">
            <w:pPr>
              <w:spacing w:line="540" w:lineRule="exact"/>
              <w:jc w:val="center"/>
              <w:rPr>
                <w:rFonts w:hint="eastAsia" w:ascii="宋体" w:eastAsia="宋体"/>
                <w:color w:val="auto"/>
                <w:spacing w:val="12"/>
                <w:highlight w:val="none"/>
                <w:lang w:val="en-US" w:eastAsia="zh-CN"/>
              </w:rPr>
            </w:pPr>
          </w:p>
        </w:tc>
        <w:tc>
          <w:tcPr>
            <w:tcW w:w="649" w:type="dxa"/>
            <w:noWrap w:val="0"/>
            <w:vAlign w:val="center"/>
          </w:tcPr>
          <w:p w14:paraId="3B7F15C5">
            <w:pPr>
              <w:spacing w:line="540" w:lineRule="exact"/>
              <w:jc w:val="center"/>
              <w:rPr>
                <w:rFonts w:hint="eastAsia" w:ascii="宋体" w:eastAsia="宋体"/>
                <w:color w:val="auto"/>
                <w:spacing w:val="12"/>
                <w:highlight w:val="none"/>
                <w:lang w:val="en-US" w:eastAsia="zh-CN"/>
              </w:rPr>
            </w:pPr>
          </w:p>
        </w:tc>
        <w:tc>
          <w:tcPr>
            <w:tcW w:w="444" w:type="dxa"/>
            <w:noWrap w:val="0"/>
            <w:vAlign w:val="center"/>
          </w:tcPr>
          <w:p w14:paraId="70C86AA3">
            <w:pPr>
              <w:spacing w:line="540" w:lineRule="exact"/>
              <w:jc w:val="center"/>
              <w:rPr>
                <w:rFonts w:hint="eastAsia" w:ascii="宋体" w:eastAsia="宋体"/>
                <w:color w:val="auto"/>
                <w:spacing w:val="12"/>
                <w:highlight w:val="none"/>
                <w:lang w:val="en-US" w:eastAsia="zh-CN"/>
              </w:rPr>
            </w:pPr>
          </w:p>
        </w:tc>
        <w:tc>
          <w:tcPr>
            <w:tcW w:w="640" w:type="dxa"/>
            <w:noWrap w:val="0"/>
            <w:vAlign w:val="center"/>
          </w:tcPr>
          <w:p w14:paraId="26836146">
            <w:pPr>
              <w:spacing w:line="540" w:lineRule="exact"/>
              <w:jc w:val="center"/>
              <w:rPr>
                <w:rFonts w:hint="eastAsia" w:ascii="宋体" w:eastAsia="宋体"/>
                <w:color w:val="auto"/>
                <w:spacing w:val="12"/>
                <w:highlight w:val="none"/>
                <w:lang w:val="en-US" w:eastAsia="zh-CN"/>
              </w:rPr>
            </w:pPr>
          </w:p>
        </w:tc>
        <w:tc>
          <w:tcPr>
            <w:tcW w:w="724" w:type="dxa"/>
            <w:noWrap w:val="0"/>
            <w:vAlign w:val="center"/>
          </w:tcPr>
          <w:p w14:paraId="2A269EAB">
            <w:pPr>
              <w:spacing w:line="540" w:lineRule="exact"/>
              <w:jc w:val="center"/>
              <w:rPr>
                <w:rFonts w:hint="eastAsia" w:ascii="宋体" w:eastAsia="宋体"/>
                <w:color w:val="auto"/>
                <w:spacing w:val="12"/>
                <w:highlight w:val="none"/>
                <w:lang w:val="en-US" w:eastAsia="zh-CN"/>
              </w:rPr>
            </w:pPr>
          </w:p>
        </w:tc>
        <w:tc>
          <w:tcPr>
            <w:tcW w:w="1676" w:type="dxa"/>
            <w:noWrap w:val="0"/>
            <w:vAlign w:val="top"/>
          </w:tcPr>
          <w:p w14:paraId="32C6DCF9">
            <w:pPr>
              <w:spacing w:line="540" w:lineRule="exact"/>
              <w:rPr>
                <w:rFonts w:hint="eastAsia" w:ascii="宋体" w:eastAsia="宋体"/>
                <w:color w:val="auto"/>
                <w:spacing w:val="12"/>
                <w:highlight w:val="none"/>
                <w:lang w:val="en-US" w:eastAsia="zh-CN"/>
              </w:rPr>
            </w:pPr>
          </w:p>
        </w:tc>
        <w:tc>
          <w:tcPr>
            <w:tcW w:w="894" w:type="dxa"/>
            <w:vMerge w:val="continue"/>
            <w:noWrap w:val="0"/>
            <w:vAlign w:val="top"/>
          </w:tcPr>
          <w:p w14:paraId="1B386D4D">
            <w:pPr>
              <w:spacing w:line="540" w:lineRule="exact"/>
              <w:rPr>
                <w:rFonts w:ascii="宋体"/>
                <w:color w:val="auto"/>
                <w:spacing w:val="12"/>
                <w:highlight w:val="none"/>
              </w:rPr>
            </w:pPr>
          </w:p>
        </w:tc>
        <w:tc>
          <w:tcPr>
            <w:tcW w:w="913" w:type="dxa"/>
            <w:vMerge w:val="continue"/>
            <w:noWrap w:val="0"/>
            <w:vAlign w:val="top"/>
          </w:tcPr>
          <w:p w14:paraId="3107DC62">
            <w:pPr>
              <w:spacing w:line="540" w:lineRule="exact"/>
              <w:rPr>
                <w:rFonts w:ascii="宋体"/>
                <w:color w:val="auto"/>
                <w:spacing w:val="12"/>
                <w:highlight w:val="none"/>
              </w:rPr>
            </w:pPr>
          </w:p>
        </w:tc>
      </w:tr>
    </w:tbl>
    <w:p w14:paraId="50C168B1">
      <w:pPr>
        <w:pStyle w:val="36"/>
        <w:spacing w:before="120" w:after="120"/>
        <w:outlineLvl w:val="1"/>
        <w:rPr>
          <w:color w:val="auto"/>
          <w:highlight w:val="none"/>
        </w:rPr>
      </w:pPr>
      <w:r>
        <w:rPr>
          <w:rFonts w:hint="eastAsia"/>
          <w:color w:val="auto"/>
          <w:highlight w:val="none"/>
        </w:rPr>
        <w:t>附件三：承包人提供的材料和工程设备一览表</w:t>
      </w:r>
    </w:p>
    <w:p w14:paraId="59BD9DB3">
      <w:pPr>
        <w:spacing w:line="360" w:lineRule="auto"/>
        <w:jc w:val="center"/>
        <w:rPr>
          <w:rFonts w:ascii="宋体"/>
          <w:b/>
          <w:color w:val="auto"/>
          <w:sz w:val="28"/>
          <w:highlight w:val="none"/>
        </w:rPr>
      </w:pPr>
      <w:r>
        <w:rPr>
          <w:rFonts w:hint="eastAsia" w:ascii="宋体" w:hAnsi="宋体"/>
          <w:b/>
          <w:color w:val="auto"/>
          <w:sz w:val="28"/>
          <w:highlight w:val="none"/>
        </w:rPr>
        <w:t>承包人提供的材料和工程设备一览表</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0"/>
        <w:gridCol w:w="1155"/>
        <w:gridCol w:w="1050"/>
        <w:gridCol w:w="630"/>
        <w:gridCol w:w="525"/>
        <w:gridCol w:w="735"/>
        <w:gridCol w:w="840"/>
        <w:gridCol w:w="840"/>
        <w:gridCol w:w="735"/>
        <w:gridCol w:w="945"/>
      </w:tblGrid>
      <w:tr w14:paraId="2E516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5" w:hRule="atLeast"/>
          <w:jc w:val="center"/>
        </w:trPr>
        <w:tc>
          <w:tcPr>
            <w:tcW w:w="480" w:type="dxa"/>
            <w:noWrap w:val="0"/>
            <w:vAlign w:val="center"/>
          </w:tcPr>
          <w:p w14:paraId="2C88E1F6">
            <w:pPr>
              <w:spacing w:line="360" w:lineRule="auto"/>
              <w:jc w:val="center"/>
              <w:rPr>
                <w:rFonts w:ascii="宋体"/>
                <w:color w:val="auto"/>
                <w:highlight w:val="none"/>
              </w:rPr>
            </w:pPr>
            <w:r>
              <w:rPr>
                <w:rFonts w:hint="eastAsia" w:ascii="宋体" w:hAnsi="宋体"/>
                <w:color w:val="auto"/>
                <w:highlight w:val="none"/>
              </w:rPr>
              <w:t>序</w:t>
            </w:r>
          </w:p>
          <w:p w14:paraId="209D80D2">
            <w:pPr>
              <w:spacing w:line="360" w:lineRule="auto"/>
              <w:jc w:val="center"/>
              <w:rPr>
                <w:rFonts w:ascii="宋体"/>
                <w:color w:val="auto"/>
                <w:highlight w:val="none"/>
              </w:rPr>
            </w:pPr>
            <w:r>
              <w:rPr>
                <w:rFonts w:hint="eastAsia" w:ascii="宋体" w:hAnsi="宋体"/>
                <w:color w:val="auto"/>
                <w:highlight w:val="none"/>
              </w:rPr>
              <w:t>号</w:t>
            </w:r>
          </w:p>
        </w:tc>
        <w:tc>
          <w:tcPr>
            <w:tcW w:w="1155" w:type="dxa"/>
            <w:noWrap w:val="0"/>
            <w:vAlign w:val="center"/>
          </w:tcPr>
          <w:p w14:paraId="377692BE">
            <w:pPr>
              <w:spacing w:line="360" w:lineRule="auto"/>
              <w:jc w:val="center"/>
              <w:rPr>
                <w:rFonts w:ascii="宋体"/>
                <w:color w:val="auto"/>
                <w:highlight w:val="none"/>
              </w:rPr>
            </w:pPr>
            <w:r>
              <w:rPr>
                <w:rFonts w:hint="eastAsia" w:ascii="宋体" w:hAnsi="宋体"/>
                <w:color w:val="auto"/>
                <w:highlight w:val="none"/>
              </w:rPr>
              <w:t>材料设备</w:t>
            </w:r>
          </w:p>
          <w:p w14:paraId="070EA0F4">
            <w:pPr>
              <w:spacing w:line="360" w:lineRule="auto"/>
              <w:jc w:val="center"/>
              <w:rPr>
                <w:rFonts w:ascii="宋体"/>
                <w:color w:val="auto"/>
                <w:highlight w:val="none"/>
              </w:rPr>
            </w:pPr>
            <w:r>
              <w:rPr>
                <w:rFonts w:hint="eastAsia" w:ascii="宋体" w:hAnsi="宋体"/>
                <w:color w:val="auto"/>
                <w:highlight w:val="none"/>
              </w:rPr>
              <w:t>名</w:t>
            </w:r>
            <w:r>
              <w:rPr>
                <w:rFonts w:ascii="宋体" w:hAnsi="宋体"/>
                <w:color w:val="auto"/>
                <w:highlight w:val="none"/>
              </w:rPr>
              <w:t xml:space="preserve">    </w:t>
            </w:r>
            <w:r>
              <w:rPr>
                <w:rFonts w:hint="eastAsia" w:ascii="宋体" w:hAnsi="宋体"/>
                <w:color w:val="auto"/>
                <w:highlight w:val="none"/>
              </w:rPr>
              <w:t>称</w:t>
            </w:r>
          </w:p>
        </w:tc>
        <w:tc>
          <w:tcPr>
            <w:tcW w:w="1050" w:type="dxa"/>
            <w:noWrap w:val="0"/>
            <w:vAlign w:val="center"/>
          </w:tcPr>
          <w:p w14:paraId="688BD225">
            <w:pPr>
              <w:spacing w:line="360" w:lineRule="auto"/>
              <w:jc w:val="center"/>
              <w:rPr>
                <w:rFonts w:ascii="宋体"/>
                <w:color w:val="auto"/>
                <w:highlight w:val="none"/>
              </w:rPr>
            </w:pPr>
            <w:r>
              <w:rPr>
                <w:rFonts w:hint="eastAsia" w:ascii="宋体" w:hAnsi="宋体"/>
                <w:color w:val="auto"/>
                <w:highlight w:val="none"/>
              </w:rPr>
              <w:t>规格</w:t>
            </w:r>
          </w:p>
          <w:p w14:paraId="67BD1908">
            <w:pPr>
              <w:spacing w:line="360" w:lineRule="auto"/>
              <w:jc w:val="center"/>
              <w:rPr>
                <w:rFonts w:ascii="宋体"/>
                <w:color w:val="auto"/>
                <w:highlight w:val="none"/>
              </w:rPr>
            </w:pPr>
            <w:r>
              <w:rPr>
                <w:rFonts w:hint="eastAsia" w:ascii="宋体" w:hAnsi="宋体"/>
                <w:color w:val="auto"/>
                <w:highlight w:val="none"/>
              </w:rPr>
              <w:t>型号</w:t>
            </w:r>
          </w:p>
        </w:tc>
        <w:tc>
          <w:tcPr>
            <w:tcW w:w="630" w:type="dxa"/>
            <w:noWrap w:val="0"/>
            <w:vAlign w:val="center"/>
          </w:tcPr>
          <w:p w14:paraId="5F336E81">
            <w:pPr>
              <w:spacing w:line="360" w:lineRule="auto"/>
              <w:jc w:val="center"/>
              <w:rPr>
                <w:rFonts w:ascii="宋体"/>
                <w:color w:val="auto"/>
                <w:highlight w:val="none"/>
              </w:rPr>
            </w:pPr>
            <w:r>
              <w:rPr>
                <w:rFonts w:hint="eastAsia" w:ascii="宋体" w:hAnsi="宋体"/>
                <w:color w:val="auto"/>
                <w:highlight w:val="none"/>
              </w:rPr>
              <w:t>单</w:t>
            </w:r>
          </w:p>
          <w:p w14:paraId="35C1BDD3">
            <w:pPr>
              <w:spacing w:line="360" w:lineRule="auto"/>
              <w:jc w:val="center"/>
              <w:rPr>
                <w:rFonts w:ascii="宋体"/>
                <w:color w:val="auto"/>
                <w:highlight w:val="none"/>
              </w:rPr>
            </w:pPr>
            <w:r>
              <w:rPr>
                <w:rFonts w:hint="eastAsia" w:ascii="宋体" w:hAnsi="宋体"/>
                <w:color w:val="auto"/>
                <w:highlight w:val="none"/>
              </w:rPr>
              <w:t>位</w:t>
            </w:r>
          </w:p>
        </w:tc>
        <w:tc>
          <w:tcPr>
            <w:tcW w:w="525" w:type="dxa"/>
            <w:noWrap w:val="0"/>
            <w:vAlign w:val="center"/>
          </w:tcPr>
          <w:p w14:paraId="7B1F905F">
            <w:pPr>
              <w:spacing w:line="360" w:lineRule="auto"/>
              <w:jc w:val="center"/>
              <w:rPr>
                <w:rFonts w:ascii="宋体"/>
                <w:color w:val="auto"/>
                <w:highlight w:val="none"/>
              </w:rPr>
            </w:pPr>
            <w:r>
              <w:rPr>
                <w:rFonts w:hint="eastAsia" w:ascii="宋体" w:hAnsi="宋体"/>
                <w:color w:val="auto"/>
                <w:highlight w:val="none"/>
              </w:rPr>
              <w:t>数</w:t>
            </w:r>
          </w:p>
          <w:p w14:paraId="344955DF">
            <w:pPr>
              <w:spacing w:line="360" w:lineRule="auto"/>
              <w:jc w:val="center"/>
              <w:rPr>
                <w:rFonts w:ascii="宋体"/>
                <w:color w:val="auto"/>
                <w:highlight w:val="none"/>
              </w:rPr>
            </w:pPr>
            <w:r>
              <w:rPr>
                <w:rFonts w:hint="eastAsia" w:ascii="宋体" w:hAnsi="宋体"/>
                <w:color w:val="auto"/>
                <w:highlight w:val="none"/>
              </w:rPr>
              <w:t>量</w:t>
            </w:r>
          </w:p>
        </w:tc>
        <w:tc>
          <w:tcPr>
            <w:tcW w:w="735" w:type="dxa"/>
            <w:noWrap w:val="0"/>
            <w:vAlign w:val="center"/>
          </w:tcPr>
          <w:p w14:paraId="0258AF80">
            <w:pPr>
              <w:spacing w:line="360" w:lineRule="auto"/>
              <w:jc w:val="center"/>
              <w:rPr>
                <w:rFonts w:ascii="宋体"/>
                <w:color w:val="auto"/>
                <w:highlight w:val="none"/>
              </w:rPr>
            </w:pPr>
            <w:r>
              <w:rPr>
                <w:rFonts w:hint="eastAsia" w:ascii="宋体" w:hAnsi="宋体"/>
                <w:color w:val="auto"/>
                <w:highlight w:val="none"/>
              </w:rPr>
              <w:t>单</w:t>
            </w:r>
          </w:p>
          <w:p w14:paraId="1F2C5B4E">
            <w:pPr>
              <w:spacing w:line="360" w:lineRule="auto"/>
              <w:jc w:val="center"/>
              <w:rPr>
                <w:rFonts w:ascii="宋体"/>
                <w:color w:val="auto"/>
                <w:highlight w:val="none"/>
              </w:rPr>
            </w:pPr>
            <w:r>
              <w:rPr>
                <w:rFonts w:hint="eastAsia" w:ascii="宋体" w:hAnsi="宋体"/>
                <w:color w:val="auto"/>
                <w:highlight w:val="none"/>
              </w:rPr>
              <w:t>价</w:t>
            </w:r>
          </w:p>
        </w:tc>
        <w:tc>
          <w:tcPr>
            <w:tcW w:w="840" w:type="dxa"/>
            <w:noWrap w:val="0"/>
            <w:vAlign w:val="center"/>
          </w:tcPr>
          <w:p w14:paraId="3C4E522A">
            <w:pPr>
              <w:spacing w:line="360" w:lineRule="auto"/>
              <w:jc w:val="center"/>
              <w:rPr>
                <w:rFonts w:ascii="宋体"/>
                <w:color w:val="auto"/>
                <w:highlight w:val="none"/>
              </w:rPr>
            </w:pPr>
            <w:r>
              <w:rPr>
                <w:rFonts w:hint="eastAsia" w:ascii="宋体" w:hAnsi="宋体"/>
                <w:color w:val="auto"/>
                <w:highlight w:val="none"/>
              </w:rPr>
              <w:t>交货</w:t>
            </w:r>
          </w:p>
          <w:p w14:paraId="0D45A5E7">
            <w:pPr>
              <w:spacing w:line="360" w:lineRule="auto"/>
              <w:jc w:val="center"/>
              <w:rPr>
                <w:rFonts w:ascii="宋体"/>
                <w:color w:val="auto"/>
                <w:highlight w:val="none"/>
              </w:rPr>
            </w:pPr>
            <w:r>
              <w:rPr>
                <w:rFonts w:hint="eastAsia" w:ascii="宋体" w:hAnsi="宋体"/>
                <w:color w:val="auto"/>
                <w:highlight w:val="none"/>
              </w:rPr>
              <w:t>方式</w:t>
            </w:r>
          </w:p>
        </w:tc>
        <w:tc>
          <w:tcPr>
            <w:tcW w:w="840" w:type="dxa"/>
            <w:noWrap w:val="0"/>
            <w:vAlign w:val="center"/>
          </w:tcPr>
          <w:p w14:paraId="002E5559">
            <w:pPr>
              <w:spacing w:line="360" w:lineRule="auto"/>
              <w:jc w:val="center"/>
              <w:rPr>
                <w:rFonts w:ascii="宋体"/>
                <w:color w:val="auto"/>
                <w:highlight w:val="none"/>
              </w:rPr>
            </w:pPr>
            <w:r>
              <w:rPr>
                <w:rFonts w:hint="eastAsia" w:ascii="宋体" w:hAnsi="宋体"/>
                <w:color w:val="auto"/>
                <w:highlight w:val="none"/>
              </w:rPr>
              <w:t>交货</w:t>
            </w:r>
          </w:p>
          <w:p w14:paraId="4CEA252C">
            <w:pPr>
              <w:spacing w:line="360" w:lineRule="auto"/>
              <w:jc w:val="center"/>
              <w:rPr>
                <w:rFonts w:ascii="宋体"/>
                <w:color w:val="auto"/>
                <w:highlight w:val="none"/>
              </w:rPr>
            </w:pPr>
            <w:r>
              <w:rPr>
                <w:rFonts w:hint="eastAsia" w:ascii="宋体" w:hAnsi="宋体"/>
                <w:color w:val="auto"/>
                <w:highlight w:val="none"/>
              </w:rPr>
              <w:t>地点</w:t>
            </w:r>
          </w:p>
        </w:tc>
        <w:tc>
          <w:tcPr>
            <w:tcW w:w="735" w:type="dxa"/>
            <w:noWrap w:val="0"/>
            <w:vAlign w:val="center"/>
          </w:tcPr>
          <w:p w14:paraId="600B9653">
            <w:pPr>
              <w:spacing w:line="360" w:lineRule="auto"/>
              <w:jc w:val="center"/>
              <w:rPr>
                <w:rFonts w:ascii="宋体"/>
                <w:color w:val="auto"/>
                <w:highlight w:val="none"/>
              </w:rPr>
            </w:pPr>
            <w:r>
              <w:rPr>
                <w:rFonts w:hint="eastAsia" w:ascii="宋体" w:hAnsi="宋体"/>
                <w:color w:val="auto"/>
                <w:highlight w:val="none"/>
              </w:rPr>
              <w:t>计划交货</w:t>
            </w:r>
          </w:p>
          <w:p w14:paraId="1D034350">
            <w:pPr>
              <w:spacing w:line="360" w:lineRule="auto"/>
              <w:jc w:val="center"/>
              <w:rPr>
                <w:rFonts w:ascii="宋体"/>
                <w:color w:val="auto"/>
                <w:highlight w:val="none"/>
              </w:rPr>
            </w:pPr>
            <w:r>
              <w:rPr>
                <w:rFonts w:hint="eastAsia" w:ascii="宋体" w:hAnsi="宋体"/>
                <w:color w:val="auto"/>
                <w:highlight w:val="none"/>
              </w:rPr>
              <w:t>时间</w:t>
            </w:r>
          </w:p>
        </w:tc>
        <w:tc>
          <w:tcPr>
            <w:tcW w:w="945" w:type="dxa"/>
            <w:noWrap w:val="0"/>
            <w:vAlign w:val="center"/>
          </w:tcPr>
          <w:p w14:paraId="5DE26425">
            <w:pPr>
              <w:spacing w:line="360" w:lineRule="auto"/>
              <w:jc w:val="center"/>
              <w:rPr>
                <w:rFonts w:ascii="宋体"/>
                <w:color w:val="auto"/>
                <w:highlight w:val="none"/>
              </w:rPr>
            </w:pPr>
            <w:r>
              <w:rPr>
                <w:rFonts w:hint="eastAsia" w:ascii="宋体" w:hAnsi="宋体"/>
                <w:color w:val="auto"/>
                <w:highlight w:val="none"/>
              </w:rPr>
              <w:t>备注</w:t>
            </w:r>
          </w:p>
        </w:tc>
      </w:tr>
      <w:tr w14:paraId="0887B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noWrap w:val="0"/>
            <w:vAlign w:val="top"/>
          </w:tcPr>
          <w:p w14:paraId="6549248A">
            <w:pPr>
              <w:spacing w:line="360" w:lineRule="auto"/>
              <w:jc w:val="center"/>
              <w:rPr>
                <w:rFonts w:ascii="宋体"/>
                <w:color w:val="auto"/>
                <w:sz w:val="28"/>
                <w:szCs w:val="28"/>
                <w:highlight w:val="none"/>
              </w:rPr>
            </w:pPr>
          </w:p>
        </w:tc>
        <w:tc>
          <w:tcPr>
            <w:tcW w:w="1155" w:type="dxa"/>
            <w:noWrap w:val="0"/>
            <w:vAlign w:val="top"/>
          </w:tcPr>
          <w:p w14:paraId="7E9CE56A">
            <w:pPr>
              <w:spacing w:line="360" w:lineRule="auto"/>
              <w:jc w:val="center"/>
              <w:rPr>
                <w:rFonts w:ascii="宋体"/>
                <w:color w:val="auto"/>
                <w:sz w:val="28"/>
                <w:szCs w:val="28"/>
                <w:highlight w:val="none"/>
              </w:rPr>
            </w:pPr>
          </w:p>
        </w:tc>
        <w:tc>
          <w:tcPr>
            <w:tcW w:w="1050" w:type="dxa"/>
            <w:noWrap w:val="0"/>
            <w:vAlign w:val="top"/>
          </w:tcPr>
          <w:p w14:paraId="3CF5FF76">
            <w:pPr>
              <w:spacing w:line="360" w:lineRule="auto"/>
              <w:jc w:val="center"/>
              <w:rPr>
                <w:rFonts w:ascii="宋体"/>
                <w:color w:val="auto"/>
                <w:sz w:val="28"/>
                <w:szCs w:val="28"/>
                <w:highlight w:val="none"/>
              </w:rPr>
            </w:pPr>
          </w:p>
        </w:tc>
        <w:tc>
          <w:tcPr>
            <w:tcW w:w="630" w:type="dxa"/>
            <w:noWrap w:val="0"/>
            <w:vAlign w:val="top"/>
          </w:tcPr>
          <w:p w14:paraId="683C6E54">
            <w:pPr>
              <w:spacing w:line="360" w:lineRule="auto"/>
              <w:jc w:val="center"/>
              <w:rPr>
                <w:rFonts w:ascii="宋体"/>
                <w:color w:val="auto"/>
                <w:sz w:val="28"/>
                <w:szCs w:val="28"/>
                <w:highlight w:val="none"/>
              </w:rPr>
            </w:pPr>
          </w:p>
        </w:tc>
        <w:tc>
          <w:tcPr>
            <w:tcW w:w="525" w:type="dxa"/>
            <w:noWrap w:val="0"/>
            <w:vAlign w:val="top"/>
          </w:tcPr>
          <w:p w14:paraId="105E4C68">
            <w:pPr>
              <w:spacing w:line="360" w:lineRule="auto"/>
              <w:jc w:val="center"/>
              <w:rPr>
                <w:rFonts w:ascii="宋体"/>
                <w:color w:val="auto"/>
                <w:sz w:val="28"/>
                <w:szCs w:val="28"/>
                <w:highlight w:val="none"/>
              </w:rPr>
            </w:pPr>
          </w:p>
        </w:tc>
        <w:tc>
          <w:tcPr>
            <w:tcW w:w="735" w:type="dxa"/>
            <w:noWrap w:val="0"/>
            <w:vAlign w:val="top"/>
          </w:tcPr>
          <w:p w14:paraId="69E3E5EF">
            <w:pPr>
              <w:spacing w:line="360" w:lineRule="auto"/>
              <w:jc w:val="center"/>
              <w:rPr>
                <w:rFonts w:ascii="宋体"/>
                <w:color w:val="auto"/>
                <w:sz w:val="28"/>
                <w:szCs w:val="28"/>
                <w:highlight w:val="none"/>
              </w:rPr>
            </w:pPr>
          </w:p>
        </w:tc>
        <w:tc>
          <w:tcPr>
            <w:tcW w:w="840" w:type="dxa"/>
            <w:noWrap w:val="0"/>
            <w:vAlign w:val="top"/>
          </w:tcPr>
          <w:p w14:paraId="4B3B9FC6">
            <w:pPr>
              <w:spacing w:line="360" w:lineRule="auto"/>
              <w:jc w:val="center"/>
              <w:rPr>
                <w:rFonts w:ascii="宋体"/>
                <w:color w:val="auto"/>
                <w:sz w:val="28"/>
                <w:szCs w:val="28"/>
                <w:highlight w:val="none"/>
              </w:rPr>
            </w:pPr>
          </w:p>
        </w:tc>
        <w:tc>
          <w:tcPr>
            <w:tcW w:w="840" w:type="dxa"/>
            <w:noWrap w:val="0"/>
            <w:vAlign w:val="top"/>
          </w:tcPr>
          <w:p w14:paraId="36B84A22">
            <w:pPr>
              <w:spacing w:line="360" w:lineRule="auto"/>
              <w:jc w:val="center"/>
              <w:rPr>
                <w:rFonts w:ascii="宋体"/>
                <w:color w:val="auto"/>
                <w:sz w:val="28"/>
                <w:szCs w:val="28"/>
                <w:highlight w:val="none"/>
              </w:rPr>
            </w:pPr>
          </w:p>
        </w:tc>
        <w:tc>
          <w:tcPr>
            <w:tcW w:w="735" w:type="dxa"/>
            <w:noWrap w:val="0"/>
            <w:vAlign w:val="top"/>
          </w:tcPr>
          <w:p w14:paraId="34E4FF56">
            <w:pPr>
              <w:spacing w:line="360" w:lineRule="auto"/>
              <w:jc w:val="center"/>
              <w:rPr>
                <w:rFonts w:ascii="宋体"/>
                <w:color w:val="auto"/>
                <w:sz w:val="28"/>
                <w:szCs w:val="28"/>
                <w:highlight w:val="none"/>
              </w:rPr>
            </w:pPr>
          </w:p>
        </w:tc>
        <w:tc>
          <w:tcPr>
            <w:tcW w:w="945" w:type="dxa"/>
            <w:noWrap w:val="0"/>
            <w:vAlign w:val="top"/>
          </w:tcPr>
          <w:p w14:paraId="1010C5E4">
            <w:pPr>
              <w:spacing w:line="360" w:lineRule="auto"/>
              <w:jc w:val="center"/>
              <w:rPr>
                <w:rFonts w:ascii="宋体"/>
                <w:color w:val="auto"/>
                <w:sz w:val="28"/>
                <w:szCs w:val="28"/>
                <w:highlight w:val="none"/>
              </w:rPr>
            </w:pPr>
          </w:p>
        </w:tc>
      </w:tr>
      <w:tr w14:paraId="393D3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noWrap w:val="0"/>
            <w:vAlign w:val="top"/>
          </w:tcPr>
          <w:p w14:paraId="51963EE4">
            <w:pPr>
              <w:spacing w:line="360" w:lineRule="auto"/>
              <w:jc w:val="center"/>
              <w:rPr>
                <w:rFonts w:ascii="宋体"/>
                <w:color w:val="auto"/>
                <w:sz w:val="28"/>
                <w:szCs w:val="28"/>
                <w:highlight w:val="none"/>
              </w:rPr>
            </w:pPr>
          </w:p>
        </w:tc>
        <w:tc>
          <w:tcPr>
            <w:tcW w:w="1155" w:type="dxa"/>
            <w:noWrap w:val="0"/>
            <w:vAlign w:val="top"/>
          </w:tcPr>
          <w:p w14:paraId="018684D7">
            <w:pPr>
              <w:spacing w:line="360" w:lineRule="auto"/>
              <w:jc w:val="center"/>
              <w:rPr>
                <w:rFonts w:ascii="宋体"/>
                <w:color w:val="auto"/>
                <w:sz w:val="28"/>
                <w:szCs w:val="28"/>
                <w:highlight w:val="none"/>
              </w:rPr>
            </w:pPr>
          </w:p>
        </w:tc>
        <w:tc>
          <w:tcPr>
            <w:tcW w:w="1050" w:type="dxa"/>
            <w:noWrap w:val="0"/>
            <w:vAlign w:val="top"/>
          </w:tcPr>
          <w:p w14:paraId="28F314E5">
            <w:pPr>
              <w:spacing w:line="360" w:lineRule="auto"/>
              <w:jc w:val="center"/>
              <w:rPr>
                <w:rFonts w:ascii="宋体"/>
                <w:color w:val="auto"/>
                <w:sz w:val="28"/>
                <w:szCs w:val="28"/>
                <w:highlight w:val="none"/>
              </w:rPr>
            </w:pPr>
          </w:p>
        </w:tc>
        <w:tc>
          <w:tcPr>
            <w:tcW w:w="630" w:type="dxa"/>
            <w:noWrap w:val="0"/>
            <w:vAlign w:val="top"/>
          </w:tcPr>
          <w:p w14:paraId="4EFC47B6">
            <w:pPr>
              <w:spacing w:line="360" w:lineRule="auto"/>
              <w:jc w:val="center"/>
              <w:rPr>
                <w:rFonts w:ascii="宋体"/>
                <w:color w:val="auto"/>
                <w:sz w:val="28"/>
                <w:szCs w:val="28"/>
                <w:highlight w:val="none"/>
              </w:rPr>
            </w:pPr>
          </w:p>
        </w:tc>
        <w:tc>
          <w:tcPr>
            <w:tcW w:w="525" w:type="dxa"/>
            <w:noWrap w:val="0"/>
            <w:vAlign w:val="top"/>
          </w:tcPr>
          <w:p w14:paraId="74DFB7E1">
            <w:pPr>
              <w:spacing w:line="360" w:lineRule="auto"/>
              <w:jc w:val="center"/>
              <w:rPr>
                <w:rFonts w:ascii="宋体"/>
                <w:color w:val="auto"/>
                <w:sz w:val="28"/>
                <w:szCs w:val="28"/>
                <w:highlight w:val="none"/>
              </w:rPr>
            </w:pPr>
          </w:p>
        </w:tc>
        <w:tc>
          <w:tcPr>
            <w:tcW w:w="735" w:type="dxa"/>
            <w:noWrap w:val="0"/>
            <w:vAlign w:val="top"/>
          </w:tcPr>
          <w:p w14:paraId="6E32AF51">
            <w:pPr>
              <w:spacing w:line="360" w:lineRule="auto"/>
              <w:jc w:val="center"/>
              <w:rPr>
                <w:rFonts w:ascii="宋体"/>
                <w:color w:val="auto"/>
                <w:sz w:val="28"/>
                <w:szCs w:val="28"/>
                <w:highlight w:val="none"/>
              </w:rPr>
            </w:pPr>
          </w:p>
        </w:tc>
        <w:tc>
          <w:tcPr>
            <w:tcW w:w="840" w:type="dxa"/>
            <w:noWrap w:val="0"/>
            <w:vAlign w:val="top"/>
          </w:tcPr>
          <w:p w14:paraId="6F0CAEA1">
            <w:pPr>
              <w:spacing w:line="360" w:lineRule="auto"/>
              <w:jc w:val="center"/>
              <w:rPr>
                <w:rFonts w:ascii="宋体"/>
                <w:color w:val="auto"/>
                <w:sz w:val="28"/>
                <w:szCs w:val="28"/>
                <w:highlight w:val="none"/>
              </w:rPr>
            </w:pPr>
          </w:p>
        </w:tc>
        <w:tc>
          <w:tcPr>
            <w:tcW w:w="840" w:type="dxa"/>
            <w:noWrap w:val="0"/>
            <w:vAlign w:val="top"/>
          </w:tcPr>
          <w:p w14:paraId="4DF701C9">
            <w:pPr>
              <w:spacing w:line="360" w:lineRule="auto"/>
              <w:jc w:val="center"/>
              <w:rPr>
                <w:rFonts w:ascii="宋体"/>
                <w:color w:val="auto"/>
                <w:sz w:val="28"/>
                <w:szCs w:val="28"/>
                <w:highlight w:val="none"/>
              </w:rPr>
            </w:pPr>
          </w:p>
        </w:tc>
        <w:tc>
          <w:tcPr>
            <w:tcW w:w="735" w:type="dxa"/>
            <w:noWrap w:val="0"/>
            <w:vAlign w:val="top"/>
          </w:tcPr>
          <w:p w14:paraId="6F620085">
            <w:pPr>
              <w:spacing w:line="360" w:lineRule="auto"/>
              <w:jc w:val="center"/>
              <w:rPr>
                <w:rFonts w:ascii="宋体"/>
                <w:color w:val="auto"/>
                <w:sz w:val="28"/>
                <w:szCs w:val="28"/>
                <w:highlight w:val="none"/>
              </w:rPr>
            </w:pPr>
          </w:p>
        </w:tc>
        <w:tc>
          <w:tcPr>
            <w:tcW w:w="945" w:type="dxa"/>
            <w:noWrap w:val="0"/>
            <w:vAlign w:val="top"/>
          </w:tcPr>
          <w:p w14:paraId="30ADC596">
            <w:pPr>
              <w:spacing w:line="360" w:lineRule="auto"/>
              <w:jc w:val="center"/>
              <w:rPr>
                <w:rFonts w:ascii="宋体"/>
                <w:color w:val="auto"/>
                <w:sz w:val="28"/>
                <w:szCs w:val="28"/>
                <w:highlight w:val="none"/>
              </w:rPr>
            </w:pPr>
          </w:p>
        </w:tc>
      </w:tr>
      <w:tr w14:paraId="37621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noWrap w:val="0"/>
            <w:vAlign w:val="top"/>
          </w:tcPr>
          <w:p w14:paraId="3ADC603E">
            <w:pPr>
              <w:spacing w:line="360" w:lineRule="auto"/>
              <w:jc w:val="center"/>
              <w:rPr>
                <w:rFonts w:ascii="宋体"/>
                <w:color w:val="auto"/>
                <w:sz w:val="28"/>
                <w:szCs w:val="28"/>
                <w:highlight w:val="none"/>
              </w:rPr>
            </w:pPr>
          </w:p>
        </w:tc>
        <w:tc>
          <w:tcPr>
            <w:tcW w:w="1155" w:type="dxa"/>
            <w:noWrap w:val="0"/>
            <w:vAlign w:val="top"/>
          </w:tcPr>
          <w:p w14:paraId="12A3590C">
            <w:pPr>
              <w:spacing w:line="360" w:lineRule="auto"/>
              <w:jc w:val="center"/>
              <w:rPr>
                <w:rFonts w:ascii="宋体"/>
                <w:color w:val="auto"/>
                <w:sz w:val="28"/>
                <w:szCs w:val="28"/>
                <w:highlight w:val="none"/>
              </w:rPr>
            </w:pPr>
          </w:p>
        </w:tc>
        <w:tc>
          <w:tcPr>
            <w:tcW w:w="1050" w:type="dxa"/>
            <w:noWrap w:val="0"/>
            <w:vAlign w:val="top"/>
          </w:tcPr>
          <w:p w14:paraId="1B6FD57A">
            <w:pPr>
              <w:spacing w:line="360" w:lineRule="auto"/>
              <w:jc w:val="center"/>
              <w:rPr>
                <w:rFonts w:ascii="宋体"/>
                <w:color w:val="auto"/>
                <w:sz w:val="28"/>
                <w:szCs w:val="28"/>
                <w:highlight w:val="none"/>
              </w:rPr>
            </w:pPr>
          </w:p>
        </w:tc>
        <w:tc>
          <w:tcPr>
            <w:tcW w:w="630" w:type="dxa"/>
            <w:noWrap w:val="0"/>
            <w:vAlign w:val="top"/>
          </w:tcPr>
          <w:p w14:paraId="60C3BA5C">
            <w:pPr>
              <w:spacing w:line="360" w:lineRule="auto"/>
              <w:jc w:val="center"/>
              <w:rPr>
                <w:rFonts w:ascii="宋体"/>
                <w:color w:val="auto"/>
                <w:sz w:val="28"/>
                <w:szCs w:val="28"/>
                <w:highlight w:val="none"/>
              </w:rPr>
            </w:pPr>
          </w:p>
        </w:tc>
        <w:tc>
          <w:tcPr>
            <w:tcW w:w="525" w:type="dxa"/>
            <w:noWrap w:val="0"/>
            <w:vAlign w:val="top"/>
          </w:tcPr>
          <w:p w14:paraId="772740C6">
            <w:pPr>
              <w:spacing w:line="360" w:lineRule="auto"/>
              <w:jc w:val="center"/>
              <w:rPr>
                <w:rFonts w:ascii="宋体"/>
                <w:color w:val="auto"/>
                <w:sz w:val="28"/>
                <w:szCs w:val="28"/>
                <w:highlight w:val="none"/>
              </w:rPr>
            </w:pPr>
          </w:p>
        </w:tc>
        <w:tc>
          <w:tcPr>
            <w:tcW w:w="735" w:type="dxa"/>
            <w:noWrap w:val="0"/>
            <w:vAlign w:val="top"/>
          </w:tcPr>
          <w:p w14:paraId="73936835">
            <w:pPr>
              <w:spacing w:line="360" w:lineRule="auto"/>
              <w:jc w:val="center"/>
              <w:rPr>
                <w:rFonts w:ascii="宋体"/>
                <w:color w:val="auto"/>
                <w:sz w:val="28"/>
                <w:szCs w:val="28"/>
                <w:highlight w:val="none"/>
              </w:rPr>
            </w:pPr>
          </w:p>
        </w:tc>
        <w:tc>
          <w:tcPr>
            <w:tcW w:w="840" w:type="dxa"/>
            <w:noWrap w:val="0"/>
            <w:vAlign w:val="top"/>
          </w:tcPr>
          <w:p w14:paraId="618EF561">
            <w:pPr>
              <w:spacing w:line="360" w:lineRule="auto"/>
              <w:jc w:val="center"/>
              <w:rPr>
                <w:rFonts w:ascii="宋体"/>
                <w:color w:val="auto"/>
                <w:sz w:val="28"/>
                <w:szCs w:val="28"/>
                <w:highlight w:val="none"/>
              </w:rPr>
            </w:pPr>
          </w:p>
        </w:tc>
        <w:tc>
          <w:tcPr>
            <w:tcW w:w="840" w:type="dxa"/>
            <w:noWrap w:val="0"/>
            <w:vAlign w:val="top"/>
          </w:tcPr>
          <w:p w14:paraId="285CFB84">
            <w:pPr>
              <w:spacing w:line="360" w:lineRule="auto"/>
              <w:jc w:val="center"/>
              <w:rPr>
                <w:rFonts w:ascii="宋体"/>
                <w:color w:val="auto"/>
                <w:sz w:val="28"/>
                <w:szCs w:val="28"/>
                <w:highlight w:val="none"/>
              </w:rPr>
            </w:pPr>
          </w:p>
        </w:tc>
        <w:tc>
          <w:tcPr>
            <w:tcW w:w="735" w:type="dxa"/>
            <w:noWrap w:val="0"/>
            <w:vAlign w:val="top"/>
          </w:tcPr>
          <w:p w14:paraId="5AD262B5">
            <w:pPr>
              <w:spacing w:line="360" w:lineRule="auto"/>
              <w:jc w:val="center"/>
              <w:rPr>
                <w:rFonts w:ascii="宋体"/>
                <w:color w:val="auto"/>
                <w:sz w:val="28"/>
                <w:szCs w:val="28"/>
                <w:highlight w:val="none"/>
              </w:rPr>
            </w:pPr>
          </w:p>
        </w:tc>
        <w:tc>
          <w:tcPr>
            <w:tcW w:w="945" w:type="dxa"/>
            <w:noWrap w:val="0"/>
            <w:vAlign w:val="top"/>
          </w:tcPr>
          <w:p w14:paraId="702435BA">
            <w:pPr>
              <w:spacing w:line="360" w:lineRule="auto"/>
              <w:jc w:val="center"/>
              <w:rPr>
                <w:rFonts w:ascii="宋体"/>
                <w:color w:val="auto"/>
                <w:sz w:val="28"/>
                <w:szCs w:val="28"/>
                <w:highlight w:val="none"/>
              </w:rPr>
            </w:pPr>
          </w:p>
        </w:tc>
      </w:tr>
      <w:tr w14:paraId="60CAB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noWrap w:val="0"/>
            <w:vAlign w:val="top"/>
          </w:tcPr>
          <w:p w14:paraId="23A5811B">
            <w:pPr>
              <w:spacing w:line="360" w:lineRule="auto"/>
              <w:jc w:val="center"/>
              <w:rPr>
                <w:rFonts w:ascii="宋体"/>
                <w:color w:val="auto"/>
                <w:sz w:val="28"/>
                <w:szCs w:val="28"/>
                <w:highlight w:val="none"/>
              </w:rPr>
            </w:pPr>
          </w:p>
        </w:tc>
        <w:tc>
          <w:tcPr>
            <w:tcW w:w="1155" w:type="dxa"/>
            <w:noWrap w:val="0"/>
            <w:vAlign w:val="top"/>
          </w:tcPr>
          <w:p w14:paraId="06FDE0C5">
            <w:pPr>
              <w:spacing w:line="360" w:lineRule="auto"/>
              <w:jc w:val="center"/>
              <w:rPr>
                <w:rFonts w:ascii="宋体"/>
                <w:color w:val="auto"/>
                <w:sz w:val="28"/>
                <w:szCs w:val="28"/>
                <w:highlight w:val="none"/>
              </w:rPr>
            </w:pPr>
          </w:p>
        </w:tc>
        <w:tc>
          <w:tcPr>
            <w:tcW w:w="1050" w:type="dxa"/>
            <w:noWrap w:val="0"/>
            <w:vAlign w:val="top"/>
          </w:tcPr>
          <w:p w14:paraId="284EFEC6">
            <w:pPr>
              <w:spacing w:line="360" w:lineRule="auto"/>
              <w:jc w:val="center"/>
              <w:rPr>
                <w:rFonts w:ascii="宋体"/>
                <w:color w:val="auto"/>
                <w:sz w:val="28"/>
                <w:szCs w:val="28"/>
                <w:highlight w:val="none"/>
              </w:rPr>
            </w:pPr>
          </w:p>
        </w:tc>
        <w:tc>
          <w:tcPr>
            <w:tcW w:w="630" w:type="dxa"/>
            <w:noWrap w:val="0"/>
            <w:vAlign w:val="top"/>
          </w:tcPr>
          <w:p w14:paraId="3927C258">
            <w:pPr>
              <w:spacing w:line="360" w:lineRule="auto"/>
              <w:jc w:val="center"/>
              <w:rPr>
                <w:rFonts w:ascii="宋体"/>
                <w:color w:val="auto"/>
                <w:sz w:val="28"/>
                <w:szCs w:val="28"/>
                <w:highlight w:val="none"/>
              </w:rPr>
            </w:pPr>
          </w:p>
        </w:tc>
        <w:tc>
          <w:tcPr>
            <w:tcW w:w="525" w:type="dxa"/>
            <w:noWrap w:val="0"/>
            <w:vAlign w:val="top"/>
          </w:tcPr>
          <w:p w14:paraId="2DAAB057">
            <w:pPr>
              <w:spacing w:line="360" w:lineRule="auto"/>
              <w:jc w:val="center"/>
              <w:rPr>
                <w:rFonts w:ascii="宋体"/>
                <w:color w:val="auto"/>
                <w:sz w:val="28"/>
                <w:szCs w:val="28"/>
                <w:highlight w:val="none"/>
              </w:rPr>
            </w:pPr>
          </w:p>
        </w:tc>
        <w:tc>
          <w:tcPr>
            <w:tcW w:w="735" w:type="dxa"/>
            <w:noWrap w:val="0"/>
            <w:vAlign w:val="top"/>
          </w:tcPr>
          <w:p w14:paraId="06124D8C">
            <w:pPr>
              <w:spacing w:line="360" w:lineRule="auto"/>
              <w:jc w:val="center"/>
              <w:rPr>
                <w:rFonts w:ascii="宋体"/>
                <w:color w:val="auto"/>
                <w:sz w:val="28"/>
                <w:szCs w:val="28"/>
                <w:highlight w:val="none"/>
              </w:rPr>
            </w:pPr>
          </w:p>
        </w:tc>
        <w:tc>
          <w:tcPr>
            <w:tcW w:w="840" w:type="dxa"/>
            <w:noWrap w:val="0"/>
            <w:vAlign w:val="top"/>
          </w:tcPr>
          <w:p w14:paraId="370CAAB6">
            <w:pPr>
              <w:spacing w:line="360" w:lineRule="auto"/>
              <w:jc w:val="center"/>
              <w:rPr>
                <w:rFonts w:ascii="宋体"/>
                <w:color w:val="auto"/>
                <w:sz w:val="28"/>
                <w:szCs w:val="28"/>
                <w:highlight w:val="none"/>
              </w:rPr>
            </w:pPr>
          </w:p>
        </w:tc>
        <w:tc>
          <w:tcPr>
            <w:tcW w:w="840" w:type="dxa"/>
            <w:noWrap w:val="0"/>
            <w:vAlign w:val="top"/>
          </w:tcPr>
          <w:p w14:paraId="39D4E73E">
            <w:pPr>
              <w:spacing w:line="360" w:lineRule="auto"/>
              <w:jc w:val="center"/>
              <w:rPr>
                <w:rFonts w:ascii="宋体"/>
                <w:color w:val="auto"/>
                <w:sz w:val="28"/>
                <w:szCs w:val="28"/>
                <w:highlight w:val="none"/>
              </w:rPr>
            </w:pPr>
          </w:p>
        </w:tc>
        <w:tc>
          <w:tcPr>
            <w:tcW w:w="735" w:type="dxa"/>
            <w:noWrap w:val="0"/>
            <w:vAlign w:val="top"/>
          </w:tcPr>
          <w:p w14:paraId="36D46171">
            <w:pPr>
              <w:spacing w:line="360" w:lineRule="auto"/>
              <w:jc w:val="center"/>
              <w:rPr>
                <w:rFonts w:ascii="宋体"/>
                <w:color w:val="auto"/>
                <w:sz w:val="28"/>
                <w:szCs w:val="28"/>
                <w:highlight w:val="none"/>
              </w:rPr>
            </w:pPr>
          </w:p>
        </w:tc>
        <w:tc>
          <w:tcPr>
            <w:tcW w:w="945" w:type="dxa"/>
            <w:noWrap w:val="0"/>
            <w:vAlign w:val="top"/>
          </w:tcPr>
          <w:p w14:paraId="2CF5511F">
            <w:pPr>
              <w:spacing w:line="360" w:lineRule="auto"/>
              <w:jc w:val="center"/>
              <w:rPr>
                <w:rFonts w:ascii="宋体"/>
                <w:color w:val="auto"/>
                <w:sz w:val="28"/>
                <w:szCs w:val="28"/>
                <w:highlight w:val="none"/>
              </w:rPr>
            </w:pPr>
          </w:p>
        </w:tc>
      </w:tr>
      <w:tr w14:paraId="0997D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noWrap w:val="0"/>
            <w:vAlign w:val="top"/>
          </w:tcPr>
          <w:p w14:paraId="31147A2A">
            <w:pPr>
              <w:spacing w:line="360" w:lineRule="auto"/>
              <w:jc w:val="center"/>
              <w:rPr>
                <w:rFonts w:ascii="宋体"/>
                <w:color w:val="auto"/>
                <w:sz w:val="28"/>
                <w:szCs w:val="28"/>
                <w:highlight w:val="none"/>
              </w:rPr>
            </w:pPr>
          </w:p>
        </w:tc>
        <w:tc>
          <w:tcPr>
            <w:tcW w:w="1155" w:type="dxa"/>
            <w:noWrap w:val="0"/>
            <w:vAlign w:val="top"/>
          </w:tcPr>
          <w:p w14:paraId="33CD9414">
            <w:pPr>
              <w:spacing w:line="360" w:lineRule="auto"/>
              <w:jc w:val="center"/>
              <w:rPr>
                <w:rFonts w:ascii="宋体"/>
                <w:color w:val="auto"/>
                <w:sz w:val="28"/>
                <w:szCs w:val="28"/>
                <w:highlight w:val="none"/>
              </w:rPr>
            </w:pPr>
          </w:p>
        </w:tc>
        <w:tc>
          <w:tcPr>
            <w:tcW w:w="1050" w:type="dxa"/>
            <w:noWrap w:val="0"/>
            <w:vAlign w:val="top"/>
          </w:tcPr>
          <w:p w14:paraId="010A8110">
            <w:pPr>
              <w:spacing w:line="360" w:lineRule="auto"/>
              <w:jc w:val="center"/>
              <w:rPr>
                <w:rFonts w:ascii="宋体"/>
                <w:color w:val="auto"/>
                <w:sz w:val="28"/>
                <w:szCs w:val="28"/>
                <w:highlight w:val="none"/>
              </w:rPr>
            </w:pPr>
          </w:p>
        </w:tc>
        <w:tc>
          <w:tcPr>
            <w:tcW w:w="630" w:type="dxa"/>
            <w:noWrap w:val="0"/>
            <w:vAlign w:val="top"/>
          </w:tcPr>
          <w:p w14:paraId="7D56FA00">
            <w:pPr>
              <w:spacing w:line="360" w:lineRule="auto"/>
              <w:jc w:val="center"/>
              <w:rPr>
                <w:rFonts w:ascii="宋体"/>
                <w:color w:val="auto"/>
                <w:sz w:val="28"/>
                <w:szCs w:val="28"/>
                <w:highlight w:val="none"/>
              </w:rPr>
            </w:pPr>
          </w:p>
        </w:tc>
        <w:tc>
          <w:tcPr>
            <w:tcW w:w="525" w:type="dxa"/>
            <w:noWrap w:val="0"/>
            <w:vAlign w:val="top"/>
          </w:tcPr>
          <w:p w14:paraId="77F0D6CB">
            <w:pPr>
              <w:spacing w:line="360" w:lineRule="auto"/>
              <w:jc w:val="center"/>
              <w:rPr>
                <w:rFonts w:ascii="宋体"/>
                <w:color w:val="auto"/>
                <w:sz w:val="28"/>
                <w:szCs w:val="28"/>
                <w:highlight w:val="none"/>
              </w:rPr>
            </w:pPr>
          </w:p>
        </w:tc>
        <w:tc>
          <w:tcPr>
            <w:tcW w:w="735" w:type="dxa"/>
            <w:noWrap w:val="0"/>
            <w:vAlign w:val="top"/>
          </w:tcPr>
          <w:p w14:paraId="0C1B5593">
            <w:pPr>
              <w:spacing w:line="360" w:lineRule="auto"/>
              <w:jc w:val="center"/>
              <w:rPr>
                <w:rFonts w:ascii="宋体"/>
                <w:color w:val="auto"/>
                <w:sz w:val="28"/>
                <w:szCs w:val="28"/>
                <w:highlight w:val="none"/>
              </w:rPr>
            </w:pPr>
          </w:p>
        </w:tc>
        <w:tc>
          <w:tcPr>
            <w:tcW w:w="840" w:type="dxa"/>
            <w:noWrap w:val="0"/>
            <w:vAlign w:val="top"/>
          </w:tcPr>
          <w:p w14:paraId="245173F3">
            <w:pPr>
              <w:spacing w:line="360" w:lineRule="auto"/>
              <w:jc w:val="center"/>
              <w:rPr>
                <w:rFonts w:ascii="宋体"/>
                <w:color w:val="auto"/>
                <w:sz w:val="28"/>
                <w:szCs w:val="28"/>
                <w:highlight w:val="none"/>
              </w:rPr>
            </w:pPr>
          </w:p>
        </w:tc>
        <w:tc>
          <w:tcPr>
            <w:tcW w:w="840" w:type="dxa"/>
            <w:noWrap w:val="0"/>
            <w:vAlign w:val="top"/>
          </w:tcPr>
          <w:p w14:paraId="7E8DEDCF">
            <w:pPr>
              <w:spacing w:line="360" w:lineRule="auto"/>
              <w:jc w:val="center"/>
              <w:rPr>
                <w:rFonts w:ascii="宋体"/>
                <w:color w:val="auto"/>
                <w:sz w:val="28"/>
                <w:szCs w:val="28"/>
                <w:highlight w:val="none"/>
              </w:rPr>
            </w:pPr>
          </w:p>
        </w:tc>
        <w:tc>
          <w:tcPr>
            <w:tcW w:w="735" w:type="dxa"/>
            <w:noWrap w:val="0"/>
            <w:vAlign w:val="top"/>
          </w:tcPr>
          <w:p w14:paraId="021C7A32">
            <w:pPr>
              <w:spacing w:line="360" w:lineRule="auto"/>
              <w:jc w:val="center"/>
              <w:rPr>
                <w:rFonts w:ascii="宋体"/>
                <w:color w:val="auto"/>
                <w:sz w:val="28"/>
                <w:szCs w:val="28"/>
                <w:highlight w:val="none"/>
              </w:rPr>
            </w:pPr>
          </w:p>
        </w:tc>
        <w:tc>
          <w:tcPr>
            <w:tcW w:w="945" w:type="dxa"/>
            <w:noWrap w:val="0"/>
            <w:vAlign w:val="top"/>
          </w:tcPr>
          <w:p w14:paraId="3C5E78B2">
            <w:pPr>
              <w:spacing w:line="360" w:lineRule="auto"/>
              <w:jc w:val="center"/>
              <w:rPr>
                <w:rFonts w:ascii="宋体"/>
                <w:color w:val="auto"/>
                <w:sz w:val="28"/>
                <w:szCs w:val="28"/>
                <w:highlight w:val="none"/>
              </w:rPr>
            </w:pPr>
          </w:p>
        </w:tc>
      </w:tr>
      <w:tr w14:paraId="10CF6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noWrap w:val="0"/>
            <w:vAlign w:val="top"/>
          </w:tcPr>
          <w:p w14:paraId="69F73266">
            <w:pPr>
              <w:spacing w:line="360" w:lineRule="auto"/>
              <w:jc w:val="center"/>
              <w:rPr>
                <w:rFonts w:ascii="宋体"/>
                <w:color w:val="auto"/>
                <w:sz w:val="28"/>
                <w:szCs w:val="28"/>
                <w:highlight w:val="none"/>
              </w:rPr>
            </w:pPr>
          </w:p>
        </w:tc>
        <w:tc>
          <w:tcPr>
            <w:tcW w:w="1155" w:type="dxa"/>
            <w:noWrap w:val="0"/>
            <w:vAlign w:val="top"/>
          </w:tcPr>
          <w:p w14:paraId="3E803961">
            <w:pPr>
              <w:spacing w:line="360" w:lineRule="auto"/>
              <w:jc w:val="center"/>
              <w:rPr>
                <w:rFonts w:ascii="宋体"/>
                <w:color w:val="auto"/>
                <w:sz w:val="28"/>
                <w:szCs w:val="28"/>
                <w:highlight w:val="none"/>
              </w:rPr>
            </w:pPr>
          </w:p>
        </w:tc>
        <w:tc>
          <w:tcPr>
            <w:tcW w:w="1050" w:type="dxa"/>
            <w:noWrap w:val="0"/>
            <w:vAlign w:val="top"/>
          </w:tcPr>
          <w:p w14:paraId="7A7D5ED2">
            <w:pPr>
              <w:spacing w:line="360" w:lineRule="auto"/>
              <w:jc w:val="center"/>
              <w:rPr>
                <w:rFonts w:ascii="宋体"/>
                <w:color w:val="auto"/>
                <w:sz w:val="28"/>
                <w:szCs w:val="28"/>
                <w:highlight w:val="none"/>
              </w:rPr>
            </w:pPr>
          </w:p>
        </w:tc>
        <w:tc>
          <w:tcPr>
            <w:tcW w:w="630" w:type="dxa"/>
            <w:noWrap w:val="0"/>
            <w:vAlign w:val="top"/>
          </w:tcPr>
          <w:p w14:paraId="34A280ED">
            <w:pPr>
              <w:spacing w:line="360" w:lineRule="auto"/>
              <w:jc w:val="center"/>
              <w:rPr>
                <w:rFonts w:ascii="宋体"/>
                <w:color w:val="auto"/>
                <w:sz w:val="28"/>
                <w:szCs w:val="28"/>
                <w:highlight w:val="none"/>
              </w:rPr>
            </w:pPr>
          </w:p>
        </w:tc>
        <w:tc>
          <w:tcPr>
            <w:tcW w:w="525" w:type="dxa"/>
            <w:noWrap w:val="0"/>
            <w:vAlign w:val="top"/>
          </w:tcPr>
          <w:p w14:paraId="67F18DA5">
            <w:pPr>
              <w:spacing w:line="360" w:lineRule="auto"/>
              <w:jc w:val="center"/>
              <w:rPr>
                <w:rFonts w:ascii="宋体"/>
                <w:color w:val="auto"/>
                <w:sz w:val="28"/>
                <w:szCs w:val="28"/>
                <w:highlight w:val="none"/>
              </w:rPr>
            </w:pPr>
          </w:p>
        </w:tc>
        <w:tc>
          <w:tcPr>
            <w:tcW w:w="735" w:type="dxa"/>
            <w:noWrap w:val="0"/>
            <w:vAlign w:val="top"/>
          </w:tcPr>
          <w:p w14:paraId="56BB9CDF">
            <w:pPr>
              <w:spacing w:line="360" w:lineRule="auto"/>
              <w:jc w:val="center"/>
              <w:rPr>
                <w:rFonts w:ascii="宋体"/>
                <w:color w:val="auto"/>
                <w:sz w:val="28"/>
                <w:szCs w:val="28"/>
                <w:highlight w:val="none"/>
              </w:rPr>
            </w:pPr>
          </w:p>
        </w:tc>
        <w:tc>
          <w:tcPr>
            <w:tcW w:w="840" w:type="dxa"/>
            <w:noWrap w:val="0"/>
            <w:vAlign w:val="top"/>
          </w:tcPr>
          <w:p w14:paraId="0D96AA11">
            <w:pPr>
              <w:spacing w:line="360" w:lineRule="auto"/>
              <w:jc w:val="center"/>
              <w:rPr>
                <w:rFonts w:ascii="宋体"/>
                <w:color w:val="auto"/>
                <w:sz w:val="28"/>
                <w:szCs w:val="28"/>
                <w:highlight w:val="none"/>
              </w:rPr>
            </w:pPr>
          </w:p>
        </w:tc>
        <w:tc>
          <w:tcPr>
            <w:tcW w:w="840" w:type="dxa"/>
            <w:noWrap w:val="0"/>
            <w:vAlign w:val="top"/>
          </w:tcPr>
          <w:p w14:paraId="18F2C367">
            <w:pPr>
              <w:spacing w:line="360" w:lineRule="auto"/>
              <w:jc w:val="center"/>
              <w:rPr>
                <w:rFonts w:ascii="宋体"/>
                <w:color w:val="auto"/>
                <w:sz w:val="28"/>
                <w:szCs w:val="28"/>
                <w:highlight w:val="none"/>
              </w:rPr>
            </w:pPr>
          </w:p>
        </w:tc>
        <w:tc>
          <w:tcPr>
            <w:tcW w:w="735" w:type="dxa"/>
            <w:noWrap w:val="0"/>
            <w:vAlign w:val="top"/>
          </w:tcPr>
          <w:p w14:paraId="16C7B0F0">
            <w:pPr>
              <w:spacing w:line="360" w:lineRule="auto"/>
              <w:jc w:val="center"/>
              <w:rPr>
                <w:rFonts w:ascii="宋体"/>
                <w:color w:val="auto"/>
                <w:sz w:val="28"/>
                <w:szCs w:val="28"/>
                <w:highlight w:val="none"/>
              </w:rPr>
            </w:pPr>
          </w:p>
        </w:tc>
        <w:tc>
          <w:tcPr>
            <w:tcW w:w="945" w:type="dxa"/>
            <w:noWrap w:val="0"/>
            <w:vAlign w:val="top"/>
          </w:tcPr>
          <w:p w14:paraId="284C95FD">
            <w:pPr>
              <w:spacing w:line="360" w:lineRule="auto"/>
              <w:jc w:val="center"/>
              <w:rPr>
                <w:rFonts w:ascii="宋体"/>
                <w:color w:val="auto"/>
                <w:sz w:val="28"/>
                <w:szCs w:val="28"/>
                <w:highlight w:val="none"/>
              </w:rPr>
            </w:pPr>
          </w:p>
        </w:tc>
      </w:tr>
      <w:tr w14:paraId="16E38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noWrap w:val="0"/>
            <w:vAlign w:val="top"/>
          </w:tcPr>
          <w:p w14:paraId="3A8D7E59">
            <w:pPr>
              <w:spacing w:line="360" w:lineRule="auto"/>
              <w:jc w:val="center"/>
              <w:rPr>
                <w:rFonts w:ascii="宋体"/>
                <w:color w:val="auto"/>
                <w:sz w:val="28"/>
                <w:szCs w:val="28"/>
                <w:highlight w:val="none"/>
              </w:rPr>
            </w:pPr>
          </w:p>
        </w:tc>
        <w:tc>
          <w:tcPr>
            <w:tcW w:w="1155" w:type="dxa"/>
            <w:noWrap w:val="0"/>
            <w:vAlign w:val="top"/>
          </w:tcPr>
          <w:p w14:paraId="1B63B9B2">
            <w:pPr>
              <w:spacing w:line="360" w:lineRule="auto"/>
              <w:jc w:val="center"/>
              <w:rPr>
                <w:rFonts w:ascii="宋体"/>
                <w:color w:val="auto"/>
                <w:sz w:val="28"/>
                <w:szCs w:val="28"/>
                <w:highlight w:val="none"/>
              </w:rPr>
            </w:pPr>
          </w:p>
        </w:tc>
        <w:tc>
          <w:tcPr>
            <w:tcW w:w="1050" w:type="dxa"/>
            <w:noWrap w:val="0"/>
            <w:vAlign w:val="top"/>
          </w:tcPr>
          <w:p w14:paraId="4AE9E1AA">
            <w:pPr>
              <w:spacing w:line="360" w:lineRule="auto"/>
              <w:jc w:val="center"/>
              <w:rPr>
                <w:rFonts w:ascii="宋体"/>
                <w:color w:val="auto"/>
                <w:sz w:val="28"/>
                <w:szCs w:val="28"/>
                <w:highlight w:val="none"/>
              </w:rPr>
            </w:pPr>
          </w:p>
        </w:tc>
        <w:tc>
          <w:tcPr>
            <w:tcW w:w="630" w:type="dxa"/>
            <w:noWrap w:val="0"/>
            <w:vAlign w:val="top"/>
          </w:tcPr>
          <w:p w14:paraId="295C1505">
            <w:pPr>
              <w:spacing w:line="360" w:lineRule="auto"/>
              <w:jc w:val="center"/>
              <w:rPr>
                <w:rFonts w:ascii="宋体"/>
                <w:color w:val="auto"/>
                <w:sz w:val="28"/>
                <w:szCs w:val="28"/>
                <w:highlight w:val="none"/>
              </w:rPr>
            </w:pPr>
          </w:p>
        </w:tc>
        <w:tc>
          <w:tcPr>
            <w:tcW w:w="525" w:type="dxa"/>
            <w:noWrap w:val="0"/>
            <w:vAlign w:val="top"/>
          </w:tcPr>
          <w:p w14:paraId="44A87424">
            <w:pPr>
              <w:spacing w:line="360" w:lineRule="auto"/>
              <w:jc w:val="center"/>
              <w:rPr>
                <w:rFonts w:ascii="宋体"/>
                <w:color w:val="auto"/>
                <w:sz w:val="28"/>
                <w:szCs w:val="28"/>
                <w:highlight w:val="none"/>
              </w:rPr>
            </w:pPr>
          </w:p>
        </w:tc>
        <w:tc>
          <w:tcPr>
            <w:tcW w:w="735" w:type="dxa"/>
            <w:noWrap w:val="0"/>
            <w:vAlign w:val="top"/>
          </w:tcPr>
          <w:p w14:paraId="6A22984C">
            <w:pPr>
              <w:spacing w:line="360" w:lineRule="auto"/>
              <w:jc w:val="center"/>
              <w:rPr>
                <w:rFonts w:ascii="宋体"/>
                <w:color w:val="auto"/>
                <w:sz w:val="28"/>
                <w:szCs w:val="28"/>
                <w:highlight w:val="none"/>
              </w:rPr>
            </w:pPr>
          </w:p>
        </w:tc>
        <w:tc>
          <w:tcPr>
            <w:tcW w:w="840" w:type="dxa"/>
            <w:noWrap w:val="0"/>
            <w:vAlign w:val="top"/>
          </w:tcPr>
          <w:p w14:paraId="7C9E39B7">
            <w:pPr>
              <w:spacing w:line="360" w:lineRule="auto"/>
              <w:jc w:val="center"/>
              <w:rPr>
                <w:rFonts w:ascii="宋体"/>
                <w:color w:val="auto"/>
                <w:sz w:val="28"/>
                <w:szCs w:val="28"/>
                <w:highlight w:val="none"/>
              </w:rPr>
            </w:pPr>
          </w:p>
        </w:tc>
        <w:tc>
          <w:tcPr>
            <w:tcW w:w="840" w:type="dxa"/>
            <w:noWrap w:val="0"/>
            <w:vAlign w:val="top"/>
          </w:tcPr>
          <w:p w14:paraId="655798C3">
            <w:pPr>
              <w:spacing w:line="360" w:lineRule="auto"/>
              <w:jc w:val="center"/>
              <w:rPr>
                <w:rFonts w:ascii="宋体"/>
                <w:color w:val="auto"/>
                <w:sz w:val="28"/>
                <w:szCs w:val="28"/>
                <w:highlight w:val="none"/>
              </w:rPr>
            </w:pPr>
          </w:p>
        </w:tc>
        <w:tc>
          <w:tcPr>
            <w:tcW w:w="735" w:type="dxa"/>
            <w:noWrap w:val="0"/>
            <w:vAlign w:val="top"/>
          </w:tcPr>
          <w:p w14:paraId="2E2DF9C4">
            <w:pPr>
              <w:spacing w:line="360" w:lineRule="auto"/>
              <w:jc w:val="center"/>
              <w:rPr>
                <w:rFonts w:ascii="宋体"/>
                <w:color w:val="auto"/>
                <w:sz w:val="28"/>
                <w:szCs w:val="28"/>
                <w:highlight w:val="none"/>
              </w:rPr>
            </w:pPr>
          </w:p>
        </w:tc>
        <w:tc>
          <w:tcPr>
            <w:tcW w:w="945" w:type="dxa"/>
            <w:noWrap w:val="0"/>
            <w:vAlign w:val="top"/>
          </w:tcPr>
          <w:p w14:paraId="2CF4771F">
            <w:pPr>
              <w:spacing w:line="360" w:lineRule="auto"/>
              <w:jc w:val="center"/>
              <w:rPr>
                <w:rFonts w:ascii="宋体"/>
                <w:color w:val="auto"/>
                <w:sz w:val="28"/>
                <w:szCs w:val="28"/>
                <w:highlight w:val="none"/>
              </w:rPr>
            </w:pPr>
          </w:p>
        </w:tc>
      </w:tr>
      <w:tr w14:paraId="6B4FB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noWrap w:val="0"/>
            <w:vAlign w:val="top"/>
          </w:tcPr>
          <w:p w14:paraId="29F2A3CE">
            <w:pPr>
              <w:spacing w:line="360" w:lineRule="auto"/>
              <w:jc w:val="center"/>
              <w:rPr>
                <w:rFonts w:ascii="宋体"/>
                <w:color w:val="auto"/>
                <w:sz w:val="28"/>
                <w:szCs w:val="28"/>
                <w:highlight w:val="none"/>
              </w:rPr>
            </w:pPr>
          </w:p>
        </w:tc>
        <w:tc>
          <w:tcPr>
            <w:tcW w:w="1155" w:type="dxa"/>
            <w:noWrap w:val="0"/>
            <w:vAlign w:val="top"/>
          </w:tcPr>
          <w:p w14:paraId="6A548959">
            <w:pPr>
              <w:spacing w:line="360" w:lineRule="auto"/>
              <w:jc w:val="center"/>
              <w:rPr>
                <w:rFonts w:ascii="宋体"/>
                <w:color w:val="auto"/>
                <w:sz w:val="28"/>
                <w:szCs w:val="28"/>
                <w:highlight w:val="none"/>
              </w:rPr>
            </w:pPr>
          </w:p>
        </w:tc>
        <w:tc>
          <w:tcPr>
            <w:tcW w:w="1050" w:type="dxa"/>
            <w:noWrap w:val="0"/>
            <w:vAlign w:val="top"/>
          </w:tcPr>
          <w:p w14:paraId="37C9383E">
            <w:pPr>
              <w:spacing w:line="360" w:lineRule="auto"/>
              <w:jc w:val="center"/>
              <w:rPr>
                <w:rFonts w:ascii="宋体"/>
                <w:color w:val="auto"/>
                <w:sz w:val="28"/>
                <w:szCs w:val="28"/>
                <w:highlight w:val="none"/>
              </w:rPr>
            </w:pPr>
          </w:p>
        </w:tc>
        <w:tc>
          <w:tcPr>
            <w:tcW w:w="630" w:type="dxa"/>
            <w:noWrap w:val="0"/>
            <w:vAlign w:val="top"/>
          </w:tcPr>
          <w:p w14:paraId="6E40B923">
            <w:pPr>
              <w:spacing w:line="360" w:lineRule="auto"/>
              <w:jc w:val="center"/>
              <w:rPr>
                <w:rFonts w:ascii="宋体"/>
                <w:color w:val="auto"/>
                <w:sz w:val="28"/>
                <w:szCs w:val="28"/>
                <w:highlight w:val="none"/>
              </w:rPr>
            </w:pPr>
          </w:p>
        </w:tc>
        <w:tc>
          <w:tcPr>
            <w:tcW w:w="525" w:type="dxa"/>
            <w:noWrap w:val="0"/>
            <w:vAlign w:val="top"/>
          </w:tcPr>
          <w:p w14:paraId="1BE2F76B">
            <w:pPr>
              <w:spacing w:line="360" w:lineRule="auto"/>
              <w:jc w:val="center"/>
              <w:rPr>
                <w:rFonts w:ascii="宋体"/>
                <w:color w:val="auto"/>
                <w:sz w:val="28"/>
                <w:szCs w:val="28"/>
                <w:highlight w:val="none"/>
              </w:rPr>
            </w:pPr>
          </w:p>
        </w:tc>
        <w:tc>
          <w:tcPr>
            <w:tcW w:w="735" w:type="dxa"/>
            <w:noWrap w:val="0"/>
            <w:vAlign w:val="top"/>
          </w:tcPr>
          <w:p w14:paraId="5BBE6C03">
            <w:pPr>
              <w:spacing w:line="360" w:lineRule="auto"/>
              <w:jc w:val="center"/>
              <w:rPr>
                <w:rFonts w:ascii="宋体"/>
                <w:color w:val="auto"/>
                <w:sz w:val="28"/>
                <w:szCs w:val="28"/>
                <w:highlight w:val="none"/>
              </w:rPr>
            </w:pPr>
          </w:p>
        </w:tc>
        <w:tc>
          <w:tcPr>
            <w:tcW w:w="840" w:type="dxa"/>
            <w:noWrap w:val="0"/>
            <w:vAlign w:val="top"/>
          </w:tcPr>
          <w:p w14:paraId="5C8F4926">
            <w:pPr>
              <w:spacing w:line="360" w:lineRule="auto"/>
              <w:jc w:val="center"/>
              <w:rPr>
                <w:rFonts w:ascii="宋体"/>
                <w:color w:val="auto"/>
                <w:sz w:val="28"/>
                <w:szCs w:val="28"/>
                <w:highlight w:val="none"/>
              </w:rPr>
            </w:pPr>
          </w:p>
        </w:tc>
        <w:tc>
          <w:tcPr>
            <w:tcW w:w="840" w:type="dxa"/>
            <w:noWrap w:val="0"/>
            <w:vAlign w:val="top"/>
          </w:tcPr>
          <w:p w14:paraId="16880232">
            <w:pPr>
              <w:spacing w:line="360" w:lineRule="auto"/>
              <w:jc w:val="center"/>
              <w:rPr>
                <w:rFonts w:ascii="宋体"/>
                <w:color w:val="auto"/>
                <w:sz w:val="28"/>
                <w:szCs w:val="28"/>
                <w:highlight w:val="none"/>
              </w:rPr>
            </w:pPr>
          </w:p>
        </w:tc>
        <w:tc>
          <w:tcPr>
            <w:tcW w:w="735" w:type="dxa"/>
            <w:noWrap w:val="0"/>
            <w:vAlign w:val="top"/>
          </w:tcPr>
          <w:p w14:paraId="2E488540">
            <w:pPr>
              <w:spacing w:line="360" w:lineRule="auto"/>
              <w:jc w:val="center"/>
              <w:rPr>
                <w:rFonts w:ascii="宋体"/>
                <w:color w:val="auto"/>
                <w:sz w:val="28"/>
                <w:szCs w:val="28"/>
                <w:highlight w:val="none"/>
              </w:rPr>
            </w:pPr>
          </w:p>
        </w:tc>
        <w:tc>
          <w:tcPr>
            <w:tcW w:w="945" w:type="dxa"/>
            <w:noWrap w:val="0"/>
            <w:vAlign w:val="top"/>
          </w:tcPr>
          <w:p w14:paraId="0C03A38F">
            <w:pPr>
              <w:spacing w:line="360" w:lineRule="auto"/>
              <w:jc w:val="center"/>
              <w:rPr>
                <w:rFonts w:ascii="宋体"/>
                <w:color w:val="auto"/>
                <w:sz w:val="28"/>
                <w:szCs w:val="28"/>
                <w:highlight w:val="none"/>
              </w:rPr>
            </w:pPr>
          </w:p>
        </w:tc>
      </w:tr>
      <w:tr w14:paraId="7B6A2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noWrap w:val="0"/>
            <w:vAlign w:val="top"/>
          </w:tcPr>
          <w:p w14:paraId="10C3EEFE">
            <w:pPr>
              <w:spacing w:line="360" w:lineRule="auto"/>
              <w:jc w:val="center"/>
              <w:rPr>
                <w:rFonts w:ascii="宋体"/>
                <w:color w:val="auto"/>
                <w:sz w:val="28"/>
                <w:szCs w:val="28"/>
                <w:highlight w:val="none"/>
              </w:rPr>
            </w:pPr>
          </w:p>
        </w:tc>
        <w:tc>
          <w:tcPr>
            <w:tcW w:w="1155" w:type="dxa"/>
            <w:noWrap w:val="0"/>
            <w:vAlign w:val="top"/>
          </w:tcPr>
          <w:p w14:paraId="47B0DA4F">
            <w:pPr>
              <w:spacing w:line="360" w:lineRule="auto"/>
              <w:jc w:val="center"/>
              <w:rPr>
                <w:rFonts w:ascii="宋体"/>
                <w:color w:val="auto"/>
                <w:sz w:val="28"/>
                <w:szCs w:val="28"/>
                <w:highlight w:val="none"/>
              </w:rPr>
            </w:pPr>
          </w:p>
        </w:tc>
        <w:tc>
          <w:tcPr>
            <w:tcW w:w="1050" w:type="dxa"/>
            <w:noWrap w:val="0"/>
            <w:vAlign w:val="top"/>
          </w:tcPr>
          <w:p w14:paraId="7EDA1F4D">
            <w:pPr>
              <w:spacing w:line="360" w:lineRule="auto"/>
              <w:jc w:val="center"/>
              <w:rPr>
                <w:rFonts w:ascii="宋体"/>
                <w:color w:val="auto"/>
                <w:sz w:val="28"/>
                <w:szCs w:val="28"/>
                <w:highlight w:val="none"/>
              </w:rPr>
            </w:pPr>
          </w:p>
        </w:tc>
        <w:tc>
          <w:tcPr>
            <w:tcW w:w="630" w:type="dxa"/>
            <w:noWrap w:val="0"/>
            <w:vAlign w:val="top"/>
          </w:tcPr>
          <w:p w14:paraId="7EBC225A">
            <w:pPr>
              <w:spacing w:line="360" w:lineRule="auto"/>
              <w:jc w:val="center"/>
              <w:rPr>
                <w:rFonts w:ascii="宋体"/>
                <w:color w:val="auto"/>
                <w:sz w:val="28"/>
                <w:szCs w:val="28"/>
                <w:highlight w:val="none"/>
              </w:rPr>
            </w:pPr>
          </w:p>
        </w:tc>
        <w:tc>
          <w:tcPr>
            <w:tcW w:w="525" w:type="dxa"/>
            <w:noWrap w:val="0"/>
            <w:vAlign w:val="top"/>
          </w:tcPr>
          <w:p w14:paraId="29241CDB">
            <w:pPr>
              <w:spacing w:line="360" w:lineRule="auto"/>
              <w:jc w:val="center"/>
              <w:rPr>
                <w:rFonts w:ascii="宋体"/>
                <w:color w:val="auto"/>
                <w:sz w:val="28"/>
                <w:szCs w:val="28"/>
                <w:highlight w:val="none"/>
              </w:rPr>
            </w:pPr>
          </w:p>
        </w:tc>
        <w:tc>
          <w:tcPr>
            <w:tcW w:w="735" w:type="dxa"/>
            <w:noWrap w:val="0"/>
            <w:vAlign w:val="top"/>
          </w:tcPr>
          <w:p w14:paraId="0FD74D89">
            <w:pPr>
              <w:spacing w:line="360" w:lineRule="auto"/>
              <w:jc w:val="center"/>
              <w:rPr>
                <w:rFonts w:ascii="宋体"/>
                <w:color w:val="auto"/>
                <w:sz w:val="28"/>
                <w:szCs w:val="28"/>
                <w:highlight w:val="none"/>
              </w:rPr>
            </w:pPr>
          </w:p>
        </w:tc>
        <w:tc>
          <w:tcPr>
            <w:tcW w:w="840" w:type="dxa"/>
            <w:noWrap w:val="0"/>
            <w:vAlign w:val="top"/>
          </w:tcPr>
          <w:p w14:paraId="7F9C6176">
            <w:pPr>
              <w:spacing w:line="360" w:lineRule="auto"/>
              <w:jc w:val="center"/>
              <w:rPr>
                <w:rFonts w:ascii="宋体"/>
                <w:color w:val="auto"/>
                <w:sz w:val="28"/>
                <w:szCs w:val="28"/>
                <w:highlight w:val="none"/>
              </w:rPr>
            </w:pPr>
          </w:p>
        </w:tc>
        <w:tc>
          <w:tcPr>
            <w:tcW w:w="840" w:type="dxa"/>
            <w:noWrap w:val="0"/>
            <w:vAlign w:val="top"/>
          </w:tcPr>
          <w:p w14:paraId="235E82FE">
            <w:pPr>
              <w:spacing w:line="360" w:lineRule="auto"/>
              <w:jc w:val="center"/>
              <w:rPr>
                <w:rFonts w:ascii="宋体"/>
                <w:color w:val="auto"/>
                <w:sz w:val="28"/>
                <w:szCs w:val="28"/>
                <w:highlight w:val="none"/>
              </w:rPr>
            </w:pPr>
          </w:p>
        </w:tc>
        <w:tc>
          <w:tcPr>
            <w:tcW w:w="735" w:type="dxa"/>
            <w:noWrap w:val="0"/>
            <w:vAlign w:val="top"/>
          </w:tcPr>
          <w:p w14:paraId="6876D926">
            <w:pPr>
              <w:spacing w:line="360" w:lineRule="auto"/>
              <w:jc w:val="center"/>
              <w:rPr>
                <w:rFonts w:ascii="宋体"/>
                <w:color w:val="auto"/>
                <w:sz w:val="28"/>
                <w:szCs w:val="28"/>
                <w:highlight w:val="none"/>
              </w:rPr>
            </w:pPr>
          </w:p>
        </w:tc>
        <w:tc>
          <w:tcPr>
            <w:tcW w:w="945" w:type="dxa"/>
            <w:noWrap w:val="0"/>
            <w:vAlign w:val="top"/>
          </w:tcPr>
          <w:p w14:paraId="5D94A7FF">
            <w:pPr>
              <w:spacing w:line="360" w:lineRule="auto"/>
              <w:jc w:val="center"/>
              <w:rPr>
                <w:rFonts w:ascii="宋体"/>
                <w:color w:val="auto"/>
                <w:sz w:val="28"/>
                <w:szCs w:val="28"/>
                <w:highlight w:val="none"/>
              </w:rPr>
            </w:pPr>
          </w:p>
        </w:tc>
      </w:tr>
      <w:tr w14:paraId="7D315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noWrap w:val="0"/>
            <w:vAlign w:val="top"/>
          </w:tcPr>
          <w:p w14:paraId="290AC82B">
            <w:pPr>
              <w:spacing w:line="360" w:lineRule="auto"/>
              <w:jc w:val="center"/>
              <w:rPr>
                <w:rFonts w:ascii="宋体"/>
                <w:color w:val="auto"/>
                <w:sz w:val="28"/>
                <w:szCs w:val="28"/>
                <w:highlight w:val="none"/>
              </w:rPr>
            </w:pPr>
          </w:p>
        </w:tc>
        <w:tc>
          <w:tcPr>
            <w:tcW w:w="1155" w:type="dxa"/>
            <w:noWrap w:val="0"/>
            <w:vAlign w:val="top"/>
          </w:tcPr>
          <w:p w14:paraId="131AF0A4">
            <w:pPr>
              <w:spacing w:line="360" w:lineRule="auto"/>
              <w:jc w:val="center"/>
              <w:rPr>
                <w:rFonts w:ascii="宋体"/>
                <w:color w:val="auto"/>
                <w:sz w:val="28"/>
                <w:szCs w:val="28"/>
                <w:highlight w:val="none"/>
              </w:rPr>
            </w:pPr>
          </w:p>
        </w:tc>
        <w:tc>
          <w:tcPr>
            <w:tcW w:w="1050" w:type="dxa"/>
            <w:noWrap w:val="0"/>
            <w:vAlign w:val="top"/>
          </w:tcPr>
          <w:p w14:paraId="6AF7C8A5">
            <w:pPr>
              <w:spacing w:line="360" w:lineRule="auto"/>
              <w:jc w:val="center"/>
              <w:rPr>
                <w:rFonts w:ascii="宋体"/>
                <w:color w:val="auto"/>
                <w:sz w:val="28"/>
                <w:szCs w:val="28"/>
                <w:highlight w:val="none"/>
              </w:rPr>
            </w:pPr>
          </w:p>
        </w:tc>
        <w:tc>
          <w:tcPr>
            <w:tcW w:w="630" w:type="dxa"/>
            <w:noWrap w:val="0"/>
            <w:vAlign w:val="top"/>
          </w:tcPr>
          <w:p w14:paraId="3BC69E52">
            <w:pPr>
              <w:spacing w:line="360" w:lineRule="auto"/>
              <w:jc w:val="center"/>
              <w:rPr>
                <w:rFonts w:ascii="宋体"/>
                <w:color w:val="auto"/>
                <w:sz w:val="28"/>
                <w:szCs w:val="28"/>
                <w:highlight w:val="none"/>
              </w:rPr>
            </w:pPr>
          </w:p>
        </w:tc>
        <w:tc>
          <w:tcPr>
            <w:tcW w:w="525" w:type="dxa"/>
            <w:noWrap w:val="0"/>
            <w:vAlign w:val="top"/>
          </w:tcPr>
          <w:p w14:paraId="1EB16C23">
            <w:pPr>
              <w:spacing w:line="360" w:lineRule="auto"/>
              <w:jc w:val="center"/>
              <w:rPr>
                <w:rFonts w:ascii="宋体"/>
                <w:color w:val="auto"/>
                <w:sz w:val="28"/>
                <w:szCs w:val="28"/>
                <w:highlight w:val="none"/>
              </w:rPr>
            </w:pPr>
          </w:p>
        </w:tc>
        <w:tc>
          <w:tcPr>
            <w:tcW w:w="735" w:type="dxa"/>
            <w:noWrap w:val="0"/>
            <w:vAlign w:val="top"/>
          </w:tcPr>
          <w:p w14:paraId="67964CB2">
            <w:pPr>
              <w:spacing w:line="360" w:lineRule="auto"/>
              <w:jc w:val="center"/>
              <w:rPr>
                <w:rFonts w:ascii="宋体"/>
                <w:color w:val="auto"/>
                <w:sz w:val="28"/>
                <w:szCs w:val="28"/>
                <w:highlight w:val="none"/>
              </w:rPr>
            </w:pPr>
          </w:p>
        </w:tc>
        <w:tc>
          <w:tcPr>
            <w:tcW w:w="840" w:type="dxa"/>
            <w:noWrap w:val="0"/>
            <w:vAlign w:val="top"/>
          </w:tcPr>
          <w:p w14:paraId="763F0DD2">
            <w:pPr>
              <w:spacing w:line="360" w:lineRule="auto"/>
              <w:jc w:val="center"/>
              <w:rPr>
                <w:rFonts w:ascii="宋体"/>
                <w:color w:val="auto"/>
                <w:sz w:val="28"/>
                <w:szCs w:val="28"/>
                <w:highlight w:val="none"/>
              </w:rPr>
            </w:pPr>
          </w:p>
        </w:tc>
        <w:tc>
          <w:tcPr>
            <w:tcW w:w="840" w:type="dxa"/>
            <w:noWrap w:val="0"/>
            <w:vAlign w:val="top"/>
          </w:tcPr>
          <w:p w14:paraId="62358758">
            <w:pPr>
              <w:spacing w:line="360" w:lineRule="auto"/>
              <w:jc w:val="center"/>
              <w:rPr>
                <w:rFonts w:ascii="宋体"/>
                <w:color w:val="auto"/>
                <w:sz w:val="28"/>
                <w:szCs w:val="28"/>
                <w:highlight w:val="none"/>
              </w:rPr>
            </w:pPr>
          </w:p>
        </w:tc>
        <w:tc>
          <w:tcPr>
            <w:tcW w:w="735" w:type="dxa"/>
            <w:noWrap w:val="0"/>
            <w:vAlign w:val="top"/>
          </w:tcPr>
          <w:p w14:paraId="48022F23">
            <w:pPr>
              <w:spacing w:line="360" w:lineRule="auto"/>
              <w:jc w:val="center"/>
              <w:rPr>
                <w:rFonts w:ascii="宋体"/>
                <w:color w:val="auto"/>
                <w:sz w:val="28"/>
                <w:szCs w:val="28"/>
                <w:highlight w:val="none"/>
              </w:rPr>
            </w:pPr>
          </w:p>
        </w:tc>
        <w:tc>
          <w:tcPr>
            <w:tcW w:w="945" w:type="dxa"/>
            <w:noWrap w:val="0"/>
            <w:vAlign w:val="top"/>
          </w:tcPr>
          <w:p w14:paraId="41C7F9C9">
            <w:pPr>
              <w:spacing w:line="360" w:lineRule="auto"/>
              <w:jc w:val="center"/>
              <w:rPr>
                <w:rFonts w:ascii="宋体"/>
                <w:color w:val="auto"/>
                <w:sz w:val="28"/>
                <w:szCs w:val="28"/>
                <w:highlight w:val="none"/>
              </w:rPr>
            </w:pPr>
          </w:p>
        </w:tc>
      </w:tr>
      <w:tr w14:paraId="7879E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noWrap w:val="0"/>
            <w:vAlign w:val="top"/>
          </w:tcPr>
          <w:p w14:paraId="1E3E510D">
            <w:pPr>
              <w:spacing w:line="360" w:lineRule="auto"/>
              <w:jc w:val="center"/>
              <w:rPr>
                <w:rFonts w:ascii="宋体"/>
                <w:color w:val="auto"/>
                <w:sz w:val="28"/>
                <w:szCs w:val="28"/>
                <w:highlight w:val="none"/>
              </w:rPr>
            </w:pPr>
          </w:p>
        </w:tc>
        <w:tc>
          <w:tcPr>
            <w:tcW w:w="1155" w:type="dxa"/>
            <w:noWrap w:val="0"/>
            <w:vAlign w:val="top"/>
          </w:tcPr>
          <w:p w14:paraId="74161D6E">
            <w:pPr>
              <w:spacing w:line="360" w:lineRule="auto"/>
              <w:jc w:val="center"/>
              <w:rPr>
                <w:rFonts w:ascii="宋体"/>
                <w:color w:val="auto"/>
                <w:sz w:val="28"/>
                <w:szCs w:val="28"/>
                <w:highlight w:val="none"/>
              </w:rPr>
            </w:pPr>
          </w:p>
        </w:tc>
        <w:tc>
          <w:tcPr>
            <w:tcW w:w="1050" w:type="dxa"/>
            <w:noWrap w:val="0"/>
            <w:vAlign w:val="top"/>
          </w:tcPr>
          <w:p w14:paraId="41E02A74">
            <w:pPr>
              <w:spacing w:line="360" w:lineRule="auto"/>
              <w:jc w:val="center"/>
              <w:rPr>
                <w:rFonts w:ascii="宋体"/>
                <w:color w:val="auto"/>
                <w:sz w:val="28"/>
                <w:szCs w:val="28"/>
                <w:highlight w:val="none"/>
              </w:rPr>
            </w:pPr>
          </w:p>
        </w:tc>
        <w:tc>
          <w:tcPr>
            <w:tcW w:w="630" w:type="dxa"/>
            <w:noWrap w:val="0"/>
            <w:vAlign w:val="top"/>
          </w:tcPr>
          <w:p w14:paraId="3BBCAE26">
            <w:pPr>
              <w:spacing w:line="360" w:lineRule="auto"/>
              <w:jc w:val="center"/>
              <w:rPr>
                <w:rFonts w:ascii="宋体"/>
                <w:color w:val="auto"/>
                <w:sz w:val="28"/>
                <w:szCs w:val="28"/>
                <w:highlight w:val="none"/>
              </w:rPr>
            </w:pPr>
          </w:p>
        </w:tc>
        <w:tc>
          <w:tcPr>
            <w:tcW w:w="525" w:type="dxa"/>
            <w:noWrap w:val="0"/>
            <w:vAlign w:val="top"/>
          </w:tcPr>
          <w:p w14:paraId="2ECF5806">
            <w:pPr>
              <w:spacing w:line="360" w:lineRule="auto"/>
              <w:jc w:val="center"/>
              <w:rPr>
                <w:rFonts w:ascii="宋体"/>
                <w:color w:val="auto"/>
                <w:sz w:val="28"/>
                <w:szCs w:val="28"/>
                <w:highlight w:val="none"/>
              </w:rPr>
            </w:pPr>
          </w:p>
        </w:tc>
        <w:tc>
          <w:tcPr>
            <w:tcW w:w="735" w:type="dxa"/>
            <w:noWrap w:val="0"/>
            <w:vAlign w:val="top"/>
          </w:tcPr>
          <w:p w14:paraId="092657CA">
            <w:pPr>
              <w:spacing w:line="360" w:lineRule="auto"/>
              <w:jc w:val="center"/>
              <w:rPr>
                <w:rFonts w:ascii="宋体"/>
                <w:color w:val="auto"/>
                <w:sz w:val="28"/>
                <w:szCs w:val="28"/>
                <w:highlight w:val="none"/>
              </w:rPr>
            </w:pPr>
          </w:p>
        </w:tc>
        <w:tc>
          <w:tcPr>
            <w:tcW w:w="840" w:type="dxa"/>
            <w:noWrap w:val="0"/>
            <w:vAlign w:val="top"/>
          </w:tcPr>
          <w:p w14:paraId="0A7E3A8C">
            <w:pPr>
              <w:spacing w:line="360" w:lineRule="auto"/>
              <w:jc w:val="center"/>
              <w:rPr>
                <w:rFonts w:ascii="宋体"/>
                <w:color w:val="auto"/>
                <w:sz w:val="28"/>
                <w:szCs w:val="28"/>
                <w:highlight w:val="none"/>
              </w:rPr>
            </w:pPr>
          </w:p>
        </w:tc>
        <w:tc>
          <w:tcPr>
            <w:tcW w:w="840" w:type="dxa"/>
            <w:noWrap w:val="0"/>
            <w:vAlign w:val="top"/>
          </w:tcPr>
          <w:p w14:paraId="51750753">
            <w:pPr>
              <w:spacing w:line="360" w:lineRule="auto"/>
              <w:jc w:val="center"/>
              <w:rPr>
                <w:rFonts w:ascii="宋体"/>
                <w:color w:val="auto"/>
                <w:sz w:val="28"/>
                <w:szCs w:val="28"/>
                <w:highlight w:val="none"/>
              </w:rPr>
            </w:pPr>
          </w:p>
        </w:tc>
        <w:tc>
          <w:tcPr>
            <w:tcW w:w="735" w:type="dxa"/>
            <w:noWrap w:val="0"/>
            <w:vAlign w:val="top"/>
          </w:tcPr>
          <w:p w14:paraId="50189409">
            <w:pPr>
              <w:spacing w:line="360" w:lineRule="auto"/>
              <w:jc w:val="center"/>
              <w:rPr>
                <w:rFonts w:ascii="宋体"/>
                <w:color w:val="auto"/>
                <w:sz w:val="28"/>
                <w:szCs w:val="28"/>
                <w:highlight w:val="none"/>
              </w:rPr>
            </w:pPr>
          </w:p>
        </w:tc>
        <w:tc>
          <w:tcPr>
            <w:tcW w:w="945" w:type="dxa"/>
            <w:noWrap w:val="0"/>
            <w:vAlign w:val="top"/>
          </w:tcPr>
          <w:p w14:paraId="745115A1">
            <w:pPr>
              <w:spacing w:line="360" w:lineRule="auto"/>
              <w:jc w:val="center"/>
              <w:rPr>
                <w:rFonts w:ascii="宋体"/>
                <w:color w:val="auto"/>
                <w:sz w:val="28"/>
                <w:szCs w:val="28"/>
                <w:highlight w:val="none"/>
              </w:rPr>
            </w:pPr>
          </w:p>
        </w:tc>
      </w:tr>
      <w:tr w14:paraId="3F1B4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noWrap w:val="0"/>
            <w:vAlign w:val="top"/>
          </w:tcPr>
          <w:p w14:paraId="07F47552">
            <w:pPr>
              <w:spacing w:line="360" w:lineRule="auto"/>
              <w:jc w:val="center"/>
              <w:rPr>
                <w:rFonts w:ascii="宋体"/>
                <w:color w:val="auto"/>
                <w:sz w:val="28"/>
                <w:szCs w:val="28"/>
                <w:highlight w:val="none"/>
              </w:rPr>
            </w:pPr>
          </w:p>
        </w:tc>
        <w:tc>
          <w:tcPr>
            <w:tcW w:w="1155" w:type="dxa"/>
            <w:noWrap w:val="0"/>
            <w:vAlign w:val="top"/>
          </w:tcPr>
          <w:p w14:paraId="78381073">
            <w:pPr>
              <w:spacing w:line="360" w:lineRule="auto"/>
              <w:jc w:val="center"/>
              <w:rPr>
                <w:rFonts w:ascii="宋体"/>
                <w:color w:val="auto"/>
                <w:sz w:val="28"/>
                <w:szCs w:val="28"/>
                <w:highlight w:val="none"/>
              </w:rPr>
            </w:pPr>
          </w:p>
        </w:tc>
        <w:tc>
          <w:tcPr>
            <w:tcW w:w="1050" w:type="dxa"/>
            <w:noWrap w:val="0"/>
            <w:vAlign w:val="top"/>
          </w:tcPr>
          <w:p w14:paraId="74F43A1F">
            <w:pPr>
              <w:spacing w:line="360" w:lineRule="auto"/>
              <w:jc w:val="center"/>
              <w:rPr>
                <w:rFonts w:ascii="宋体"/>
                <w:color w:val="auto"/>
                <w:sz w:val="28"/>
                <w:szCs w:val="28"/>
                <w:highlight w:val="none"/>
              </w:rPr>
            </w:pPr>
          </w:p>
        </w:tc>
        <w:tc>
          <w:tcPr>
            <w:tcW w:w="630" w:type="dxa"/>
            <w:noWrap w:val="0"/>
            <w:vAlign w:val="top"/>
          </w:tcPr>
          <w:p w14:paraId="4C315091">
            <w:pPr>
              <w:spacing w:line="360" w:lineRule="auto"/>
              <w:jc w:val="center"/>
              <w:rPr>
                <w:rFonts w:ascii="宋体"/>
                <w:color w:val="auto"/>
                <w:sz w:val="28"/>
                <w:szCs w:val="28"/>
                <w:highlight w:val="none"/>
              </w:rPr>
            </w:pPr>
          </w:p>
        </w:tc>
        <w:tc>
          <w:tcPr>
            <w:tcW w:w="525" w:type="dxa"/>
            <w:noWrap w:val="0"/>
            <w:vAlign w:val="top"/>
          </w:tcPr>
          <w:p w14:paraId="1FB222A6">
            <w:pPr>
              <w:spacing w:line="360" w:lineRule="auto"/>
              <w:jc w:val="center"/>
              <w:rPr>
                <w:rFonts w:ascii="宋体"/>
                <w:color w:val="auto"/>
                <w:sz w:val="28"/>
                <w:szCs w:val="28"/>
                <w:highlight w:val="none"/>
              </w:rPr>
            </w:pPr>
          </w:p>
        </w:tc>
        <w:tc>
          <w:tcPr>
            <w:tcW w:w="735" w:type="dxa"/>
            <w:noWrap w:val="0"/>
            <w:vAlign w:val="top"/>
          </w:tcPr>
          <w:p w14:paraId="54AD6D98">
            <w:pPr>
              <w:spacing w:line="360" w:lineRule="auto"/>
              <w:jc w:val="center"/>
              <w:rPr>
                <w:rFonts w:ascii="宋体"/>
                <w:color w:val="auto"/>
                <w:sz w:val="28"/>
                <w:szCs w:val="28"/>
                <w:highlight w:val="none"/>
              </w:rPr>
            </w:pPr>
          </w:p>
        </w:tc>
        <w:tc>
          <w:tcPr>
            <w:tcW w:w="840" w:type="dxa"/>
            <w:noWrap w:val="0"/>
            <w:vAlign w:val="top"/>
          </w:tcPr>
          <w:p w14:paraId="1A2B5F94">
            <w:pPr>
              <w:spacing w:line="360" w:lineRule="auto"/>
              <w:jc w:val="center"/>
              <w:rPr>
                <w:rFonts w:ascii="宋体"/>
                <w:color w:val="auto"/>
                <w:sz w:val="28"/>
                <w:szCs w:val="28"/>
                <w:highlight w:val="none"/>
              </w:rPr>
            </w:pPr>
          </w:p>
        </w:tc>
        <w:tc>
          <w:tcPr>
            <w:tcW w:w="840" w:type="dxa"/>
            <w:noWrap w:val="0"/>
            <w:vAlign w:val="top"/>
          </w:tcPr>
          <w:p w14:paraId="48020F6F">
            <w:pPr>
              <w:spacing w:line="360" w:lineRule="auto"/>
              <w:jc w:val="center"/>
              <w:rPr>
                <w:rFonts w:ascii="宋体"/>
                <w:color w:val="auto"/>
                <w:sz w:val="28"/>
                <w:szCs w:val="28"/>
                <w:highlight w:val="none"/>
              </w:rPr>
            </w:pPr>
          </w:p>
        </w:tc>
        <w:tc>
          <w:tcPr>
            <w:tcW w:w="735" w:type="dxa"/>
            <w:noWrap w:val="0"/>
            <w:vAlign w:val="top"/>
          </w:tcPr>
          <w:p w14:paraId="380974A4">
            <w:pPr>
              <w:spacing w:line="360" w:lineRule="auto"/>
              <w:jc w:val="center"/>
              <w:rPr>
                <w:rFonts w:ascii="宋体"/>
                <w:color w:val="auto"/>
                <w:sz w:val="28"/>
                <w:szCs w:val="28"/>
                <w:highlight w:val="none"/>
              </w:rPr>
            </w:pPr>
          </w:p>
        </w:tc>
        <w:tc>
          <w:tcPr>
            <w:tcW w:w="945" w:type="dxa"/>
            <w:noWrap w:val="0"/>
            <w:vAlign w:val="top"/>
          </w:tcPr>
          <w:p w14:paraId="28FC6A01">
            <w:pPr>
              <w:spacing w:line="360" w:lineRule="auto"/>
              <w:jc w:val="center"/>
              <w:rPr>
                <w:rFonts w:ascii="宋体"/>
                <w:color w:val="auto"/>
                <w:sz w:val="28"/>
                <w:szCs w:val="28"/>
                <w:highlight w:val="none"/>
              </w:rPr>
            </w:pPr>
          </w:p>
        </w:tc>
      </w:tr>
      <w:tr w14:paraId="49438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noWrap w:val="0"/>
            <w:vAlign w:val="top"/>
          </w:tcPr>
          <w:p w14:paraId="3C2CECD6">
            <w:pPr>
              <w:spacing w:line="360" w:lineRule="auto"/>
              <w:jc w:val="center"/>
              <w:rPr>
                <w:rFonts w:ascii="宋体"/>
                <w:color w:val="auto"/>
                <w:sz w:val="28"/>
                <w:szCs w:val="28"/>
                <w:highlight w:val="none"/>
              </w:rPr>
            </w:pPr>
          </w:p>
        </w:tc>
        <w:tc>
          <w:tcPr>
            <w:tcW w:w="1155" w:type="dxa"/>
            <w:noWrap w:val="0"/>
            <w:vAlign w:val="top"/>
          </w:tcPr>
          <w:p w14:paraId="5EE395B4">
            <w:pPr>
              <w:spacing w:line="360" w:lineRule="auto"/>
              <w:jc w:val="center"/>
              <w:rPr>
                <w:rFonts w:ascii="宋体"/>
                <w:color w:val="auto"/>
                <w:sz w:val="28"/>
                <w:szCs w:val="28"/>
                <w:highlight w:val="none"/>
              </w:rPr>
            </w:pPr>
          </w:p>
        </w:tc>
        <w:tc>
          <w:tcPr>
            <w:tcW w:w="1050" w:type="dxa"/>
            <w:noWrap w:val="0"/>
            <w:vAlign w:val="top"/>
          </w:tcPr>
          <w:p w14:paraId="09452436">
            <w:pPr>
              <w:spacing w:line="360" w:lineRule="auto"/>
              <w:jc w:val="center"/>
              <w:rPr>
                <w:rFonts w:ascii="宋体"/>
                <w:color w:val="auto"/>
                <w:sz w:val="28"/>
                <w:szCs w:val="28"/>
                <w:highlight w:val="none"/>
              </w:rPr>
            </w:pPr>
          </w:p>
        </w:tc>
        <w:tc>
          <w:tcPr>
            <w:tcW w:w="630" w:type="dxa"/>
            <w:noWrap w:val="0"/>
            <w:vAlign w:val="top"/>
          </w:tcPr>
          <w:p w14:paraId="7D67130C">
            <w:pPr>
              <w:spacing w:line="360" w:lineRule="auto"/>
              <w:jc w:val="center"/>
              <w:rPr>
                <w:rFonts w:ascii="宋体"/>
                <w:color w:val="auto"/>
                <w:sz w:val="28"/>
                <w:szCs w:val="28"/>
                <w:highlight w:val="none"/>
              </w:rPr>
            </w:pPr>
          </w:p>
        </w:tc>
        <w:tc>
          <w:tcPr>
            <w:tcW w:w="525" w:type="dxa"/>
            <w:noWrap w:val="0"/>
            <w:vAlign w:val="top"/>
          </w:tcPr>
          <w:p w14:paraId="31A7EC6E">
            <w:pPr>
              <w:spacing w:line="360" w:lineRule="auto"/>
              <w:jc w:val="center"/>
              <w:rPr>
                <w:rFonts w:ascii="宋体"/>
                <w:color w:val="auto"/>
                <w:sz w:val="28"/>
                <w:szCs w:val="28"/>
                <w:highlight w:val="none"/>
              </w:rPr>
            </w:pPr>
          </w:p>
        </w:tc>
        <w:tc>
          <w:tcPr>
            <w:tcW w:w="735" w:type="dxa"/>
            <w:noWrap w:val="0"/>
            <w:vAlign w:val="top"/>
          </w:tcPr>
          <w:p w14:paraId="1A1D55D0">
            <w:pPr>
              <w:spacing w:line="360" w:lineRule="auto"/>
              <w:jc w:val="center"/>
              <w:rPr>
                <w:rFonts w:ascii="宋体"/>
                <w:color w:val="auto"/>
                <w:sz w:val="28"/>
                <w:szCs w:val="28"/>
                <w:highlight w:val="none"/>
              </w:rPr>
            </w:pPr>
          </w:p>
        </w:tc>
        <w:tc>
          <w:tcPr>
            <w:tcW w:w="840" w:type="dxa"/>
            <w:noWrap w:val="0"/>
            <w:vAlign w:val="top"/>
          </w:tcPr>
          <w:p w14:paraId="42E38A2F">
            <w:pPr>
              <w:spacing w:line="360" w:lineRule="auto"/>
              <w:jc w:val="center"/>
              <w:rPr>
                <w:rFonts w:ascii="宋体"/>
                <w:color w:val="auto"/>
                <w:sz w:val="28"/>
                <w:szCs w:val="28"/>
                <w:highlight w:val="none"/>
              </w:rPr>
            </w:pPr>
          </w:p>
        </w:tc>
        <w:tc>
          <w:tcPr>
            <w:tcW w:w="840" w:type="dxa"/>
            <w:noWrap w:val="0"/>
            <w:vAlign w:val="top"/>
          </w:tcPr>
          <w:p w14:paraId="1E46B9BE">
            <w:pPr>
              <w:spacing w:line="360" w:lineRule="auto"/>
              <w:jc w:val="center"/>
              <w:rPr>
                <w:rFonts w:ascii="宋体"/>
                <w:color w:val="auto"/>
                <w:sz w:val="28"/>
                <w:szCs w:val="28"/>
                <w:highlight w:val="none"/>
              </w:rPr>
            </w:pPr>
          </w:p>
        </w:tc>
        <w:tc>
          <w:tcPr>
            <w:tcW w:w="735" w:type="dxa"/>
            <w:noWrap w:val="0"/>
            <w:vAlign w:val="top"/>
          </w:tcPr>
          <w:p w14:paraId="0C9840CE">
            <w:pPr>
              <w:spacing w:line="360" w:lineRule="auto"/>
              <w:jc w:val="center"/>
              <w:rPr>
                <w:rFonts w:ascii="宋体"/>
                <w:color w:val="auto"/>
                <w:sz w:val="28"/>
                <w:szCs w:val="28"/>
                <w:highlight w:val="none"/>
              </w:rPr>
            </w:pPr>
          </w:p>
        </w:tc>
        <w:tc>
          <w:tcPr>
            <w:tcW w:w="945" w:type="dxa"/>
            <w:noWrap w:val="0"/>
            <w:vAlign w:val="top"/>
          </w:tcPr>
          <w:p w14:paraId="6C0A96C2">
            <w:pPr>
              <w:spacing w:line="360" w:lineRule="auto"/>
              <w:jc w:val="center"/>
              <w:rPr>
                <w:rFonts w:ascii="宋体"/>
                <w:color w:val="auto"/>
                <w:sz w:val="28"/>
                <w:szCs w:val="28"/>
                <w:highlight w:val="none"/>
              </w:rPr>
            </w:pPr>
          </w:p>
        </w:tc>
      </w:tr>
      <w:tr w14:paraId="22E5F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noWrap w:val="0"/>
            <w:vAlign w:val="top"/>
          </w:tcPr>
          <w:p w14:paraId="57317EA2">
            <w:pPr>
              <w:spacing w:line="360" w:lineRule="auto"/>
              <w:jc w:val="center"/>
              <w:rPr>
                <w:rFonts w:ascii="宋体"/>
                <w:color w:val="auto"/>
                <w:sz w:val="28"/>
                <w:szCs w:val="28"/>
                <w:highlight w:val="none"/>
              </w:rPr>
            </w:pPr>
          </w:p>
        </w:tc>
        <w:tc>
          <w:tcPr>
            <w:tcW w:w="1155" w:type="dxa"/>
            <w:noWrap w:val="0"/>
            <w:vAlign w:val="top"/>
          </w:tcPr>
          <w:p w14:paraId="154615C7">
            <w:pPr>
              <w:spacing w:line="360" w:lineRule="auto"/>
              <w:jc w:val="center"/>
              <w:rPr>
                <w:rFonts w:ascii="宋体"/>
                <w:color w:val="auto"/>
                <w:sz w:val="28"/>
                <w:szCs w:val="28"/>
                <w:highlight w:val="none"/>
              </w:rPr>
            </w:pPr>
          </w:p>
        </w:tc>
        <w:tc>
          <w:tcPr>
            <w:tcW w:w="1050" w:type="dxa"/>
            <w:noWrap w:val="0"/>
            <w:vAlign w:val="top"/>
          </w:tcPr>
          <w:p w14:paraId="20DA141E">
            <w:pPr>
              <w:spacing w:line="360" w:lineRule="auto"/>
              <w:jc w:val="center"/>
              <w:rPr>
                <w:rFonts w:ascii="宋体"/>
                <w:color w:val="auto"/>
                <w:sz w:val="28"/>
                <w:szCs w:val="28"/>
                <w:highlight w:val="none"/>
              </w:rPr>
            </w:pPr>
          </w:p>
        </w:tc>
        <w:tc>
          <w:tcPr>
            <w:tcW w:w="630" w:type="dxa"/>
            <w:noWrap w:val="0"/>
            <w:vAlign w:val="top"/>
          </w:tcPr>
          <w:p w14:paraId="15C38482">
            <w:pPr>
              <w:spacing w:line="360" w:lineRule="auto"/>
              <w:jc w:val="center"/>
              <w:rPr>
                <w:rFonts w:ascii="宋体"/>
                <w:color w:val="auto"/>
                <w:sz w:val="28"/>
                <w:szCs w:val="28"/>
                <w:highlight w:val="none"/>
              </w:rPr>
            </w:pPr>
          </w:p>
        </w:tc>
        <w:tc>
          <w:tcPr>
            <w:tcW w:w="525" w:type="dxa"/>
            <w:noWrap w:val="0"/>
            <w:vAlign w:val="top"/>
          </w:tcPr>
          <w:p w14:paraId="450C763A">
            <w:pPr>
              <w:spacing w:line="360" w:lineRule="auto"/>
              <w:jc w:val="center"/>
              <w:rPr>
                <w:rFonts w:ascii="宋体"/>
                <w:color w:val="auto"/>
                <w:sz w:val="28"/>
                <w:szCs w:val="28"/>
                <w:highlight w:val="none"/>
              </w:rPr>
            </w:pPr>
          </w:p>
        </w:tc>
        <w:tc>
          <w:tcPr>
            <w:tcW w:w="735" w:type="dxa"/>
            <w:noWrap w:val="0"/>
            <w:vAlign w:val="top"/>
          </w:tcPr>
          <w:p w14:paraId="4FA1A0E8">
            <w:pPr>
              <w:spacing w:line="360" w:lineRule="auto"/>
              <w:jc w:val="center"/>
              <w:rPr>
                <w:rFonts w:ascii="宋体"/>
                <w:color w:val="auto"/>
                <w:sz w:val="28"/>
                <w:szCs w:val="28"/>
                <w:highlight w:val="none"/>
              </w:rPr>
            </w:pPr>
          </w:p>
        </w:tc>
        <w:tc>
          <w:tcPr>
            <w:tcW w:w="840" w:type="dxa"/>
            <w:noWrap w:val="0"/>
            <w:vAlign w:val="top"/>
          </w:tcPr>
          <w:p w14:paraId="7E3571B6">
            <w:pPr>
              <w:spacing w:line="360" w:lineRule="auto"/>
              <w:jc w:val="center"/>
              <w:rPr>
                <w:rFonts w:ascii="宋体"/>
                <w:color w:val="auto"/>
                <w:sz w:val="28"/>
                <w:szCs w:val="28"/>
                <w:highlight w:val="none"/>
              </w:rPr>
            </w:pPr>
          </w:p>
        </w:tc>
        <w:tc>
          <w:tcPr>
            <w:tcW w:w="840" w:type="dxa"/>
            <w:noWrap w:val="0"/>
            <w:vAlign w:val="top"/>
          </w:tcPr>
          <w:p w14:paraId="24D099DD">
            <w:pPr>
              <w:spacing w:line="360" w:lineRule="auto"/>
              <w:jc w:val="center"/>
              <w:rPr>
                <w:rFonts w:ascii="宋体"/>
                <w:color w:val="auto"/>
                <w:sz w:val="28"/>
                <w:szCs w:val="28"/>
                <w:highlight w:val="none"/>
              </w:rPr>
            </w:pPr>
          </w:p>
        </w:tc>
        <w:tc>
          <w:tcPr>
            <w:tcW w:w="735" w:type="dxa"/>
            <w:noWrap w:val="0"/>
            <w:vAlign w:val="top"/>
          </w:tcPr>
          <w:p w14:paraId="7A84BB0B">
            <w:pPr>
              <w:spacing w:line="360" w:lineRule="auto"/>
              <w:jc w:val="center"/>
              <w:rPr>
                <w:rFonts w:ascii="宋体"/>
                <w:color w:val="auto"/>
                <w:sz w:val="28"/>
                <w:szCs w:val="28"/>
                <w:highlight w:val="none"/>
              </w:rPr>
            </w:pPr>
          </w:p>
        </w:tc>
        <w:tc>
          <w:tcPr>
            <w:tcW w:w="945" w:type="dxa"/>
            <w:noWrap w:val="0"/>
            <w:vAlign w:val="top"/>
          </w:tcPr>
          <w:p w14:paraId="02BC736D">
            <w:pPr>
              <w:spacing w:line="360" w:lineRule="auto"/>
              <w:jc w:val="center"/>
              <w:rPr>
                <w:rFonts w:ascii="宋体"/>
                <w:color w:val="auto"/>
                <w:sz w:val="28"/>
                <w:szCs w:val="28"/>
                <w:highlight w:val="none"/>
              </w:rPr>
            </w:pPr>
          </w:p>
        </w:tc>
      </w:tr>
      <w:tr w14:paraId="5CDE6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noWrap w:val="0"/>
            <w:vAlign w:val="top"/>
          </w:tcPr>
          <w:p w14:paraId="2E28BE46">
            <w:pPr>
              <w:spacing w:line="360" w:lineRule="auto"/>
              <w:jc w:val="center"/>
              <w:rPr>
                <w:rFonts w:ascii="宋体"/>
                <w:color w:val="auto"/>
                <w:sz w:val="28"/>
                <w:szCs w:val="28"/>
                <w:highlight w:val="none"/>
              </w:rPr>
            </w:pPr>
          </w:p>
        </w:tc>
        <w:tc>
          <w:tcPr>
            <w:tcW w:w="1155" w:type="dxa"/>
            <w:noWrap w:val="0"/>
            <w:vAlign w:val="top"/>
          </w:tcPr>
          <w:p w14:paraId="1CD0F00D">
            <w:pPr>
              <w:spacing w:line="360" w:lineRule="auto"/>
              <w:jc w:val="center"/>
              <w:rPr>
                <w:rFonts w:ascii="宋体"/>
                <w:color w:val="auto"/>
                <w:sz w:val="28"/>
                <w:szCs w:val="28"/>
                <w:highlight w:val="none"/>
              </w:rPr>
            </w:pPr>
          </w:p>
        </w:tc>
        <w:tc>
          <w:tcPr>
            <w:tcW w:w="1050" w:type="dxa"/>
            <w:noWrap w:val="0"/>
            <w:vAlign w:val="top"/>
          </w:tcPr>
          <w:p w14:paraId="6E553207">
            <w:pPr>
              <w:spacing w:line="360" w:lineRule="auto"/>
              <w:jc w:val="center"/>
              <w:rPr>
                <w:rFonts w:ascii="宋体"/>
                <w:color w:val="auto"/>
                <w:sz w:val="28"/>
                <w:szCs w:val="28"/>
                <w:highlight w:val="none"/>
              </w:rPr>
            </w:pPr>
          </w:p>
        </w:tc>
        <w:tc>
          <w:tcPr>
            <w:tcW w:w="630" w:type="dxa"/>
            <w:noWrap w:val="0"/>
            <w:vAlign w:val="top"/>
          </w:tcPr>
          <w:p w14:paraId="466F3F46">
            <w:pPr>
              <w:spacing w:line="360" w:lineRule="auto"/>
              <w:jc w:val="center"/>
              <w:rPr>
                <w:rFonts w:ascii="宋体"/>
                <w:color w:val="auto"/>
                <w:sz w:val="28"/>
                <w:szCs w:val="28"/>
                <w:highlight w:val="none"/>
              </w:rPr>
            </w:pPr>
          </w:p>
        </w:tc>
        <w:tc>
          <w:tcPr>
            <w:tcW w:w="525" w:type="dxa"/>
            <w:noWrap w:val="0"/>
            <w:vAlign w:val="top"/>
          </w:tcPr>
          <w:p w14:paraId="44153671">
            <w:pPr>
              <w:spacing w:line="360" w:lineRule="auto"/>
              <w:jc w:val="center"/>
              <w:rPr>
                <w:rFonts w:ascii="宋体"/>
                <w:color w:val="auto"/>
                <w:sz w:val="28"/>
                <w:szCs w:val="28"/>
                <w:highlight w:val="none"/>
              </w:rPr>
            </w:pPr>
          </w:p>
        </w:tc>
        <w:tc>
          <w:tcPr>
            <w:tcW w:w="735" w:type="dxa"/>
            <w:noWrap w:val="0"/>
            <w:vAlign w:val="top"/>
          </w:tcPr>
          <w:p w14:paraId="226ADE29">
            <w:pPr>
              <w:spacing w:line="360" w:lineRule="auto"/>
              <w:jc w:val="center"/>
              <w:rPr>
                <w:rFonts w:ascii="宋体"/>
                <w:color w:val="auto"/>
                <w:sz w:val="28"/>
                <w:szCs w:val="28"/>
                <w:highlight w:val="none"/>
              </w:rPr>
            </w:pPr>
          </w:p>
        </w:tc>
        <w:tc>
          <w:tcPr>
            <w:tcW w:w="840" w:type="dxa"/>
            <w:noWrap w:val="0"/>
            <w:vAlign w:val="top"/>
          </w:tcPr>
          <w:p w14:paraId="28C78886">
            <w:pPr>
              <w:spacing w:line="360" w:lineRule="auto"/>
              <w:jc w:val="center"/>
              <w:rPr>
                <w:rFonts w:ascii="宋体"/>
                <w:color w:val="auto"/>
                <w:sz w:val="28"/>
                <w:szCs w:val="28"/>
                <w:highlight w:val="none"/>
              </w:rPr>
            </w:pPr>
          </w:p>
        </w:tc>
        <w:tc>
          <w:tcPr>
            <w:tcW w:w="840" w:type="dxa"/>
            <w:noWrap w:val="0"/>
            <w:vAlign w:val="top"/>
          </w:tcPr>
          <w:p w14:paraId="3D636F91">
            <w:pPr>
              <w:spacing w:line="360" w:lineRule="auto"/>
              <w:jc w:val="center"/>
              <w:rPr>
                <w:rFonts w:ascii="宋体"/>
                <w:color w:val="auto"/>
                <w:sz w:val="28"/>
                <w:szCs w:val="28"/>
                <w:highlight w:val="none"/>
              </w:rPr>
            </w:pPr>
          </w:p>
        </w:tc>
        <w:tc>
          <w:tcPr>
            <w:tcW w:w="735" w:type="dxa"/>
            <w:noWrap w:val="0"/>
            <w:vAlign w:val="top"/>
          </w:tcPr>
          <w:p w14:paraId="3DB12D1D">
            <w:pPr>
              <w:spacing w:line="360" w:lineRule="auto"/>
              <w:jc w:val="center"/>
              <w:rPr>
                <w:rFonts w:ascii="宋体"/>
                <w:color w:val="auto"/>
                <w:sz w:val="28"/>
                <w:szCs w:val="28"/>
                <w:highlight w:val="none"/>
              </w:rPr>
            </w:pPr>
          </w:p>
        </w:tc>
        <w:tc>
          <w:tcPr>
            <w:tcW w:w="945" w:type="dxa"/>
            <w:noWrap w:val="0"/>
            <w:vAlign w:val="top"/>
          </w:tcPr>
          <w:p w14:paraId="1CDDC4AE">
            <w:pPr>
              <w:spacing w:line="360" w:lineRule="auto"/>
              <w:jc w:val="center"/>
              <w:rPr>
                <w:rFonts w:ascii="宋体"/>
                <w:color w:val="auto"/>
                <w:sz w:val="28"/>
                <w:szCs w:val="28"/>
                <w:highlight w:val="none"/>
              </w:rPr>
            </w:pPr>
          </w:p>
        </w:tc>
      </w:tr>
      <w:tr w14:paraId="09757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noWrap w:val="0"/>
            <w:vAlign w:val="top"/>
          </w:tcPr>
          <w:p w14:paraId="20D9C2DB">
            <w:pPr>
              <w:spacing w:line="360" w:lineRule="auto"/>
              <w:jc w:val="center"/>
              <w:rPr>
                <w:rFonts w:ascii="宋体"/>
                <w:color w:val="auto"/>
                <w:sz w:val="28"/>
                <w:szCs w:val="28"/>
                <w:highlight w:val="none"/>
              </w:rPr>
            </w:pPr>
          </w:p>
        </w:tc>
        <w:tc>
          <w:tcPr>
            <w:tcW w:w="1155" w:type="dxa"/>
            <w:noWrap w:val="0"/>
            <w:vAlign w:val="top"/>
          </w:tcPr>
          <w:p w14:paraId="6A5D3CB2">
            <w:pPr>
              <w:spacing w:line="360" w:lineRule="auto"/>
              <w:jc w:val="center"/>
              <w:rPr>
                <w:rFonts w:ascii="宋体"/>
                <w:color w:val="auto"/>
                <w:sz w:val="28"/>
                <w:szCs w:val="28"/>
                <w:highlight w:val="none"/>
              </w:rPr>
            </w:pPr>
          </w:p>
        </w:tc>
        <w:tc>
          <w:tcPr>
            <w:tcW w:w="1050" w:type="dxa"/>
            <w:noWrap w:val="0"/>
            <w:vAlign w:val="top"/>
          </w:tcPr>
          <w:p w14:paraId="6ECE4919">
            <w:pPr>
              <w:spacing w:line="360" w:lineRule="auto"/>
              <w:jc w:val="center"/>
              <w:rPr>
                <w:rFonts w:ascii="宋体"/>
                <w:color w:val="auto"/>
                <w:sz w:val="28"/>
                <w:szCs w:val="28"/>
                <w:highlight w:val="none"/>
              </w:rPr>
            </w:pPr>
          </w:p>
        </w:tc>
        <w:tc>
          <w:tcPr>
            <w:tcW w:w="630" w:type="dxa"/>
            <w:noWrap w:val="0"/>
            <w:vAlign w:val="top"/>
          </w:tcPr>
          <w:p w14:paraId="706B26F6">
            <w:pPr>
              <w:spacing w:line="360" w:lineRule="auto"/>
              <w:jc w:val="center"/>
              <w:rPr>
                <w:rFonts w:ascii="宋体"/>
                <w:color w:val="auto"/>
                <w:sz w:val="28"/>
                <w:szCs w:val="28"/>
                <w:highlight w:val="none"/>
              </w:rPr>
            </w:pPr>
          </w:p>
        </w:tc>
        <w:tc>
          <w:tcPr>
            <w:tcW w:w="525" w:type="dxa"/>
            <w:noWrap w:val="0"/>
            <w:vAlign w:val="top"/>
          </w:tcPr>
          <w:p w14:paraId="61A3F9F4">
            <w:pPr>
              <w:spacing w:line="360" w:lineRule="auto"/>
              <w:jc w:val="center"/>
              <w:rPr>
                <w:rFonts w:ascii="宋体"/>
                <w:color w:val="auto"/>
                <w:sz w:val="28"/>
                <w:szCs w:val="28"/>
                <w:highlight w:val="none"/>
              </w:rPr>
            </w:pPr>
          </w:p>
        </w:tc>
        <w:tc>
          <w:tcPr>
            <w:tcW w:w="735" w:type="dxa"/>
            <w:noWrap w:val="0"/>
            <w:vAlign w:val="top"/>
          </w:tcPr>
          <w:p w14:paraId="3D7C5905">
            <w:pPr>
              <w:spacing w:line="360" w:lineRule="auto"/>
              <w:jc w:val="center"/>
              <w:rPr>
                <w:rFonts w:ascii="宋体"/>
                <w:color w:val="auto"/>
                <w:sz w:val="28"/>
                <w:szCs w:val="28"/>
                <w:highlight w:val="none"/>
              </w:rPr>
            </w:pPr>
          </w:p>
        </w:tc>
        <w:tc>
          <w:tcPr>
            <w:tcW w:w="840" w:type="dxa"/>
            <w:noWrap w:val="0"/>
            <w:vAlign w:val="top"/>
          </w:tcPr>
          <w:p w14:paraId="5041B29D">
            <w:pPr>
              <w:spacing w:line="360" w:lineRule="auto"/>
              <w:jc w:val="center"/>
              <w:rPr>
                <w:rFonts w:ascii="宋体"/>
                <w:color w:val="auto"/>
                <w:sz w:val="28"/>
                <w:szCs w:val="28"/>
                <w:highlight w:val="none"/>
              </w:rPr>
            </w:pPr>
          </w:p>
        </w:tc>
        <w:tc>
          <w:tcPr>
            <w:tcW w:w="840" w:type="dxa"/>
            <w:noWrap w:val="0"/>
            <w:vAlign w:val="top"/>
          </w:tcPr>
          <w:p w14:paraId="4511030B">
            <w:pPr>
              <w:spacing w:line="360" w:lineRule="auto"/>
              <w:jc w:val="center"/>
              <w:rPr>
                <w:rFonts w:ascii="宋体"/>
                <w:color w:val="auto"/>
                <w:sz w:val="28"/>
                <w:szCs w:val="28"/>
                <w:highlight w:val="none"/>
              </w:rPr>
            </w:pPr>
          </w:p>
        </w:tc>
        <w:tc>
          <w:tcPr>
            <w:tcW w:w="735" w:type="dxa"/>
            <w:noWrap w:val="0"/>
            <w:vAlign w:val="top"/>
          </w:tcPr>
          <w:p w14:paraId="244D915D">
            <w:pPr>
              <w:spacing w:line="360" w:lineRule="auto"/>
              <w:jc w:val="center"/>
              <w:rPr>
                <w:rFonts w:ascii="宋体"/>
                <w:color w:val="auto"/>
                <w:sz w:val="28"/>
                <w:szCs w:val="28"/>
                <w:highlight w:val="none"/>
              </w:rPr>
            </w:pPr>
          </w:p>
        </w:tc>
        <w:tc>
          <w:tcPr>
            <w:tcW w:w="945" w:type="dxa"/>
            <w:noWrap w:val="0"/>
            <w:vAlign w:val="top"/>
          </w:tcPr>
          <w:p w14:paraId="7BAB57ED">
            <w:pPr>
              <w:spacing w:line="360" w:lineRule="auto"/>
              <w:jc w:val="center"/>
              <w:rPr>
                <w:rFonts w:ascii="宋体"/>
                <w:color w:val="auto"/>
                <w:sz w:val="28"/>
                <w:szCs w:val="28"/>
                <w:highlight w:val="none"/>
              </w:rPr>
            </w:pPr>
          </w:p>
        </w:tc>
      </w:tr>
      <w:tr w14:paraId="701D6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noWrap w:val="0"/>
            <w:vAlign w:val="top"/>
          </w:tcPr>
          <w:p w14:paraId="325227E9">
            <w:pPr>
              <w:spacing w:line="360" w:lineRule="auto"/>
              <w:jc w:val="center"/>
              <w:rPr>
                <w:rFonts w:ascii="宋体"/>
                <w:color w:val="auto"/>
                <w:sz w:val="28"/>
                <w:szCs w:val="28"/>
                <w:highlight w:val="none"/>
              </w:rPr>
            </w:pPr>
          </w:p>
        </w:tc>
        <w:tc>
          <w:tcPr>
            <w:tcW w:w="1155" w:type="dxa"/>
            <w:noWrap w:val="0"/>
            <w:vAlign w:val="top"/>
          </w:tcPr>
          <w:p w14:paraId="6C34F9B3">
            <w:pPr>
              <w:spacing w:line="360" w:lineRule="auto"/>
              <w:jc w:val="center"/>
              <w:rPr>
                <w:rFonts w:ascii="宋体"/>
                <w:color w:val="auto"/>
                <w:sz w:val="28"/>
                <w:szCs w:val="28"/>
                <w:highlight w:val="none"/>
              </w:rPr>
            </w:pPr>
          </w:p>
        </w:tc>
        <w:tc>
          <w:tcPr>
            <w:tcW w:w="1050" w:type="dxa"/>
            <w:noWrap w:val="0"/>
            <w:vAlign w:val="top"/>
          </w:tcPr>
          <w:p w14:paraId="219DDF85">
            <w:pPr>
              <w:spacing w:line="360" w:lineRule="auto"/>
              <w:jc w:val="center"/>
              <w:rPr>
                <w:rFonts w:ascii="宋体"/>
                <w:color w:val="auto"/>
                <w:sz w:val="28"/>
                <w:szCs w:val="28"/>
                <w:highlight w:val="none"/>
              </w:rPr>
            </w:pPr>
          </w:p>
        </w:tc>
        <w:tc>
          <w:tcPr>
            <w:tcW w:w="630" w:type="dxa"/>
            <w:noWrap w:val="0"/>
            <w:vAlign w:val="top"/>
          </w:tcPr>
          <w:p w14:paraId="5A5C4663">
            <w:pPr>
              <w:spacing w:line="360" w:lineRule="auto"/>
              <w:jc w:val="center"/>
              <w:rPr>
                <w:rFonts w:ascii="宋体"/>
                <w:color w:val="auto"/>
                <w:sz w:val="28"/>
                <w:szCs w:val="28"/>
                <w:highlight w:val="none"/>
              </w:rPr>
            </w:pPr>
          </w:p>
        </w:tc>
        <w:tc>
          <w:tcPr>
            <w:tcW w:w="525" w:type="dxa"/>
            <w:noWrap w:val="0"/>
            <w:vAlign w:val="top"/>
          </w:tcPr>
          <w:p w14:paraId="10C7B189">
            <w:pPr>
              <w:spacing w:line="360" w:lineRule="auto"/>
              <w:jc w:val="center"/>
              <w:rPr>
                <w:rFonts w:ascii="宋体"/>
                <w:color w:val="auto"/>
                <w:sz w:val="28"/>
                <w:szCs w:val="28"/>
                <w:highlight w:val="none"/>
              </w:rPr>
            </w:pPr>
          </w:p>
        </w:tc>
        <w:tc>
          <w:tcPr>
            <w:tcW w:w="735" w:type="dxa"/>
            <w:noWrap w:val="0"/>
            <w:vAlign w:val="top"/>
          </w:tcPr>
          <w:p w14:paraId="4D3FC09E">
            <w:pPr>
              <w:spacing w:line="360" w:lineRule="auto"/>
              <w:jc w:val="center"/>
              <w:rPr>
                <w:rFonts w:ascii="宋体"/>
                <w:color w:val="auto"/>
                <w:sz w:val="28"/>
                <w:szCs w:val="28"/>
                <w:highlight w:val="none"/>
              </w:rPr>
            </w:pPr>
          </w:p>
        </w:tc>
        <w:tc>
          <w:tcPr>
            <w:tcW w:w="840" w:type="dxa"/>
            <w:noWrap w:val="0"/>
            <w:vAlign w:val="top"/>
          </w:tcPr>
          <w:p w14:paraId="1FA32B13">
            <w:pPr>
              <w:spacing w:line="360" w:lineRule="auto"/>
              <w:jc w:val="center"/>
              <w:rPr>
                <w:rFonts w:ascii="宋体"/>
                <w:color w:val="auto"/>
                <w:sz w:val="28"/>
                <w:szCs w:val="28"/>
                <w:highlight w:val="none"/>
              </w:rPr>
            </w:pPr>
          </w:p>
        </w:tc>
        <w:tc>
          <w:tcPr>
            <w:tcW w:w="840" w:type="dxa"/>
            <w:noWrap w:val="0"/>
            <w:vAlign w:val="top"/>
          </w:tcPr>
          <w:p w14:paraId="260E9EC8">
            <w:pPr>
              <w:spacing w:line="360" w:lineRule="auto"/>
              <w:jc w:val="center"/>
              <w:rPr>
                <w:rFonts w:ascii="宋体"/>
                <w:color w:val="auto"/>
                <w:sz w:val="28"/>
                <w:szCs w:val="28"/>
                <w:highlight w:val="none"/>
              </w:rPr>
            </w:pPr>
          </w:p>
        </w:tc>
        <w:tc>
          <w:tcPr>
            <w:tcW w:w="735" w:type="dxa"/>
            <w:noWrap w:val="0"/>
            <w:vAlign w:val="top"/>
          </w:tcPr>
          <w:p w14:paraId="6866C409">
            <w:pPr>
              <w:spacing w:line="360" w:lineRule="auto"/>
              <w:jc w:val="center"/>
              <w:rPr>
                <w:rFonts w:ascii="宋体"/>
                <w:color w:val="auto"/>
                <w:sz w:val="28"/>
                <w:szCs w:val="28"/>
                <w:highlight w:val="none"/>
              </w:rPr>
            </w:pPr>
          </w:p>
        </w:tc>
        <w:tc>
          <w:tcPr>
            <w:tcW w:w="945" w:type="dxa"/>
            <w:noWrap w:val="0"/>
            <w:vAlign w:val="top"/>
          </w:tcPr>
          <w:p w14:paraId="00FAD714">
            <w:pPr>
              <w:spacing w:line="360" w:lineRule="auto"/>
              <w:jc w:val="center"/>
              <w:rPr>
                <w:rFonts w:ascii="宋体"/>
                <w:color w:val="auto"/>
                <w:sz w:val="28"/>
                <w:szCs w:val="28"/>
                <w:highlight w:val="none"/>
              </w:rPr>
            </w:pPr>
          </w:p>
        </w:tc>
      </w:tr>
    </w:tbl>
    <w:p w14:paraId="659B359E">
      <w:pPr>
        <w:pStyle w:val="36"/>
        <w:spacing w:before="120" w:after="120"/>
        <w:outlineLvl w:val="1"/>
        <w:rPr>
          <w:color w:val="auto"/>
          <w:highlight w:val="none"/>
        </w:rPr>
      </w:pPr>
      <w:r>
        <w:rPr>
          <w:rFonts w:cs="Arial"/>
          <w:color w:val="auto"/>
          <w:highlight w:val="none"/>
        </w:rPr>
        <w:br w:type="page"/>
      </w:r>
      <w:bookmarkStart w:id="2086" w:name="_Toc480303475"/>
      <w:bookmarkStart w:id="2087" w:name="_Toc485323230"/>
      <w:bookmarkStart w:id="2088" w:name="_Toc4550"/>
      <w:bookmarkStart w:id="2089" w:name="_Toc489280262"/>
      <w:bookmarkStart w:id="2090" w:name="_Toc497456964"/>
      <w:bookmarkStart w:id="2091" w:name="_Toc477964604"/>
      <w:bookmarkStart w:id="2092" w:name="_Toc486580456"/>
      <w:r>
        <w:rPr>
          <w:rFonts w:hint="eastAsia"/>
          <w:color w:val="auto"/>
          <w:highlight w:val="none"/>
        </w:rPr>
        <w:t>附件四：发包人提供的材料和工程设备一览表</w:t>
      </w:r>
      <w:bookmarkEnd w:id="2086"/>
      <w:bookmarkEnd w:id="2087"/>
      <w:bookmarkEnd w:id="2088"/>
      <w:bookmarkEnd w:id="2089"/>
      <w:bookmarkEnd w:id="2090"/>
      <w:bookmarkEnd w:id="2091"/>
      <w:bookmarkEnd w:id="2092"/>
    </w:p>
    <w:p w14:paraId="7E81B154">
      <w:pPr>
        <w:spacing w:line="360" w:lineRule="auto"/>
        <w:jc w:val="center"/>
        <w:rPr>
          <w:rFonts w:ascii="宋体"/>
          <w:b/>
          <w:color w:val="auto"/>
          <w:sz w:val="28"/>
          <w:highlight w:val="none"/>
        </w:rPr>
      </w:pPr>
      <w:r>
        <w:rPr>
          <w:rFonts w:hint="eastAsia" w:ascii="宋体" w:hAnsi="宋体"/>
          <w:b/>
          <w:color w:val="auto"/>
          <w:sz w:val="28"/>
          <w:highlight w:val="none"/>
        </w:rPr>
        <w:t>发包人提供的材料和工程设备一览表</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0"/>
        <w:gridCol w:w="1155"/>
        <w:gridCol w:w="1050"/>
        <w:gridCol w:w="630"/>
        <w:gridCol w:w="525"/>
        <w:gridCol w:w="735"/>
        <w:gridCol w:w="840"/>
        <w:gridCol w:w="840"/>
        <w:gridCol w:w="735"/>
        <w:gridCol w:w="945"/>
      </w:tblGrid>
      <w:tr w14:paraId="44D65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5" w:hRule="atLeast"/>
          <w:jc w:val="center"/>
        </w:trPr>
        <w:tc>
          <w:tcPr>
            <w:tcW w:w="480" w:type="dxa"/>
            <w:noWrap w:val="0"/>
            <w:vAlign w:val="center"/>
          </w:tcPr>
          <w:p w14:paraId="0CD89FB6">
            <w:pPr>
              <w:spacing w:line="360" w:lineRule="auto"/>
              <w:jc w:val="center"/>
              <w:rPr>
                <w:rFonts w:ascii="宋体"/>
                <w:color w:val="auto"/>
                <w:highlight w:val="none"/>
              </w:rPr>
            </w:pPr>
            <w:r>
              <w:rPr>
                <w:rFonts w:hint="eastAsia" w:ascii="宋体" w:hAnsi="宋体"/>
                <w:color w:val="auto"/>
                <w:highlight w:val="none"/>
              </w:rPr>
              <w:t>序</w:t>
            </w:r>
          </w:p>
          <w:p w14:paraId="2641FFDF">
            <w:pPr>
              <w:spacing w:line="360" w:lineRule="auto"/>
              <w:jc w:val="center"/>
              <w:rPr>
                <w:rFonts w:ascii="宋体"/>
                <w:color w:val="auto"/>
                <w:highlight w:val="none"/>
              </w:rPr>
            </w:pPr>
            <w:r>
              <w:rPr>
                <w:rFonts w:hint="eastAsia" w:ascii="宋体" w:hAnsi="宋体"/>
                <w:color w:val="auto"/>
                <w:highlight w:val="none"/>
              </w:rPr>
              <w:t>号</w:t>
            </w:r>
          </w:p>
        </w:tc>
        <w:tc>
          <w:tcPr>
            <w:tcW w:w="1155" w:type="dxa"/>
            <w:noWrap w:val="0"/>
            <w:vAlign w:val="center"/>
          </w:tcPr>
          <w:p w14:paraId="6AFC1C94">
            <w:pPr>
              <w:spacing w:line="360" w:lineRule="auto"/>
              <w:jc w:val="center"/>
              <w:rPr>
                <w:rFonts w:ascii="宋体"/>
                <w:color w:val="auto"/>
                <w:highlight w:val="none"/>
              </w:rPr>
            </w:pPr>
            <w:r>
              <w:rPr>
                <w:rFonts w:hint="eastAsia" w:ascii="宋体" w:hAnsi="宋体"/>
                <w:color w:val="auto"/>
                <w:highlight w:val="none"/>
              </w:rPr>
              <w:t>材料设备</w:t>
            </w:r>
          </w:p>
          <w:p w14:paraId="4905C570">
            <w:pPr>
              <w:spacing w:line="360" w:lineRule="auto"/>
              <w:jc w:val="center"/>
              <w:rPr>
                <w:rFonts w:ascii="宋体"/>
                <w:color w:val="auto"/>
                <w:highlight w:val="none"/>
              </w:rPr>
            </w:pPr>
            <w:r>
              <w:rPr>
                <w:rFonts w:hint="eastAsia" w:ascii="宋体" w:hAnsi="宋体"/>
                <w:color w:val="auto"/>
                <w:highlight w:val="none"/>
              </w:rPr>
              <w:t>名</w:t>
            </w:r>
            <w:r>
              <w:rPr>
                <w:rFonts w:ascii="宋体" w:hAnsi="宋体"/>
                <w:color w:val="auto"/>
                <w:highlight w:val="none"/>
              </w:rPr>
              <w:t xml:space="preserve">    </w:t>
            </w:r>
            <w:r>
              <w:rPr>
                <w:rFonts w:hint="eastAsia" w:ascii="宋体" w:hAnsi="宋体"/>
                <w:color w:val="auto"/>
                <w:highlight w:val="none"/>
              </w:rPr>
              <w:t>称</w:t>
            </w:r>
          </w:p>
        </w:tc>
        <w:tc>
          <w:tcPr>
            <w:tcW w:w="1050" w:type="dxa"/>
            <w:noWrap w:val="0"/>
            <w:vAlign w:val="center"/>
          </w:tcPr>
          <w:p w14:paraId="37619811">
            <w:pPr>
              <w:spacing w:line="360" w:lineRule="auto"/>
              <w:jc w:val="center"/>
              <w:rPr>
                <w:rFonts w:ascii="宋体"/>
                <w:color w:val="auto"/>
                <w:highlight w:val="none"/>
              </w:rPr>
            </w:pPr>
            <w:r>
              <w:rPr>
                <w:rFonts w:hint="eastAsia" w:ascii="宋体" w:hAnsi="宋体"/>
                <w:color w:val="auto"/>
                <w:highlight w:val="none"/>
              </w:rPr>
              <w:t>规格</w:t>
            </w:r>
          </w:p>
          <w:p w14:paraId="5A1AEF7F">
            <w:pPr>
              <w:spacing w:line="360" w:lineRule="auto"/>
              <w:jc w:val="center"/>
              <w:rPr>
                <w:rFonts w:ascii="宋体"/>
                <w:color w:val="auto"/>
                <w:highlight w:val="none"/>
              </w:rPr>
            </w:pPr>
            <w:r>
              <w:rPr>
                <w:rFonts w:hint="eastAsia" w:ascii="宋体" w:hAnsi="宋体"/>
                <w:color w:val="auto"/>
                <w:highlight w:val="none"/>
              </w:rPr>
              <w:t>型号</w:t>
            </w:r>
          </w:p>
        </w:tc>
        <w:tc>
          <w:tcPr>
            <w:tcW w:w="630" w:type="dxa"/>
            <w:noWrap w:val="0"/>
            <w:vAlign w:val="center"/>
          </w:tcPr>
          <w:p w14:paraId="396A2C99">
            <w:pPr>
              <w:spacing w:line="360" w:lineRule="auto"/>
              <w:jc w:val="center"/>
              <w:rPr>
                <w:rFonts w:ascii="宋体"/>
                <w:color w:val="auto"/>
                <w:highlight w:val="none"/>
              </w:rPr>
            </w:pPr>
            <w:r>
              <w:rPr>
                <w:rFonts w:hint="eastAsia" w:ascii="宋体" w:hAnsi="宋体"/>
                <w:color w:val="auto"/>
                <w:highlight w:val="none"/>
              </w:rPr>
              <w:t>单</w:t>
            </w:r>
          </w:p>
          <w:p w14:paraId="47986282">
            <w:pPr>
              <w:spacing w:line="360" w:lineRule="auto"/>
              <w:jc w:val="center"/>
              <w:rPr>
                <w:rFonts w:ascii="宋体"/>
                <w:color w:val="auto"/>
                <w:highlight w:val="none"/>
              </w:rPr>
            </w:pPr>
            <w:r>
              <w:rPr>
                <w:rFonts w:hint="eastAsia" w:ascii="宋体" w:hAnsi="宋体"/>
                <w:color w:val="auto"/>
                <w:highlight w:val="none"/>
              </w:rPr>
              <w:t>位</w:t>
            </w:r>
          </w:p>
        </w:tc>
        <w:tc>
          <w:tcPr>
            <w:tcW w:w="525" w:type="dxa"/>
            <w:noWrap w:val="0"/>
            <w:vAlign w:val="center"/>
          </w:tcPr>
          <w:p w14:paraId="6F86EECB">
            <w:pPr>
              <w:spacing w:line="360" w:lineRule="auto"/>
              <w:jc w:val="center"/>
              <w:rPr>
                <w:rFonts w:ascii="宋体"/>
                <w:color w:val="auto"/>
                <w:highlight w:val="none"/>
              </w:rPr>
            </w:pPr>
            <w:r>
              <w:rPr>
                <w:rFonts w:hint="eastAsia" w:ascii="宋体" w:hAnsi="宋体"/>
                <w:color w:val="auto"/>
                <w:highlight w:val="none"/>
              </w:rPr>
              <w:t>数</w:t>
            </w:r>
          </w:p>
          <w:p w14:paraId="3A4DFF07">
            <w:pPr>
              <w:spacing w:line="360" w:lineRule="auto"/>
              <w:jc w:val="center"/>
              <w:rPr>
                <w:rFonts w:ascii="宋体"/>
                <w:color w:val="auto"/>
                <w:highlight w:val="none"/>
              </w:rPr>
            </w:pPr>
            <w:r>
              <w:rPr>
                <w:rFonts w:hint="eastAsia" w:ascii="宋体" w:hAnsi="宋体"/>
                <w:color w:val="auto"/>
                <w:highlight w:val="none"/>
              </w:rPr>
              <w:t>量</w:t>
            </w:r>
          </w:p>
        </w:tc>
        <w:tc>
          <w:tcPr>
            <w:tcW w:w="735" w:type="dxa"/>
            <w:noWrap w:val="0"/>
            <w:vAlign w:val="center"/>
          </w:tcPr>
          <w:p w14:paraId="1F654E2E">
            <w:pPr>
              <w:spacing w:line="360" w:lineRule="auto"/>
              <w:jc w:val="center"/>
              <w:rPr>
                <w:rFonts w:ascii="宋体"/>
                <w:color w:val="auto"/>
                <w:highlight w:val="none"/>
              </w:rPr>
            </w:pPr>
            <w:r>
              <w:rPr>
                <w:rFonts w:hint="eastAsia" w:ascii="宋体" w:hAnsi="宋体"/>
                <w:color w:val="auto"/>
                <w:highlight w:val="none"/>
              </w:rPr>
              <w:t>单</w:t>
            </w:r>
          </w:p>
          <w:p w14:paraId="60176AE8">
            <w:pPr>
              <w:spacing w:line="360" w:lineRule="auto"/>
              <w:jc w:val="center"/>
              <w:rPr>
                <w:rFonts w:ascii="宋体"/>
                <w:color w:val="auto"/>
                <w:highlight w:val="none"/>
              </w:rPr>
            </w:pPr>
            <w:r>
              <w:rPr>
                <w:rFonts w:hint="eastAsia" w:ascii="宋体" w:hAnsi="宋体"/>
                <w:color w:val="auto"/>
                <w:highlight w:val="none"/>
              </w:rPr>
              <w:t>价</w:t>
            </w:r>
          </w:p>
        </w:tc>
        <w:tc>
          <w:tcPr>
            <w:tcW w:w="840" w:type="dxa"/>
            <w:noWrap w:val="0"/>
            <w:vAlign w:val="center"/>
          </w:tcPr>
          <w:p w14:paraId="1E348D73">
            <w:pPr>
              <w:spacing w:line="360" w:lineRule="auto"/>
              <w:jc w:val="center"/>
              <w:rPr>
                <w:rFonts w:ascii="宋体"/>
                <w:color w:val="auto"/>
                <w:highlight w:val="none"/>
              </w:rPr>
            </w:pPr>
            <w:r>
              <w:rPr>
                <w:rFonts w:hint="eastAsia" w:ascii="宋体" w:hAnsi="宋体"/>
                <w:color w:val="auto"/>
                <w:highlight w:val="none"/>
              </w:rPr>
              <w:t>交货</w:t>
            </w:r>
          </w:p>
          <w:p w14:paraId="7D37AB8D">
            <w:pPr>
              <w:spacing w:line="360" w:lineRule="auto"/>
              <w:jc w:val="center"/>
              <w:rPr>
                <w:rFonts w:ascii="宋体"/>
                <w:color w:val="auto"/>
                <w:highlight w:val="none"/>
              </w:rPr>
            </w:pPr>
            <w:r>
              <w:rPr>
                <w:rFonts w:hint="eastAsia" w:ascii="宋体" w:hAnsi="宋体"/>
                <w:color w:val="auto"/>
                <w:highlight w:val="none"/>
              </w:rPr>
              <w:t>方式</w:t>
            </w:r>
          </w:p>
        </w:tc>
        <w:tc>
          <w:tcPr>
            <w:tcW w:w="840" w:type="dxa"/>
            <w:noWrap w:val="0"/>
            <w:vAlign w:val="center"/>
          </w:tcPr>
          <w:p w14:paraId="03159A4D">
            <w:pPr>
              <w:spacing w:line="360" w:lineRule="auto"/>
              <w:jc w:val="center"/>
              <w:rPr>
                <w:rFonts w:ascii="宋体"/>
                <w:color w:val="auto"/>
                <w:highlight w:val="none"/>
              </w:rPr>
            </w:pPr>
            <w:r>
              <w:rPr>
                <w:rFonts w:hint="eastAsia" w:ascii="宋体" w:hAnsi="宋体"/>
                <w:color w:val="auto"/>
                <w:highlight w:val="none"/>
              </w:rPr>
              <w:t>交货</w:t>
            </w:r>
          </w:p>
          <w:p w14:paraId="7D6F5296">
            <w:pPr>
              <w:spacing w:line="360" w:lineRule="auto"/>
              <w:jc w:val="center"/>
              <w:rPr>
                <w:rFonts w:ascii="宋体"/>
                <w:color w:val="auto"/>
                <w:highlight w:val="none"/>
              </w:rPr>
            </w:pPr>
            <w:r>
              <w:rPr>
                <w:rFonts w:hint="eastAsia" w:ascii="宋体" w:hAnsi="宋体"/>
                <w:color w:val="auto"/>
                <w:highlight w:val="none"/>
              </w:rPr>
              <w:t>地点</w:t>
            </w:r>
          </w:p>
        </w:tc>
        <w:tc>
          <w:tcPr>
            <w:tcW w:w="735" w:type="dxa"/>
            <w:noWrap w:val="0"/>
            <w:vAlign w:val="center"/>
          </w:tcPr>
          <w:p w14:paraId="620EA7A3">
            <w:pPr>
              <w:spacing w:line="360" w:lineRule="auto"/>
              <w:jc w:val="center"/>
              <w:rPr>
                <w:rFonts w:ascii="宋体"/>
                <w:color w:val="auto"/>
                <w:highlight w:val="none"/>
              </w:rPr>
            </w:pPr>
            <w:r>
              <w:rPr>
                <w:rFonts w:hint="eastAsia" w:ascii="宋体" w:hAnsi="宋体"/>
                <w:color w:val="auto"/>
                <w:highlight w:val="none"/>
              </w:rPr>
              <w:t>计划交货</w:t>
            </w:r>
          </w:p>
          <w:p w14:paraId="5BF75E12">
            <w:pPr>
              <w:spacing w:line="360" w:lineRule="auto"/>
              <w:jc w:val="center"/>
              <w:rPr>
                <w:rFonts w:ascii="宋体"/>
                <w:color w:val="auto"/>
                <w:highlight w:val="none"/>
              </w:rPr>
            </w:pPr>
            <w:r>
              <w:rPr>
                <w:rFonts w:hint="eastAsia" w:ascii="宋体" w:hAnsi="宋体"/>
                <w:color w:val="auto"/>
                <w:highlight w:val="none"/>
              </w:rPr>
              <w:t>时间</w:t>
            </w:r>
          </w:p>
        </w:tc>
        <w:tc>
          <w:tcPr>
            <w:tcW w:w="945" w:type="dxa"/>
            <w:noWrap w:val="0"/>
            <w:vAlign w:val="center"/>
          </w:tcPr>
          <w:p w14:paraId="720C4CDC">
            <w:pPr>
              <w:spacing w:line="360" w:lineRule="auto"/>
              <w:jc w:val="center"/>
              <w:rPr>
                <w:rFonts w:ascii="宋体"/>
                <w:color w:val="auto"/>
                <w:highlight w:val="none"/>
              </w:rPr>
            </w:pPr>
            <w:r>
              <w:rPr>
                <w:rFonts w:hint="eastAsia" w:ascii="宋体" w:hAnsi="宋体"/>
                <w:color w:val="auto"/>
                <w:highlight w:val="none"/>
              </w:rPr>
              <w:t>备注</w:t>
            </w:r>
          </w:p>
        </w:tc>
      </w:tr>
      <w:tr w14:paraId="0FE38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noWrap w:val="0"/>
            <w:vAlign w:val="top"/>
          </w:tcPr>
          <w:p w14:paraId="1DA23C3E">
            <w:pPr>
              <w:spacing w:line="360" w:lineRule="auto"/>
              <w:jc w:val="center"/>
              <w:rPr>
                <w:rFonts w:ascii="宋体"/>
                <w:color w:val="auto"/>
                <w:sz w:val="28"/>
                <w:szCs w:val="28"/>
                <w:highlight w:val="none"/>
              </w:rPr>
            </w:pPr>
          </w:p>
        </w:tc>
        <w:tc>
          <w:tcPr>
            <w:tcW w:w="1155" w:type="dxa"/>
            <w:noWrap w:val="0"/>
            <w:vAlign w:val="top"/>
          </w:tcPr>
          <w:p w14:paraId="511883D8">
            <w:pPr>
              <w:spacing w:line="360" w:lineRule="auto"/>
              <w:jc w:val="center"/>
              <w:rPr>
                <w:rFonts w:ascii="宋体"/>
                <w:color w:val="auto"/>
                <w:sz w:val="28"/>
                <w:szCs w:val="28"/>
                <w:highlight w:val="none"/>
              </w:rPr>
            </w:pPr>
          </w:p>
        </w:tc>
        <w:tc>
          <w:tcPr>
            <w:tcW w:w="1050" w:type="dxa"/>
            <w:noWrap w:val="0"/>
            <w:vAlign w:val="top"/>
          </w:tcPr>
          <w:p w14:paraId="24ABAB34">
            <w:pPr>
              <w:spacing w:line="360" w:lineRule="auto"/>
              <w:jc w:val="center"/>
              <w:rPr>
                <w:rFonts w:ascii="宋体"/>
                <w:color w:val="auto"/>
                <w:sz w:val="28"/>
                <w:szCs w:val="28"/>
                <w:highlight w:val="none"/>
              </w:rPr>
            </w:pPr>
          </w:p>
        </w:tc>
        <w:tc>
          <w:tcPr>
            <w:tcW w:w="630" w:type="dxa"/>
            <w:noWrap w:val="0"/>
            <w:vAlign w:val="top"/>
          </w:tcPr>
          <w:p w14:paraId="79A399A1">
            <w:pPr>
              <w:spacing w:line="360" w:lineRule="auto"/>
              <w:jc w:val="center"/>
              <w:rPr>
                <w:rFonts w:ascii="宋体"/>
                <w:color w:val="auto"/>
                <w:sz w:val="28"/>
                <w:szCs w:val="28"/>
                <w:highlight w:val="none"/>
              </w:rPr>
            </w:pPr>
          </w:p>
        </w:tc>
        <w:tc>
          <w:tcPr>
            <w:tcW w:w="525" w:type="dxa"/>
            <w:noWrap w:val="0"/>
            <w:vAlign w:val="top"/>
          </w:tcPr>
          <w:p w14:paraId="10E86023">
            <w:pPr>
              <w:spacing w:line="360" w:lineRule="auto"/>
              <w:jc w:val="center"/>
              <w:rPr>
                <w:rFonts w:ascii="宋体"/>
                <w:color w:val="auto"/>
                <w:sz w:val="28"/>
                <w:szCs w:val="28"/>
                <w:highlight w:val="none"/>
              </w:rPr>
            </w:pPr>
          </w:p>
        </w:tc>
        <w:tc>
          <w:tcPr>
            <w:tcW w:w="735" w:type="dxa"/>
            <w:noWrap w:val="0"/>
            <w:vAlign w:val="top"/>
          </w:tcPr>
          <w:p w14:paraId="349DFECB">
            <w:pPr>
              <w:spacing w:line="360" w:lineRule="auto"/>
              <w:jc w:val="center"/>
              <w:rPr>
                <w:rFonts w:ascii="宋体"/>
                <w:color w:val="auto"/>
                <w:sz w:val="28"/>
                <w:szCs w:val="28"/>
                <w:highlight w:val="none"/>
              </w:rPr>
            </w:pPr>
          </w:p>
        </w:tc>
        <w:tc>
          <w:tcPr>
            <w:tcW w:w="840" w:type="dxa"/>
            <w:noWrap w:val="0"/>
            <w:vAlign w:val="top"/>
          </w:tcPr>
          <w:p w14:paraId="3BB8BAB5">
            <w:pPr>
              <w:spacing w:line="360" w:lineRule="auto"/>
              <w:jc w:val="center"/>
              <w:rPr>
                <w:rFonts w:ascii="宋体"/>
                <w:color w:val="auto"/>
                <w:sz w:val="28"/>
                <w:szCs w:val="28"/>
                <w:highlight w:val="none"/>
              </w:rPr>
            </w:pPr>
          </w:p>
        </w:tc>
        <w:tc>
          <w:tcPr>
            <w:tcW w:w="840" w:type="dxa"/>
            <w:noWrap w:val="0"/>
            <w:vAlign w:val="top"/>
          </w:tcPr>
          <w:p w14:paraId="3B54D76B">
            <w:pPr>
              <w:spacing w:line="360" w:lineRule="auto"/>
              <w:jc w:val="center"/>
              <w:rPr>
                <w:rFonts w:ascii="宋体"/>
                <w:color w:val="auto"/>
                <w:sz w:val="28"/>
                <w:szCs w:val="28"/>
                <w:highlight w:val="none"/>
              </w:rPr>
            </w:pPr>
          </w:p>
        </w:tc>
        <w:tc>
          <w:tcPr>
            <w:tcW w:w="735" w:type="dxa"/>
            <w:noWrap w:val="0"/>
            <w:vAlign w:val="top"/>
          </w:tcPr>
          <w:p w14:paraId="556848CE">
            <w:pPr>
              <w:spacing w:line="360" w:lineRule="auto"/>
              <w:jc w:val="center"/>
              <w:rPr>
                <w:rFonts w:ascii="宋体"/>
                <w:color w:val="auto"/>
                <w:sz w:val="28"/>
                <w:szCs w:val="28"/>
                <w:highlight w:val="none"/>
              </w:rPr>
            </w:pPr>
          </w:p>
        </w:tc>
        <w:tc>
          <w:tcPr>
            <w:tcW w:w="945" w:type="dxa"/>
            <w:noWrap w:val="0"/>
            <w:vAlign w:val="top"/>
          </w:tcPr>
          <w:p w14:paraId="6E4C31A4">
            <w:pPr>
              <w:spacing w:line="360" w:lineRule="auto"/>
              <w:jc w:val="center"/>
              <w:rPr>
                <w:rFonts w:ascii="宋体"/>
                <w:color w:val="auto"/>
                <w:sz w:val="28"/>
                <w:szCs w:val="28"/>
                <w:highlight w:val="none"/>
              </w:rPr>
            </w:pPr>
          </w:p>
        </w:tc>
      </w:tr>
      <w:tr w14:paraId="4F852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noWrap w:val="0"/>
            <w:vAlign w:val="top"/>
          </w:tcPr>
          <w:p w14:paraId="3C4ADA0F">
            <w:pPr>
              <w:spacing w:line="360" w:lineRule="auto"/>
              <w:jc w:val="center"/>
              <w:rPr>
                <w:rFonts w:ascii="宋体"/>
                <w:color w:val="auto"/>
                <w:sz w:val="28"/>
                <w:szCs w:val="28"/>
                <w:highlight w:val="none"/>
              </w:rPr>
            </w:pPr>
          </w:p>
        </w:tc>
        <w:tc>
          <w:tcPr>
            <w:tcW w:w="1155" w:type="dxa"/>
            <w:noWrap w:val="0"/>
            <w:vAlign w:val="top"/>
          </w:tcPr>
          <w:p w14:paraId="75E07814">
            <w:pPr>
              <w:spacing w:line="360" w:lineRule="auto"/>
              <w:jc w:val="center"/>
              <w:rPr>
                <w:rFonts w:ascii="宋体"/>
                <w:color w:val="auto"/>
                <w:sz w:val="28"/>
                <w:szCs w:val="28"/>
                <w:highlight w:val="none"/>
              </w:rPr>
            </w:pPr>
          </w:p>
        </w:tc>
        <w:tc>
          <w:tcPr>
            <w:tcW w:w="1050" w:type="dxa"/>
            <w:noWrap w:val="0"/>
            <w:vAlign w:val="top"/>
          </w:tcPr>
          <w:p w14:paraId="5BD98475">
            <w:pPr>
              <w:spacing w:line="360" w:lineRule="auto"/>
              <w:jc w:val="center"/>
              <w:rPr>
                <w:rFonts w:ascii="宋体"/>
                <w:color w:val="auto"/>
                <w:sz w:val="28"/>
                <w:szCs w:val="28"/>
                <w:highlight w:val="none"/>
              </w:rPr>
            </w:pPr>
          </w:p>
        </w:tc>
        <w:tc>
          <w:tcPr>
            <w:tcW w:w="630" w:type="dxa"/>
            <w:noWrap w:val="0"/>
            <w:vAlign w:val="top"/>
          </w:tcPr>
          <w:p w14:paraId="146E9CB2">
            <w:pPr>
              <w:spacing w:line="360" w:lineRule="auto"/>
              <w:jc w:val="center"/>
              <w:rPr>
                <w:rFonts w:ascii="宋体"/>
                <w:color w:val="auto"/>
                <w:sz w:val="28"/>
                <w:szCs w:val="28"/>
                <w:highlight w:val="none"/>
              </w:rPr>
            </w:pPr>
          </w:p>
        </w:tc>
        <w:tc>
          <w:tcPr>
            <w:tcW w:w="525" w:type="dxa"/>
            <w:noWrap w:val="0"/>
            <w:vAlign w:val="top"/>
          </w:tcPr>
          <w:p w14:paraId="3F66EBD4">
            <w:pPr>
              <w:spacing w:line="360" w:lineRule="auto"/>
              <w:jc w:val="center"/>
              <w:rPr>
                <w:rFonts w:ascii="宋体"/>
                <w:color w:val="auto"/>
                <w:sz w:val="28"/>
                <w:szCs w:val="28"/>
                <w:highlight w:val="none"/>
              </w:rPr>
            </w:pPr>
          </w:p>
        </w:tc>
        <w:tc>
          <w:tcPr>
            <w:tcW w:w="735" w:type="dxa"/>
            <w:noWrap w:val="0"/>
            <w:vAlign w:val="top"/>
          </w:tcPr>
          <w:p w14:paraId="6A494007">
            <w:pPr>
              <w:spacing w:line="360" w:lineRule="auto"/>
              <w:jc w:val="center"/>
              <w:rPr>
                <w:rFonts w:ascii="宋体"/>
                <w:color w:val="auto"/>
                <w:sz w:val="28"/>
                <w:szCs w:val="28"/>
                <w:highlight w:val="none"/>
              </w:rPr>
            </w:pPr>
          </w:p>
        </w:tc>
        <w:tc>
          <w:tcPr>
            <w:tcW w:w="840" w:type="dxa"/>
            <w:noWrap w:val="0"/>
            <w:vAlign w:val="top"/>
          </w:tcPr>
          <w:p w14:paraId="54E95CC4">
            <w:pPr>
              <w:spacing w:line="360" w:lineRule="auto"/>
              <w:jc w:val="center"/>
              <w:rPr>
                <w:rFonts w:ascii="宋体"/>
                <w:color w:val="auto"/>
                <w:sz w:val="28"/>
                <w:szCs w:val="28"/>
                <w:highlight w:val="none"/>
              </w:rPr>
            </w:pPr>
          </w:p>
        </w:tc>
        <w:tc>
          <w:tcPr>
            <w:tcW w:w="840" w:type="dxa"/>
            <w:noWrap w:val="0"/>
            <w:vAlign w:val="top"/>
          </w:tcPr>
          <w:p w14:paraId="413A0CE3">
            <w:pPr>
              <w:spacing w:line="360" w:lineRule="auto"/>
              <w:jc w:val="center"/>
              <w:rPr>
                <w:rFonts w:ascii="宋体"/>
                <w:color w:val="auto"/>
                <w:sz w:val="28"/>
                <w:szCs w:val="28"/>
                <w:highlight w:val="none"/>
              </w:rPr>
            </w:pPr>
          </w:p>
        </w:tc>
        <w:tc>
          <w:tcPr>
            <w:tcW w:w="735" w:type="dxa"/>
            <w:noWrap w:val="0"/>
            <w:vAlign w:val="top"/>
          </w:tcPr>
          <w:p w14:paraId="318FB75D">
            <w:pPr>
              <w:spacing w:line="360" w:lineRule="auto"/>
              <w:jc w:val="center"/>
              <w:rPr>
                <w:rFonts w:ascii="宋体"/>
                <w:color w:val="auto"/>
                <w:sz w:val="28"/>
                <w:szCs w:val="28"/>
                <w:highlight w:val="none"/>
              </w:rPr>
            </w:pPr>
          </w:p>
        </w:tc>
        <w:tc>
          <w:tcPr>
            <w:tcW w:w="945" w:type="dxa"/>
            <w:noWrap w:val="0"/>
            <w:vAlign w:val="top"/>
          </w:tcPr>
          <w:p w14:paraId="6E017834">
            <w:pPr>
              <w:spacing w:line="360" w:lineRule="auto"/>
              <w:jc w:val="center"/>
              <w:rPr>
                <w:rFonts w:ascii="宋体"/>
                <w:color w:val="auto"/>
                <w:sz w:val="28"/>
                <w:szCs w:val="28"/>
                <w:highlight w:val="none"/>
              </w:rPr>
            </w:pPr>
          </w:p>
        </w:tc>
      </w:tr>
      <w:tr w14:paraId="2EC8D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noWrap w:val="0"/>
            <w:vAlign w:val="top"/>
          </w:tcPr>
          <w:p w14:paraId="56DA3EA0">
            <w:pPr>
              <w:spacing w:line="360" w:lineRule="auto"/>
              <w:jc w:val="center"/>
              <w:rPr>
                <w:rFonts w:ascii="宋体"/>
                <w:color w:val="auto"/>
                <w:sz w:val="28"/>
                <w:szCs w:val="28"/>
                <w:highlight w:val="none"/>
              </w:rPr>
            </w:pPr>
          </w:p>
        </w:tc>
        <w:tc>
          <w:tcPr>
            <w:tcW w:w="1155" w:type="dxa"/>
            <w:noWrap w:val="0"/>
            <w:vAlign w:val="top"/>
          </w:tcPr>
          <w:p w14:paraId="20EFBE8B">
            <w:pPr>
              <w:spacing w:line="360" w:lineRule="auto"/>
              <w:jc w:val="center"/>
              <w:rPr>
                <w:rFonts w:ascii="宋体"/>
                <w:color w:val="auto"/>
                <w:sz w:val="28"/>
                <w:szCs w:val="28"/>
                <w:highlight w:val="none"/>
              </w:rPr>
            </w:pPr>
          </w:p>
        </w:tc>
        <w:tc>
          <w:tcPr>
            <w:tcW w:w="1050" w:type="dxa"/>
            <w:noWrap w:val="0"/>
            <w:vAlign w:val="top"/>
          </w:tcPr>
          <w:p w14:paraId="570085A5">
            <w:pPr>
              <w:spacing w:line="360" w:lineRule="auto"/>
              <w:jc w:val="center"/>
              <w:rPr>
                <w:rFonts w:ascii="宋体"/>
                <w:color w:val="auto"/>
                <w:sz w:val="28"/>
                <w:szCs w:val="28"/>
                <w:highlight w:val="none"/>
              </w:rPr>
            </w:pPr>
          </w:p>
        </w:tc>
        <w:tc>
          <w:tcPr>
            <w:tcW w:w="630" w:type="dxa"/>
            <w:noWrap w:val="0"/>
            <w:vAlign w:val="top"/>
          </w:tcPr>
          <w:p w14:paraId="16F3A89D">
            <w:pPr>
              <w:spacing w:line="360" w:lineRule="auto"/>
              <w:jc w:val="center"/>
              <w:rPr>
                <w:rFonts w:ascii="宋体"/>
                <w:color w:val="auto"/>
                <w:sz w:val="28"/>
                <w:szCs w:val="28"/>
                <w:highlight w:val="none"/>
              </w:rPr>
            </w:pPr>
          </w:p>
        </w:tc>
        <w:tc>
          <w:tcPr>
            <w:tcW w:w="525" w:type="dxa"/>
            <w:noWrap w:val="0"/>
            <w:vAlign w:val="top"/>
          </w:tcPr>
          <w:p w14:paraId="328A7058">
            <w:pPr>
              <w:spacing w:line="360" w:lineRule="auto"/>
              <w:jc w:val="center"/>
              <w:rPr>
                <w:rFonts w:ascii="宋体"/>
                <w:color w:val="auto"/>
                <w:sz w:val="28"/>
                <w:szCs w:val="28"/>
                <w:highlight w:val="none"/>
              </w:rPr>
            </w:pPr>
          </w:p>
        </w:tc>
        <w:tc>
          <w:tcPr>
            <w:tcW w:w="735" w:type="dxa"/>
            <w:noWrap w:val="0"/>
            <w:vAlign w:val="top"/>
          </w:tcPr>
          <w:p w14:paraId="35E4778B">
            <w:pPr>
              <w:spacing w:line="360" w:lineRule="auto"/>
              <w:jc w:val="center"/>
              <w:rPr>
                <w:rFonts w:ascii="宋体"/>
                <w:color w:val="auto"/>
                <w:sz w:val="28"/>
                <w:szCs w:val="28"/>
                <w:highlight w:val="none"/>
              </w:rPr>
            </w:pPr>
          </w:p>
        </w:tc>
        <w:tc>
          <w:tcPr>
            <w:tcW w:w="840" w:type="dxa"/>
            <w:noWrap w:val="0"/>
            <w:vAlign w:val="top"/>
          </w:tcPr>
          <w:p w14:paraId="77F3A9CD">
            <w:pPr>
              <w:spacing w:line="360" w:lineRule="auto"/>
              <w:jc w:val="center"/>
              <w:rPr>
                <w:rFonts w:ascii="宋体"/>
                <w:color w:val="auto"/>
                <w:sz w:val="28"/>
                <w:szCs w:val="28"/>
                <w:highlight w:val="none"/>
              </w:rPr>
            </w:pPr>
          </w:p>
        </w:tc>
        <w:tc>
          <w:tcPr>
            <w:tcW w:w="840" w:type="dxa"/>
            <w:noWrap w:val="0"/>
            <w:vAlign w:val="top"/>
          </w:tcPr>
          <w:p w14:paraId="2E16985F">
            <w:pPr>
              <w:spacing w:line="360" w:lineRule="auto"/>
              <w:jc w:val="center"/>
              <w:rPr>
                <w:rFonts w:ascii="宋体"/>
                <w:color w:val="auto"/>
                <w:sz w:val="28"/>
                <w:szCs w:val="28"/>
                <w:highlight w:val="none"/>
              </w:rPr>
            </w:pPr>
          </w:p>
        </w:tc>
        <w:tc>
          <w:tcPr>
            <w:tcW w:w="735" w:type="dxa"/>
            <w:noWrap w:val="0"/>
            <w:vAlign w:val="top"/>
          </w:tcPr>
          <w:p w14:paraId="6E0414C2">
            <w:pPr>
              <w:spacing w:line="360" w:lineRule="auto"/>
              <w:jc w:val="center"/>
              <w:rPr>
                <w:rFonts w:ascii="宋体"/>
                <w:color w:val="auto"/>
                <w:sz w:val="28"/>
                <w:szCs w:val="28"/>
                <w:highlight w:val="none"/>
              </w:rPr>
            </w:pPr>
          </w:p>
        </w:tc>
        <w:tc>
          <w:tcPr>
            <w:tcW w:w="945" w:type="dxa"/>
            <w:noWrap w:val="0"/>
            <w:vAlign w:val="top"/>
          </w:tcPr>
          <w:p w14:paraId="4537831F">
            <w:pPr>
              <w:spacing w:line="360" w:lineRule="auto"/>
              <w:jc w:val="center"/>
              <w:rPr>
                <w:rFonts w:ascii="宋体"/>
                <w:color w:val="auto"/>
                <w:sz w:val="28"/>
                <w:szCs w:val="28"/>
                <w:highlight w:val="none"/>
              </w:rPr>
            </w:pPr>
          </w:p>
        </w:tc>
      </w:tr>
      <w:tr w14:paraId="40298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noWrap w:val="0"/>
            <w:vAlign w:val="top"/>
          </w:tcPr>
          <w:p w14:paraId="446ABAAA">
            <w:pPr>
              <w:spacing w:line="360" w:lineRule="auto"/>
              <w:jc w:val="center"/>
              <w:rPr>
                <w:rFonts w:ascii="宋体"/>
                <w:color w:val="auto"/>
                <w:sz w:val="28"/>
                <w:szCs w:val="28"/>
                <w:highlight w:val="none"/>
              </w:rPr>
            </w:pPr>
          </w:p>
        </w:tc>
        <w:tc>
          <w:tcPr>
            <w:tcW w:w="1155" w:type="dxa"/>
            <w:noWrap w:val="0"/>
            <w:vAlign w:val="top"/>
          </w:tcPr>
          <w:p w14:paraId="6F066AF9">
            <w:pPr>
              <w:spacing w:line="360" w:lineRule="auto"/>
              <w:jc w:val="center"/>
              <w:rPr>
                <w:rFonts w:ascii="宋体"/>
                <w:color w:val="auto"/>
                <w:sz w:val="28"/>
                <w:szCs w:val="28"/>
                <w:highlight w:val="none"/>
              </w:rPr>
            </w:pPr>
          </w:p>
        </w:tc>
        <w:tc>
          <w:tcPr>
            <w:tcW w:w="1050" w:type="dxa"/>
            <w:noWrap w:val="0"/>
            <w:vAlign w:val="top"/>
          </w:tcPr>
          <w:p w14:paraId="04013453">
            <w:pPr>
              <w:spacing w:line="360" w:lineRule="auto"/>
              <w:jc w:val="center"/>
              <w:rPr>
                <w:rFonts w:ascii="宋体"/>
                <w:color w:val="auto"/>
                <w:sz w:val="28"/>
                <w:szCs w:val="28"/>
                <w:highlight w:val="none"/>
              </w:rPr>
            </w:pPr>
          </w:p>
        </w:tc>
        <w:tc>
          <w:tcPr>
            <w:tcW w:w="630" w:type="dxa"/>
            <w:noWrap w:val="0"/>
            <w:vAlign w:val="top"/>
          </w:tcPr>
          <w:p w14:paraId="248EB2CC">
            <w:pPr>
              <w:spacing w:line="360" w:lineRule="auto"/>
              <w:jc w:val="center"/>
              <w:rPr>
                <w:rFonts w:ascii="宋体"/>
                <w:color w:val="auto"/>
                <w:sz w:val="28"/>
                <w:szCs w:val="28"/>
                <w:highlight w:val="none"/>
              </w:rPr>
            </w:pPr>
          </w:p>
        </w:tc>
        <w:tc>
          <w:tcPr>
            <w:tcW w:w="525" w:type="dxa"/>
            <w:noWrap w:val="0"/>
            <w:vAlign w:val="top"/>
          </w:tcPr>
          <w:p w14:paraId="3989BC97">
            <w:pPr>
              <w:spacing w:line="360" w:lineRule="auto"/>
              <w:jc w:val="center"/>
              <w:rPr>
                <w:rFonts w:ascii="宋体"/>
                <w:color w:val="auto"/>
                <w:sz w:val="28"/>
                <w:szCs w:val="28"/>
                <w:highlight w:val="none"/>
              </w:rPr>
            </w:pPr>
          </w:p>
        </w:tc>
        <w:tc>
          <w:tcPr>
            <w:tcW w:w="735" w:type="dxa"/>
            <w:noWrap w:val="0"/>
            <w:vAlign w:val="top"/>
          </w:tcPr>
          <w:p w14:paraId="35CDB43A">
            <w:pPr>
              <w:spacing w:line="360" w:lineRule="auto"/>
              <w:jc w:val="center"/>
              <w:rPr>
                <w:rFonts w:ascii="宋体"/>
                <w:color w:val="auto"/>
                <w:sz w:val="28"/>
                <w:szCs w:val="28"/>
                <w:highlight w:val="none"/>
              </w:rPr>
            </w:pPr>
          </w:p>
        </w:tc>
        <w:tc>
          <w:tcPr>
            <w:tcW w:w="840" w:type="dxa"/>
            <w:noWrap w:val="0"/>
            <w:vAlign w:val="top"/>
          </w:tcPr>
          <w:p w14:paraId="6BEE8CD5">
            <w:pPr>
              <w:spacing w:line="360" w:lineRule="auto"/>
              <w:jc w:val="center"/>
              <w:rPr>
                <w:rFonts w:ascii="宋体"/>
                <w:color w:val="auto"/>
                <w:sz w:val="28"/>
                <w:szCs w:val="28"/>
                <w:highlight w:val="none"/>
              </w:rPr>
            </w:pPr>
          </w:p>
        </w:tc>
        <w:tc>
          <w:tcPr>
            <w:tcW w:w="840" w:type="dxa"/>
            <w:noWrap w:val="0"/>
            <w:vAlign w:val="top"/>
          </w:tcPr>
          <w:p w14:paraId="49D5B60A">
            <w:pPr>
              <w:spacing w:line="360" w:lineRule="auto"/>
              <w:jc w:val="center"/>
              <w:rPr>
                <w:rFonts w:ascii="宋体"/>
                <w:color w:val="auto"/>
                <w:sz w:val="28"/>
                <w:szCs w:val="28"/>
                <w:highlight w:val="none"/>
              </w:rPr>
            </w:pPr>
          </w:p>
        </w:tc>
        <w:tc>
          <w:tcPr>
            <w:tcW w:w="735" w:type="dxa"/>
            <w:noWrap w:val="0"/>
            <w:vAlign w:val="top"/>
          </w:tcPr>
          <w:p w14:paraId="41D4A597">
            <w:pPr>
              <w:spacing w:line="360" w:lineRule="auto"/>
              <w:jc w:val="center"/>
              <w:rPr>
                <w:rFonts w:ascii="宋体"/>
                <w:color w:val="auto"/>
                <w:sz w:val="28"/>
                <w:szCs w:val="28"/>
                <w:highlight w:val="none"/>
              </w:rPr>
            </w:pPr>
          </w:p>
        </w:tc>
        <w:tc>
          <w:tcPr>
            <w:tcW w:w="945" w:type="dxa"/>
            <w:noWrap w:val="0"/>
            <w:vAlign w:val="top"/>
          </w:tcPr>
          <w:p w14:paraId="26236068">
            <w:pPr>
              <w:spacing w:line="360" w:lineRule="auto"/>
              <w:jc w:val="center"/>
              <w:rPr>
                <w:rFonts w:ascii="宋体"/>
                <w:color w:val="auto"/>
                <w:sz w:val="28"/>
                <w:szCs w:val="28"/>
                <w:highlight w:val="none"/>
              </w:rPr>
            </w:pPr>
          </w:p>
        </w:tc>
      </w:tr>
      <w:tr w14:paraId="7B9F0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noWrap w:val="0"/>
            <w:vAlign w:val="top"/>
          </w:tcPr>
          <w:p w14:paraId="6B8BD7F5">
            <w:pPr>
              <w:spacing w:line="360" w:lineRule="auto"/>
              <w:jc w:val="center"/>
              <w:rPr>
                <w:rFonts w:ascii="宋体"/>
                <w:color w:val="auto"/>
                <w:sz w:val="28"/>
                <w:szCs w:val="28"/>
                <w:highlight w:val="none"/>
              </w:rPr>
            </w:pPr>
          </w:p>
        </w:tc>
        <w:tc>
          <w:tcPr>
            <w:tcW w:w="1155" w:type="dxa"/>
            <w:noWrap w:val="0"/>
            <w:vAlign w:val="top"/>
          </w:tcPr>
          <w:p w14:paraId="6EDC1C20">
            <w:pPr>
              <w:spacing w:line="360" w:lineRule="auto"/>
              <w:jc w:val="center"/>
              <w:rPr>
                <w:rFonts w:ascii="宋体"/>
                <w:color w:val="auto"/>
                <w:sz w:val="28"/>
                <w:szCs w:val="28"/>
                <w:highlight w:val="none"/>
              </w:rPr>
            </w:pPr>
          </w:p>
        </w:tc>
        <w:tc>
          <w:tcPr>
            <w:tcW w:w="1050" w:type="dxa"/>
            <w:noWrap w:val="0"/>
            <w:vAlign w:val="top"/>
          </w:tcPr>
          <w:p w14:paraId="1438464B">
            <w:pPr>
              <w:spacing w:line="360" w:lineRule="auto"/>
              <w:jc w:val="center"/>
              <w:rPr>
                <w:rFonts w:ascii="宋体"/>
                <w:color w:val="auto"/>
                <w:sz w:val="28"/>
                <w:szCs w:val="28"/>
                <w:highlight w:val="none"/>
              </w:rPr>
            </w:pPr>
          </w:p>
        </w:tc>
        <w:tc>
          <w:tcPr>
            <w:tcW w:w="630" w:type="dxa"/>
            <w:noWrap w:val="0"/>
            <w:vAlign w:val="top"/>
          </w:tcPr>
          <w:p w14:paraId="7B530A29">
            <w:pPr>
              <w:spacing w:line="360" w:lineRule="auto"/>
              <w:jc w:val="center"/>
              <w:rPr>
                <w:rFonts w:ascii="宋体"/>
                <w:color w:val="auto"/>
                <w:sz w:val="28"/>
                <w:szCs w:val="28"/>
                <w:highlight w:val="none"/>
              </w:rPr>
            </w:pPr>
          </w:p>
        </w:tc>
        <w:tc>
          <w:tcPr>
            <w:tcW w:w="525" w:type="dxa"/>
            <w:noWrap w:val="0"/>
            <w:vAlign w:val="top"/>
          </w:tcPr>
          <w:p w14:paraId="47A78D1C">
            <w:pPr>
              <w:spacing w:line="360" w:lineRule="auto"/>
              <w:jc w:val="center"/>
              <w:rPr>
                <w:rFonts w:ascii="宋体"/>
                <w:color w:val="auto"/>
                <w:sz w:val="28"/>
                <w:szCs w:val="28"/>
                <w:highlight w:val="none"/>
              </w:rPr>
            </w:pPr>
          </w:p>
        </w:tc>
        <w:tc>
          <w:tcPr>
            <w:tcW w:w="735" w:type="dxa"/>
            <w:noWrap w:val="0"/>
            <w:vAlign w:val="top"/>
          </w:tcPr>
          <w:p w14:paraId="022862A6">
            <w:pPr>
              <w:spacing w:line="360" w:lineRule="auto"/>
              <w:jc w:val="center"/>
              <w:rPr>
                <w:rFonts w:ascii="宋体"/>
                <w:color w:val="auto"/>
                <w:sz w:val="28"/>
                <w:szCs w:val="28"/>
                <w:highlight w:val="none"/>
              </w:rPr>
            </w:pPr>
          </w:p>
        </w:tc>
        <w:tc>
          <w:tcPr>
            <w:tcW w:w="840" w:type="dxa"/>
            <w:noWrap w:val="0"/>
            <w:vAlign w:val="top"/>
          </w:tcPr>
          <w:p w14:paraId="520FA9B6">
            <w:pPr>
              <w:spacing w:line="360" w:lineRule="auto"/>
              <w:jc w:val="center"/>
              <w:rPr>
                <w:rFonts w:ascii="宋体"/>
                <w:color w:val="auto"/>
                <w:sz w:val="28"/>
                <w:szCs w:val="28"/>
                <w:highlight w:val="none"/>
              </w:rPr>
            </w:pPr>
          </w:p>
        </w:tc>
        <w:tc>
          <w:tcPr>
            <w:tcW w:w="840" w:type="dxa"/>
            <w:noWrap w:val="0"/>
            <w:vAlign w:val="top"/>
          </w:tcPr>
          <w:p w14:paraId="40709491">
            <w:pPr>
              <w:spacing w:line="360" w:lineRule="auto"/>
              <w:jc w:val="center"/>
              <w:rPr>
                <w:rFonts w:ascii="宋体"/>
                <w:color w:val="auto"/>
                <w:sz w:val="28"/>
                <w:szCs w:val="28"/>
                <w:highlight w:val="none"/>
              </w:rPr>
            </w:pPr>
          </w:p>
        </w:tc>
        <w:tc>
          <w:tcPr>
            <w:tcW w:w="735" w:type="dxa"/>
            <w:noWrap w:val="0"/>
            <w:vAlign w:val="top"/>
          </w:tcPr>
          <w:p w14:paraId="590C7262">
            <w:pPr>
              <w:spacing w:line="360" w:lineRule="auto"/>
              <w:jc w:val="center"/>
              <w:rPr>
                <w:rFonts w:ascii="宋体"/>
                <w:color w:val="auto"/>
                <w:sz w:val="28"/>
                <w:szCs w:val="28"/>
                <w:highlight w:val="none"/>
              </w:rPr>
            </w:pPr>
          </w:p>
        </w:tc>
        <w:tc>
          <w:tcPr>
            <w:tcW w:w="945" w:type="dxa"/>
            <w:noWrap w:val="0"/>
            <w:vAlign w:val="top"/>
          </w:tcPr>
          <w:p w14:paraId="636F9529">
            <w:pPr>
              <w:spacing w:line="360" w:lineRule="auto"/>
              <w:jc w:val="center"/>
              <w:rPr>
                <w:rFonts w:ascii="宋体"/>
                <w:color w:val="auto"/>
                <w:sz w:val="28"/>
                <w:szCs w:val="28"/>
                <w:highlight w:val="none"/>
              </w:rPr>
            </w:pPr>
          </w:p>
        </w:tc>
      </w:tr>
      <w:tr w14:paraId="7D34B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noWrap w:val="0"/>
            <w:vAlign w:val="top"/>
          </w:tcPr>
          <w:p w14:paraId="6DAE6062">
            <w:pPr>
              <w:spacing w:line="360" w:lineRule="auto"/>
              <w:jc w:val="center"/>
              <w:rPr>
                <w:rFonts w:ascii="宋体"/>
                <w:color w:val="auto"/>
                <w:sz w:val="28"/>
                <w:szCs w:val="28"/>
                <w:highlight w:val="none"/>
              </w:rPr>
            </w:pPr>
          </w:p>
        </w:tc>
        <w:tc>
          <w:tcPr>
            <w:tcW w:w="1155" w:type="dxa"/>
            <w:noWrap w:val="0"/>
            <w:vAlign w:val="top"/>
          </w:tcPr>
          <w:p w14:paraId="29595D20">
            <w:pPr>
              <w:spacing w:line="360" w:lineRule="auto"/>
              <w:jc w:val="center"/>
              <w:rPr>
                <w:rFonts w:ascii="宋体"/>
                <w:color w:val="auto"/>
                <w:sz w:val="28"/>
                <w:szCs w:val="28"/>
                <w:highlight w:val="none"/>
              </w:rPr>
            </w:pPr>
          </w:p>
        </w:tc>
        <w:tc>
          <w:tcPr>
            <w:tcW w:w="1050" w:type="dxa"/>
            <w:noWrap w:val="0"/>
            <w:vAlign w:val="top"/>
          </w:tcPr>
          <w:p w14:paraId="159031A7">
            <w:pPr>
              <w:spacing w:line="360" w:lineRule="auto"/>
              <w:jc w:val="center"/>
              <w:rPr>
                <w:rFonts w:ascii="宋体"/>
                <w:color w:val="auto"/>
                <w:sz w:val="28"/>
                <w:szCs w:val="28"/>
                <w:highlight w:val="none"/>
              </w:rPr>
            </w:pPr>
          </w:p>
        </w:tc>
        <w:tc>
          <w:tcPr>
            <w:tcW w:w="630" w:type="dxa"/>
            <w:noWrap w:val="0"/>
            <w:vAlign w:val="top"/>
          </w:tcPr>
          <w:p w14:paraId="246ADA74">
            <w:pPr>
              <w:spacing w:line="360" w:lineRule="auto"/>
              <w:jc w:val="center"/>
              <w:rPr>
                <w:rFonts w:ascii="宋体"/>
                <w:color w:val="auto"/>
                <w:sz w:val="28"/>
                <w:szCs w:val="28"/>
                <w:highlight w:val="none"/>
              </w:rPr>
            </w:pPr>
          </w:p>
        </w:tc>
        <w:tc>
          <w:tcPr>
            <w:tcW w:w="525" w:type="dxa"/>
            <w:noWrap w:val="0"/>
            <w:vAlign w:val="top"/>
          </w:tcPr>
          <w:p w14:paraId="5B65B7AC">
            <w:pPr>
              <w:spacing w:line="360" w:lineRule="auto"/>
              <w:jc w:val="center"/>
              <w:rPr>
                <w:rFonts w:ascii="宋体"/>
                <w:color w:val="auto"/>
                <w:sz w:val="28"/>
                <w:szCs w:val="28"/>
                <w:highlight w:val="none"/>
              </w:rPr>
            </w:pPr>
          </w:p>
        </w:tc>
        <w:tc>
          <w:tcPr>
            <w:tcW w:w="735" w:type="dxa"/>
            <w:noWrap w:val="0"/>
            <w:vAlign w:val="top"/>
          </w:tcPr>
          <w:p w14:paraId="3803D258">
            <w:pPr>
              <w:spacing w:line="360" w:lineRule="auto"/>
              <w:jc w:val="center"/>
              <w:rPr>
                <w:rFonts w:ascii="宋体"/>
                <w:color w:val="auto"/>
                <w:sz w:val="28"/>
                <w:szCs w:val="28"/>
                <w:highlight w:val="none"/>
              </w:rPr>
            </w:pPr>
          </w:p>
        </w:tc>
        <w:tc>
          <w:tcPr>
            <w:tcW w:w="840" w:type="dxa"/>
            <w:noWrap w:val="0"/>
            <w:vAlign w:val="top"/>
          </w:tcPr>
          <w:p w14:paraId="26B80EC9">
            <w:pPr>
              <w:spacing w:line="360" w:lineRule="auto"/>
              <w:jc w:val="center"/>
              <w:rPr>
                <w:rFonts w:ascii="宋体"/>
                <w:color w:val="auto"/>
                <w:sz w:val="28"/>
                <w:szCs w:val="28"/>
                <w:highlight w:val="none"/>
              </w:rPr>
            </w:pPr>
          </w:p>
        </w:tc>
        <w:tc>
          <w:tcPr>
            <w:tcW w:w="840" w:type="dxa"/>
            <w:noWrap w:val="0"/>
            <w:vAlign w:val="top"/>
          </w:tcPr>
          <w:p w14:paraId="73E01206">
            <w:pPr>
              <w:spacing w:line="360" w:lineRule="auto"/>
              <w:jc w:val="center"/>
              <w:rPr>
                <w:rFonts w:ascii="宋体"/>
                <w:color w:val="auto"/>
                <w:sz w:val="28"/>
                <w:szCs w:val="28"/>
                <w:highlight w:val="none"/>
              </w:rPr>
            </w:pPr>
          </w:p>
        </w:tc>
        <w:tc>
          <w:tcPr>
            <w:tcW w:w="735" w:type="dxa"/>
            <w:noWrap w:val="0"/>
            <w:vAlign w:val="top"/>
          </w:tcPr>
          <w:p w14:paraId="5EBA14C4">
            <w:pPr>
              <w:spacing w:line="360" w:lineRule="auto"/>
              <w:jc w:val="center"/>
              <w:rPr>
                <w:rFonts w:ascii="宋体"/>
                <w:color w:val="auto"/>
                <w:sz w:val="28"/>
                <w:szCs w:val="28"/>
                <w:highlight w:val="none"/>
              </w:rPr>
            </w:pPr>
          </w:p>
        </w:tc>
        <w:tc>
          <w:tcPr>
            <w:tcW w:w="945" w:type="dxa"/>
            <w:noWrap w:val="0"/>
            <w:vAlign w:val="top"/>
          </w:tcPr>
          <w:p w14:paraId="6C149316">
            <w:pPr>
              <w:spacing w:line="360" w:lineRule="auto"/>
              <w:jc w:val="center"/>
              <w:rPr>
                <w:rFonts w:ascii="宋体"/>
                <w:color w:val="auto"/>
                <w:sz w:val="28"/>
                <w:szCs w:val="28"/>
                <w:highlight w:val="none"/>
              </w:rPr>
            </w:pPr>
          </w:p>
        </w:tc>
      </w:tr>
      <w:tr w14:paraId="1B8C9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noWrap w:val="0"/>
            <w:vAlign w:val="top"/>
          </w:tcPr>
          <w:p w14:paraId="195E7AC1">
            <w:pPr>
              <w:spacing w:line="360" w:lineRule="auto"/>
              <w:jc w:val="center"/>
              <w:rPr>
                <w:rFonts w:ascii="宋体"/>
                <w:color w:val="auto"/>
                <w:sz w:val="28"/>
                <w:szCs w:val="28"/>
                <w:highlight w:val="none"/>
              </w:rPr>
            </w:pPr>
          </w:p>
        </w:tc>
        <w:tc>
          <w:tcPr>
            <w:tcW w:w="1155" w:type="dxa"/>
            <w:noWrap w:val="0"/>
            <w:vAlign w:val="top"/>
          </w:tcPr>
          <w:p w14:paraId="2CA4D6BC">
            <w:pPr>
              <w:spacing w:line="360" w:lineRule="auto"/>
              <w:jc w:val="center"/>
              <w:rPr>
                <w:rFonts w:ascii="宋体"/>
                <w:color w:val="auto"/>
                <w:sz w:val="28"/>
                <w:szCs w:val="28"/>
                <w:highlight w:val="none"/>
              </w:rPr>
            </w:pPr>
          </w:p>
        </w:tc>
        <w:tc>
          <w:tcPr>
            <w:tcW w:w="1050" w:type="dxa"/>
            <w:noWrap w:val="0"/>
            <w:vAlign w:val="top"/>
          </w:tcPr>
          <w:p w14:paraId="765107E2">
            <w:pPr>
              <w:spacing w:line="360" w:lineRule="auto"/>
              <w:jc w:val="center"/>
              <w:rPr>
                <w:rFonts w:ascii="宋体"/>
                <w:color w:val="auto"/>
                <w:sz w:val="28"/>
                <w:szCs w:val="28"/>
                <w:highlight w:val="none"/>
              </w:rPr>
            </w:pPr>
          </w:p>
        </w:tc>
        <w:tc>
          <w:tcPr>
            <w:tcW w:w="630" w:type="dxa"/>
            <w:noWrap w:val="0"/>
            <w:vAlign w:val="top"/>
          </w:tcPr>
          <w:p w14:paraId="4DA40D95">
            <w:pPr>
              <w:spacing w:line="360" w:lineRule="auto"/>
              <w:jc w:val="center"/>
              <w:rPr>
                <w:rFonts w:ascii="宋体"/>
                <w:color w:val="auto"/>
                <w:sz w:val="28"/>
                <w:szCs w:val="28"/>
                <w:highlight w:val="none"/>
              </w:rPr>
            </w:pPr>
          </w:p>
        </w:tc>
        <w:tc>
          <w:tcPr>
            <w:tcW w:w="525" w:type="dxa"/>
            <w:noWrap w:val="0"/>
            <w:vAlign w:val="top"/>
          </w:tcPr>
          <w:p w14:paraId="6A30548C">
            <w:pPr>
              <w:spacing w:line="360" w:lineRule="auto"/>
              <w:jc w:val="center"/>
              <w:rPr>
                <w:rFonts w:ascii="宋体"/>
                <w:color w:val="auto"/>
                <w:sz w:val="28"/>
                <w:szCs w:val="28"/>
                <w:highlight w:val="none"/>
              </w:rPr>
            </w:pPr>
          </w:p>
        </w:tc>
        <w:tc>
          <w:tcPr>
            <w:tcW w:w="735" w:type="dxa"/>
            <w:noWrap w:val="0"/>
            <w:vAlign w:val="top"/>
          </w:tcPr>
          <w:p w14:paraId="6A66BF66">
            <w:pPr>
              <w:spacing w:line="360" w:lineRule="auto"/>
              <w:jc w:val="center"/>
              <w:rPr>
                <w:rFonts w:ascii="宋体"/>
                <w:color w:val="auto"/>
                <w:sz w:val="28"/>
                <w:szCs w:val="28"/>
                <w:highlight w:val="none"/>
              </w:rPr>
            </w:pPr>
          </w:p>
        </w:tc>
        <w:tc>
          <w:tcPr>
            <w:tcW w:w="840" w:type="dxa"/>
            <w:noWrap w:val="0"/>
            <w:vAlign w:val="top"/>
          </w:tcPr>
          <w:p w14:paraId="00A49A07">
            <w:pPr>
              <w:spacing w:line="360" w:lineRule="auto"/>
              <w:jc w:val="center"/>
              <w:rPr>
                <w:rFonts w:ascii="宋体"/>
                <w:color w:val="auto"/>
                <w:sz w:val="28"/>
                <w:szCs w:val="28"/>
                <w:highlight w:val="none"/>
              </w:rPr>
            </w:pPr>
          </w:p>
        </w:tc>
        <w:tc>
          <w:tcPr>
            <w:tcW w:w="840" w:type="dxa"/>
            <w:noWrap w:val="0"/>
            <w:vAlign w:val="top"/>
          </w:tcPr>
          <w:p w14:paraId="3A282364">
            <w:pPr>
              <w:spacing w:line="360" w:lineRule="auto"/>
              <w:jc w:val="center"/>
              <w:rPr>
                <w:rFonts w:ascii="宋体"/>
                <w:color w:val="auto"/>
                <w:sz w:val="28"/>
                <w:szCs w:val="28"/>
                <w:highlight w:val="none"/>
              </w:rPr>
            </w:pPr>
          </w:p>
        </w:tc>
        <w:tc>
          <w:tcPr>
            <w:tcW w:w="735" w:type="dxa"/>
            <w:noWrap w:val="0"/>
            <w:vAlign w:val="top"/>
          </w:tcPr>
          <w:p w14:paraId="29DA2854">
            <w:pPr>
              <w:spacing w:line="360" w:lineRule="auto"/>
              <w:jc w:val="center"/>
              <w:rPr>
                <w:rFonts w:ascii="宋体"/>
                <w:color w:val="auto"/>
                <w:sz w:val="28"/>
                <w:szCs w:val="28"/>
                <w:highlight w:val="none"/>
              </w:rPr>
            </w:pPr>
          </w:p>
        </w:tc>
        <w:tc>
          <w:tcPr>
            <w:tcW w:w="945" w:type="dxa"/>
            <w:noWrap w:val="0"/>
            <w:vAlign w:val="top"/>
          </w:tcPr>
          <w:p w14:paraId="01F5E826">
            <w:pPr>
              <w:spacing w:line="360" w:lineRule="auto"/>
              <w:jc w:val="center"/>
              <w:rPr>
                <w:rFonts w:ascii="宋体"/>
                <w:color w:val="auto"/>
                <w:sz w:val="28"/>
                <w:szCs w:val="28"/>
                <w:highlight w:val="none"/>
              </w:rPr>
            </w:pPr>
          </w:p>
        </w:tc>
      </w:tr>
      <w:tr w14:paraId="49F93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noWrap w:val="0"/>
            <w:vAlign w:val="top"/>
          </w:tcPr>
          <w:p w14:paraId="7FC70BA2">
            <w:pPr>
              <w:spacing w:line="360" w:lineRule="auto"/>
              <w:jc w:val="center"/>
              <w:rPr>
                <w:rFonts w:ascii="宋体"/>
                <w:color w:val="auto"/>
                <w:sz w:val="28"/>
                <w:szCs w:val="28"/>
                <w:highlight w:val="none"/>
              </w:rPr>
            </w:pPr>
          </w:p>
        </w:tc>
        <w:tc>
          <w:tcPr>
            <w:tcW w:w="1155" w:type="dxa"/>
            <w:noWrap w:val="0"/>
            <w:vAlign w:val="top"/>
          </w:tcPr>
          <w:p w14:paraId="715A6AE2">
            <w:pPr>
              <w:spacing w:line="360" w:lineRule="auto"/>
              <w:jc w:val="center"/>
              <w:rPr>
                <w:rFonts w:ascii="宋体"/>
                <w:color w:val="auto"/>
                <w:sz w:val="28"/>
                <w:szCs w:val="28"/>
                <w:highlight w:val="none"/>
              </w:rPr>
            </w:pPr>
          </w:p>
        </w:tc>
        <w:tc>
          <w:tcPr>
            <w:tcW w:w="1050" w:type="dxa"/>
            <w:noWrap w:val="0"/>
            <w:vAlign w:val="top"/>
          </w:tcPr>
          <w:p w14:paraId="43990862">
            <w:pPr>
              <w:spacing w:line="360" w:lineRule="auto"/>
              <w:jc w:val="center"/>
              <w:rPr>
                <w:rFonts w:ascii="宋体"/>
                <w:color w:val="auto"/>
                <w:sz w:val="28"/>
                <w:szCs w:val="28"/>
                <w:highlight w:val="none"/>
              </w:rPr>
            </w:pPr>
          </w:p>
        </w:tc>
        <w:tc>
          <w:tcPr>
            <w:tcW w:w="630" w:type="dxa"/>
            <w:noWrap w:val="0"/>
            <w:vAlign w:val="top"/>
          </w:tcPr>
          <w:p w14:paraId="3B2D4AA6">
            <w:pPr>
              <w:spacing w:line="360" w:lineRule="auto"/>
              <w:jc w:val="center"/>
              <w:rPr>
                <w:rFonts w:ascii="宋体"/>
                <w:color w:val="auto"/>
                <w:sz w:val="28"/>
                <w:szCs w:val="28"/>
                <w:highlight w:val="none"/>
              </w:rPr>
            </w:pPr>
          </w:p>
        </w:tc>
        <w:tc>
          <w:tcPr>
            <w:tcW w:w="525" w:type="dxa"/>
            <w:noWrap w:val="0"/>
            <w:vAlign w:val="top"/>
          </w:tcPr>
          <w:p w14:paraId="0BBC051B">
            <w:pPr>
              <w:spacing w:line="360" w:lineRule="auto"/>
              <w:jc w:val="center"/>
              <w:rPr>
                <w:rFonts w:ascii="宋体"/>
                <w:color w:val="auto"/>
                <w:sz w:val="28"/>
                <w:szCs w:val="28"/>
                <w:highlight w:val="none"/>
              </w:rPr>
            </w:pPr>
          </w:p>
        </w:tc>
        <w:tc>
          <w:tcPr>
            <w:tcW w:w="735" w:type="dxa"/>
            <w:noWrap w:val="0"/>
            <w:vAlign w:val="top"/>
          </w:tcPr>
          <w:p w14:paraId="6CBCD289">
            <w:pPr>
              <w:spacing w:line="360" w:lineRule="auto"/>
              <w:jc w:val="center"/>
              <w:rPr>
                <w:rFonts w:ascii="宋体"/>
                <w:color w:val="auto"/>
                <w:sz w:val="28"/>
                <w:szCs w:val="28"/>
                <w:highlight w:val="none"/>
              </w:rPr>
            </w:pPr>
          </w:p>
        </w:tc>
        <w:tc>
          <w:tcPr>
            <w:tcW w:w="840" w:type="dxa"/>
            <w:noWrap w:val="0"/>
            <w:vAlign w:val="top"/>
          </w:tcPr>
          <w:p w14:paraId="35DBACD4">
            <w:pPr>
              <w:spacing w:line="360" w:lineRule="auto"/>
              <w:jc w:val="center"/>
              <w:rPr>
                <w:rFonts w:ascii="宋体"/>
                <w:color w:val="auto"/>
                <w:sz w:val="28"/>
                <w:szCs w:val="28"/>
                <w:highlight w:val="none"/>
              </w:rPr>
            </w:pPr>
          </w:p>
        </w:tc>
        <w:tc>
          <w:tcPr>
            <w:tcW w:w="840" w:type="dxa"/>
            <w:noWrap w:val="0"/>
            <w:vAlign w:val="top"/>
          </w:tcPr>
          <w:p w14:paraId="711AF679">
            <w:pPr>
              <w:spacing w:line="360" w:lineRule="auto"/>
              <w:jc w:val="center"/>
              <w:rPr>
                <w:rFonts w:ascii="宋体"/>
                <w:color w:val="auto"/>
                <w:sz w:val="28"/>
                <w:szCs w:val="28"/>
                <w:highlight w:val="none"/>
              </w:rPr>
            </w:pPr>
          </w:p>
        </w:tc>
        <w:tc>
          <w:tcPr>
            <w:tcW w:w="735" w:type="dxa"/>
            <w:noWrap w:val="0"/>
            <w:vAlign w:val="top"/>
          </w:tcPr>
          <w:p w14:paraId="2F18BFAB">
            <w:pPr>
              <w:spacing w:line="360" w:lineRule="auto"/>
              <w:jc w:val="center"/>
              <w:rPr>
                <w:rFonts w:ascii="宋体"/>
                <w:color w:val="auto"/>
                <w:sz w:val="28"/>
                <w:szCs w:val="28"/>
                <w:highlight w:val="none"/>
              </w:rPr>
            </w:pPr>
          </w:p>
        </w:tc>
        <w:tc>
          <w:tcPr>
            <w:tcW w:w="945" w:type="dxa"/>
            <w:noWrap w:val="0"/>
            <w:vAlign w:val="top"/>
          </w:tcPr>
          <w:p w14:paraId="17A5D23C">
            <w:pPr>
              <w:spacing w:line="360" w:lineRule="auto"/>
              <w:jc w:val="center"/>
              <w:rPr>
                <w:rFonts w:ascii="宋体"/>
                <w:color w:val="auto"/>
                <w:sz w:val="28"/>
                <w:szCs w:val="28"/>
                <w:highlight w:val="none"/>
              </w:rPr>
            </w:pPr>
          </w:p>
        </w:tc>
      </w:tr>
      <w:tr w14:paraId="40681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noWrap w:val="0"/>
            <w:vAlign w:val="top"/>
          </w:tcPr>
          <w:p w14:paraId="650FF0D4">
            <w:pPr>
              <w:spacing w:line="360" w:lineRule="auto"/>
              <w:jc w:val="center"/>
              <w:rPr>
                <w:rFonts w:ascii="宋体"/>
                <w:color w:val="auto"/>
                <w:sz w:val="28"/>
                <w:szCs w:val="28"/>
                <w:highlight w:val="none"/>
              </w:rPr>
            </w:pPr>
          </w:p>
        </w:tc>
        <w:tc>
          <w:tcPr>
            <w:tcW w:w="1155" w:type="dxa"/>
            <w:noWrap w:val="0"/>
            <w:vAlign w:val="top"/>
          </w:tcPr>
          <w:p w14:paraId="12F418E1">
            <w:pPr>
              <w:spacing w:line="360" w:lineRule="auto"/>
              <w:jc w:val="center"/>
              <w:rPr>
                <w:rFonts w:ascii="宋体"/>
                <w:color w:val="auto"/>
                <w:sz w:val="28"/>
                <w:szCs w:val="28"/>
                <w:highlight w:val="none"/>
              </w:rPr>
            </w:pPr>
          </w:p>
        </w:tc>
        <w:tc>
          <w:tcPr>
            <w:tcW w:w="1050" w:type="dxa"/>
            <w:noWrap w:val="0"/>
            <w:vAlign w:val="top"/>
          </w:tcPr>
          <w:p w14:paraId="2743925A">
            <w:pPr>
              <w:spacing w:line="360" w:lineRule="auto"/>
              <w:jc w:val="center"/>
              <w:rPr>
                <w:rFonts w:ascii="宋体"/>
                <w:color w:val="auto"/>
                <w:sz w:val="28"/>
                <w:szCs w:val="28"/>
                <w:highlight w:val="none"/>
              </w:rPr>
            </w:pPr>
          </w:p>
        </w:tc>
        <w:tc>
          <w:tcPr>
            <w:tcW w:w="630" w:type="dxa"/>
            <w:noWrap w:val="0"/>
            <w:vAlign w:val="top"/>
          </w:tcPr>
          <w:p w14:paraId="371AED10">
            <w:pPr>
              <w:spacing w:line="360" w:lineRule="auto"/>
              <w:jc w:val="center"/>
              <w:rPr>
                <w:rFonts w:ascii="宋体"/>
                <w:color w:val="auto"/>
                <w:sz w:val="28"/>
                <w:szCs w:val="28"/>
                <w:highlight w:val="none"/>
              </w:rPr>
            </w:pPr>
          </w:p>
        </w:tc>
        <w:tc>
          <w:tcPr>
            <w:tcW w:w="525" w:type="dxa"/>
            <w:noWrap w:val="0"/>
            <w:vAlign w:val="top"/>
          </w:tcPr>
          <w:p w14:paraId="1AD8A190">
            <w:pPr>
              <w:spacing w:line="360" w:lineRule="auto"/>
              <w:jc w:val="center"/>
              <w:rPr>
                <w:rFonts w:ascii="宋体"/>
                <w:color w:val="auto"/>
                <w:sz w:val="28"/>
                <w:szCs w:val="28"/>
                <w:highlight w:val="none"/>
              </w:rPr>
            </w:pPr>
          </w:p>
        </w:tc>
        <w:tc>
          <w:tcPr>
            <w:tcW w:w="735" w:type="dxa"/>
            <w:noWrap w:val="0"/>
            <w:vAlign w:val="top"/>
          </w:tcPr>
          <w:p w14:paraId="10D52A75">
            <w:pPr>
              <w:spacing w:line="360" w:lineRule="auto"/>
              <w:jc w:val="center"/>
              <w:rPr>
                <w:rFonts w:ascii="宋体"/>
                <w:color w:val="auto"/>
                <w:sz w:val="28"/>
                <w:szCs w:val="28"/>
                <w:highlight w:val="none"/>
              </w:rPr>
            </w:pPr>
          </w:p>
        </w:tc>
        <w:tc>
          <w:tcPr>
            <w:tcW w:w="840" w:type="dxa"/>
            <w:noWrap w:val="0"/>
            <w:vAlign w:val="top"/>
          </w:tcPr>
          <w:p w14:paraId="6B83A975">
            <w:pPr>
              <w:spacing w:line="360" w:lineRule="auto"/>
              <w:jc w:val="center"/>
              <w:rPr>
                <w:rFonts w:ascii="宋体"/>
                <w:color w:val="auto"/>
                <w:sz w:val="28"/>
                <w:szCs w:val="28"/>
                <w:highlight w:val="none"/>
              </w:rPr>
            </w:pPr>
          </w:p>
        </w:tc>
        <w:tc>
          <w:tcPr>
            <w:tcW w:w="840" w:type="dxa"/>
            <w:noWrap w:val="0"/>
            <w:vAlign w:val="top"/>
          </w:tcPr>
          <w:p w14:paraId="021A477A">
            <w:pPr>
              <w:spacing w:line="360" w:lineRule="auto"/>
              <w:jc w:val="center"/>
              <w:rPr>
                <w:rFonts w:ascii="宋体"/>
                <w:color w:val="auto"/>
                <w:sz w:val="28"/>
                <w:szCs w:val="28"/>
                <w:highlight w:val="none"/>
              </w:rPr>
            </w:pPr>
          </w:p>
        </w:tc>
        <w:tc>
          <w:tcPr>
            <w:tcW w:w="735" w:type="dxa"/>
            <w:noWrap w:val="0"/>
            <w:vAlign w:val="top"/>
          </w:tcPr>
          <w:p w14:paraId="044088B2">
            <w:pPr>
              <w:spacing w:line="360" w:lineRule="auto"/>
              <w:jc w:val="center"/>
              <w:rPr>
                <w:rFonts w:ascii="宋体"/>
                <w:color w:val="auto"/>
                <w:sz w:val="28"/>
                <w:szCs w:val="28"/>
                <w:highlight w:val="none"/>
              </w:rPr>
            </w:pPr>
          </w:p>
        </w:tc>
        <w:tc>
          <w:tcPr>
            <w:tcW w:w="945" w:type="dxa"/>
            <w:noWrap w:val="0"/>
            <w:vAlign w:val="top"/>
          </w:tcPr>
          <w:p w14:paraId="478CCD2F">
            <w:pPr>
              <w:spacing w:line="360" w:lineRule="auto"/>
              <w:jc w:val="center"/>
              <w:rPr>
                <w:rFonts w:ascii="宋体"/>
                <w:color w:val="auto"/>
                <w:sz w:val="28"/>
                <w:szCs w:val="28"/>
                <w:highlight w:val="none"/>
              </w:rPr>
            </w:pPr>
          </w:p>
        </w:tc>
      </w:tr>
      <w:tr w14:paraId="7A9C5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noWrap w:val="0"/>
            <w:vAlign w:val="top"/>
          </w:tcPr>
          <w:p w14:paraId="10071237">
            <w:pPr>
              <w:spacing w:line="360" w:lineRule="auto"/>
              <w:jc w:val="center"/>
              <w:rPr>
                <w:rFonts w:ascii="宋体"/>
                <w:color w:val="auto"/>
                <w:sz w:val="28"/>
                <w:szCs w:val="28"/>
                <w:highlight w:val="none"/>
              </w:rPr>
            </w:pPr>
          </w:p>
        </w:tc>
        <w:tc>
          <w:tcPr>
            <w:tcW w:w="1155" w:type="dxa"/>
            <w:noWrap w:val="0"/>
            <w:vAlign w:val="top"/>
          </w:tcPr>
          <w:p w14:paraId="7C1E0C29">
            <w:pPr>
              <w:spacing w:line="360" w:lineRule="auto"/>
              <w:jc w:val="center"/>
              <w:rPr>
                <w:rFonts w:ascii="宋体"/>
                <w:color w:val="auto"/>
                <w:sz w:val="28"/>
                <w:szCs w:val="28"/>
                <w:highlight w:val="none"/>
              </w:rPr>
            </w:pPr>
          </w:p>
        </w:tc>
        <w:tc>
          <w:tcPr>
            <w:tcW w:w="1050" w:type="dxa"/>
            <w:noWrap w:val="0"/>
            <w:vAlign w:val="top"/>
          </w:tcPr>
          <w:p w14:paraId="49C52721">
            <w:pPr>
              <w:spacing w:line="360" w:lineRule="auto"/>
              <w:jc w:val="center"/>
              <w:rPr>
                <w:rFonts w:ascii="宋体"/>
                <w:color w:val="auto"/>
                <w:sz w:val="28"/>
                <w:szCs w:val="28"/>
                <w:highlight w:val="none"/>
              </w:rPr>
            </w:pPr>
          </w:p>
        </w:tc>
        <w:tc>
          <w:tcPr>
            <w:tcW w:w="630" w:type="dxa"/>
            <w:noWrap w:val="0"/>
            <w:vAlign w:val="top"/>
          </w:tcPr>
          <w:p w14:paraId="3E16A9A2">
            <w:pPr>
              <w:spacing w:line="360" w:lineRule="auto"/>
              <w:jc w:val="center"/>
              <w:rPr>
                <w:rFonts w:ascii="宋体"/>
                <w:color w:val="auto"/>
                <w:sz w:val="28"/>
                <w:szCs w:val="28"/>
                <w:highlight w:val="none"/>
              </w:rPr>
            </w:pPr>
          </w:p>
        </w:tc>
        <w:tc>
          <w:tcPr>
            <w:tcW w:w="525" w:type="dxa"/>
            <w:noWrap w:val="0"/>
            <w:vAlign w:val="top"/>
          </w:tcPr>
          <w:p w14:paraId="5F7058B6">
            <w:pPr>
              <w:spacing w:line="360" w:lineRule="auto"/>
              <w:jc w:val="center"/>
              <w:rPr>
                <w:rFonts w:ascii="宋体"/>
                <w:color w:val="auto"/>
                <w:sz w:val="28"/>
                <w:szCs w:val="28"/>
                <w:highlight w:val="none"/>
              </w:rPr>
            </w:pPr>
          </w:p>
        </w:tc>
        <w:tc>
          <w:tcPr>
            <w:tcW w:w="735" w:type="dxa"/>
            <w:noWrap w:val="0"/>
            <w:vAlign w:val="top"/>
          </w:tcPr>
          <w:p w14:paraId="6DA24776">
            <w:pPr>
              <w:spacing w:line="360" w:lineRule="auto"/>
              <w:jc w:val="center"/>
              <w:rPr>
                <w:rFonts w:ascii="宋体"/>
                <w:color w:val="auto"/>
                <w:sz w:val="28"/>
                <w:szCs w:val="28"/>
                <w:highlight w:val="none"/>
              </w:rPr>
            </w:pPr>
          </w:p>
        </w:tc>
        <w:tc>
          <w:tcPr>
            <w:tcW w:w="840" w:type="dxa"/>
            <w:noWrap w:val="0"/>
            <w:vAlign w:val="top"/>
          </w:tcPr>
          <w:p w14:paraId="13286261">
            <w:pPr>
              <w:spacing w:line="360" w:lineRule="auto"/>
              <w:jc w:val="center"/>
              <w:rPr>
                <w:rFonts w:ascii="宋体"/>
                <w:color w:val="auto"/>
                <w:sz w:val="28"/>
                <w:szCs w:val="28"/>
                <w:highlight w:val="none"/>
              </w:rPr>
            </w:pPr>
          </w:p>
        </w:tc>
        <w:tc>
          <w:tcPr>
            <w:tcW w:w="840" w:type="dxa"/>
            <w:noWrap w:val="0"/>
            <w:vAlign w:val="top"/>
          </w:tcPr>
          <w:p w14:paraId="3E13805B">
            <w:pPr>
              <w:spacing w:line="360" w:lineRule="auto"/>
              <w:jc w:val="center"/>
              <w:rPr>
                <w:rFonts w:ascii="宋体"/>
                <w:color w:val="auto"/>
                <w:sz w:val="28"/>
                <w:szCs w:val="28"/>
                <w:highlight w:val="none"/>
              </w:rPr>
            </w:pPr>
          </w:p>
        </w:tc>
        <w:tc>
          <w:tcPr>
            <w:tcW w:w="735" w:type="dxa"/>
            <w:noWrap w:val="0"/>
            <w:vAlign w:val="top"/>
          </w:tcPr>
          <w:p w14:paraId="4217781C">
            <w:pPr>
              <w:spacing w:line="360" w:lineRule="auto"/>
              <w:jc w:val="center"/>
              <w:rPr>
                <w:rFonts w:ascii="宋体"/>
                <w:color w:val="auto"/>
                <w:sz w:val="28"/>
                <w:szCs w:val="28"/>
                <w:highlight w:val="none"/>
              </w:rPr>
            </w:pPr>
          </w:p>
        </w:tc>
        <w:tc>
          <w:tcPr>
            <w:tcW w:w="945" w:type="dxa"/>
            <w:noWrap w:val="0"/>
            <w:vAlign w:val="top"/>
          </w:tcPr>
          <w:p w14:paraId="05711A74">
            <w:pPr>
              <w:spacing w:line="360" w:lineRule="auto"/>
              <w:jc w:val="center"/>
              <w:rPr>
                <w:rFonts w:ascii="宋体"/>
                <w:color w:val="auto"/>
                <w:sz w:val="28"/>
                <w:szCs w:val="28"/>
                <w:highlight w:val="none"/>
              </w:rPr>
            </w:pPr>
          </w:p>
        </w:tc>
      </w:tr>
      <w:tr w14:paraId="00B80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noWrap w:val="0"/>
            <w:vAlign w:val="top"/>
          </w:tcPr>
          <w:p w14:paraId="13A9C6A8">
            <w:pPr>
              <w:spacing w:line="360" w:lineRule="auto"/>
              <w:jc w:val="center"/>
              <w:rPr>
                <w:rFonts w:ascii="宋体"/>
                <w:color w:val="auto"/>
                <w:sz w:val="28"/>
                <w:szCs w:val="28"/>
                <w:highlight w:val="none"/>
              </w:rPr>
            </w:pPr>
          </w:p>
        </w:tc>
        <w:tc>
          <w:tcPr>
            <w:tcW w:w="1155" w:type="dxa"/>
            <w:noWrap w:val="0"/>
            <w:vAlign w:val="top"/>
          </w:tcPr>
          <w:p w14:paraId="694D1C3C">
            <w:pPr>
              <w:spacing w:line="360" w:lineRule="auto"/>
              <w:jc w:val="center"/>
              <w:rPr>
                <w:rFonts w:ascii="宋体"/>
                <w:color w:val="auto"/>
                <w:sz w:val="28"/>
                <w:szCs w:val="28"/>
                <w:highlight w:val="none"/>
              </w:rPr>
            </w:pPr>
          </w:p>
        </w:tc>
        <w:tc>
          <w:tcPr>
            <w:tcW w:w="1050" w:type="dxa"/>
            <w:noWrap w:val="0"/>
            <w:vAlign w:val="top"/>
          </w:tcPr>
          <w:p w14:paraId="433340A1">
            <w:pPr>
              <w:spacing w:line="360" w:lineRule="auto"/>
              <w:jc w:val="center"/>
              <w:rPr>
                <w:rFonts w:ascii="宋体"/>
                <w:color w:val="auto"/>
                <w:sz w:val="28"/>
                <w:szCs w:val="28"/>
                <w:highlight w:val="none"/>
              </w:rPr>
            </w:pPr>
          </w:p>
        </w:tc>
        <w:tc>
          <w:tcPr>
            <w:tcW w:w="630" w:type="dxa"/>
            <w:noWrap w:val="0"/>
            <w:vAlign w:val="top"/>
          </w:tcPr>
          <w:p w14:paraId="4C706F39">
            <w:pPr>
              <w:spacing w:line="360" w:lineRule="auto"/>
              <w:jc w:val="center"/>
              <w:rPr>
                <w:rFonts w:ascii="宋体"/>
                <w:color w:val="auto"/>
                <w:sz w:val="28"/>
                <w:szCs w:val="28"/>
                <w:highlight w:val="none"/>
              </w:rPr>
            </w:pPr>
          </w:p>
        </w:tc>
        <w:tc>
          <w:tcPr>
            <w:tcW w:w="525" w:type="dxa"/>
            <w:noWrap w:val="0"/>
            <w:vAlign w:val="top"/>
          </w:tcPr>
          <w:p w14:paraId="12B957F0">
            <w:pPr>
              <w:spacing w:line="360" w:lineRule="auto"/>
              <w:jc w:val="center"/>
              <w:rPr>
                <w:rFonts w:ascii="宋体"/>
                <w:color w:val="auto"/>
                <w:sz w:val="28"/>
                <w:szCs w:val="28"/>
                <w:highlight w:val="none"/>
              </w:rPr>
            </w:pPr>
          </w:p>
        </w:tc>
        <w:tc>
          <w:tcPr>
            <w:tcW w:w="735" w:type="dxa"/>
            <w:noWrap w:val="0"/>
            <w:vAlign w:val="top"/>
          </w:tcPr>
          <w:p w14:paraId="397C0773">
            <w:pPr>
              <w:spacing w:line="360" w:lineRule="auto"/>
              <w:jc w:val="center"/>
              <w:rPr>
                <w:rFonts w:ascii="宋体"/>
                <w:color w:val="auto"/>
                <w:sz w:val="28"/>
                <w:szCs w:val="28"/>
                <w:highlight w:val="none"/>
              </w:rPr>
            </w:pPr>
          </w:p>
        </w:tc>
        <w:tc>
          <w:tcPr>
            <w:tcW w:w="840" w:type="dxa"/>
            <w:noWrap w:val="0"/>
            <w:vAlign w:val="top"/>
          </w:tcPr>
          <w:p w14:paraId="6B759545">
            <w:pPr>
              <w:spacing w:line="360" w:lineRule="auto"/>
              <w:jc w:val="center"/>
              <w:rPr>
                <w:rFonts w:ascii="宋体"/>
                <w:color w:val="auto"/>
                <w:sz w:val="28"/>
                <w:szCs w:val="28"/>
                <w:highlight w:val="none"/>
              </w:rPr>
            </w:pPr>
          </w:p>
        </w:tc>
        <w:tc>
          <w:tcPr>
            <w:tcW w:w="840" w:type="dxa"/>
            <w:noWrap w:val="0"/>
            <w:vAlign w:val="top"/>
          </w:tcPr>
          <w:p w14:paraId="2E307756">
            <w:pPr>
              <w:spacing w:line="360" w:lineRule="auto"/>
              <w:jc w:val="center"/>
              <w:rPr>
                <w:rFonts w:ascii="宋体"/>
                <w:color w:val="auto"/>
                <w:sz w:val="28"/>
                <w:szCs w:val="28"/>
                <w:highlight w:val="none"/>
              </w:rPr>
            </w:pPr>
          </w:p>
        </w:tc>
        <w:tc>
          <w:tcPr>
            <w:tcW w:w="735" w:type="dxa"/>
            <w:noWrap w:val="0"/>
            <w:vAlign w:val="top"/>
          </w:tcPr>
          <w:p w14:paraId="7512597F">
            <w:pPr>
              <w:spacing w:line="360" w:lineRule="auto"/>
              <w:jc w:val="center"/>
              <w:rPr>
                <w:rFonts w:ascii="宋体"/>
                <w:color w:val="auto"/>
                <w:sz w:val="28"/>
                <w:szCs w:val="28"/>
                <w:highlight w:val="none"/>
              </w:rPr>
            </w:pPr>
          </w:p>
        </w:tc>
        <w:tc>
          <w:tcPr>
            <w:tcW w:w="945" w:type="dxa"/>
            <w:noWrap w:val="0"/>
            <w:vAlign w:val="top"/>
          </w:tcPr>
          <w:p w14:paraId="2578A019">
            <w:pPr>
              <w:spacing w:line="360" w:lineRule="auto"/>
              <w:jc w:val="center"/>
              <w:rPr>
                <w:rFonts w:ascii="宋体"/>
                <w:color w:val="auto"/>
                <w:sz w:val="28"/>
                <w:szCs w:val="28"/>
                <w:highlight w:val="none"/>
              </w:rPr>
            </w:pPr>
          </w:p>
        </w:tc>
      </w:tr>
      <w:tr w14:paraId="29BBD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noWrap w:val="0"/>
            <w:vAlign w:val="top"/>
          </w:tcPr>
          <w:p w14:paraId="6711AAFD">
            <w:pPr>
              <w:spacing w:line="360" w:lineRule="auto"/>
              <w:jc w:val="center"/>
              <w:rPr>
                <w:rFonts w:ascii="宋体"/>
                <w:color w:val="auto"/>
                <w:sz w:val="28"/>
                <w:szCs w:val="28"/>
                <w:highlight w:val="none"/>
              </w:rPr>
            </w:pPr>
          </w:p>
        </w:tc>
        <w:tc>
          <w:tcPr>
            <w:tcW w:w="1155" w:type="dxa"/>
            <w:noWrap w:val="0"/>
            <w:vAlign w:val="top"/>
          </w:tcPr>
          <w:p w14:paraId="0D48CFBC">
            <w:pPr>
              <w:spacing w:line="360" w:lineRule="auto"/>
              <w:jc w:val="center"/>
              <w:rPr>
                <w:rFonts w:ascii="宋体"/>
                <w:color w:val="auto"/>
                <w:sz w:val="28"/>
                <w:szCs w:val="28"/>
                <w:highlight w:val="none"/>
              </w:rPr>
            </w:pPr>
          </w:p>
        </w:tc>
        <w:tc>
          <w:tcPr>
            <w:tcW w:w="1050" w:type="dxa"/>
            <w:noWrap w:val="0"/>
            <w:vAlign w:val="top"/>
          </w:tcPr>
          <w:p w14:paraId="01D22E8C">
            <w:pPr>
              <w:spacing w:line="360" w:lineRule="auto"/>
              <w:jc w:val="center"/>
              <w:rPr>
                <w:rFonts w:ascii="宋体"/>
                <w:color w:val="auto"/>
                <w:sz w:val="28"/>
                <w:szCs w:val="28"/>
                <w:highlight w:val="none"/>
              </w:rPr>
            </w:pPr>
          </w:p>
        </w:tc>
        <w:tc>
          <w:tcPr>
            <w:tcW w:w="630" w:type="dxa"/>
            <w:noWrap w:val="0"/>
            <w:vAlign w:val="top"/>
          </w:tcPr>
          <w:p w14:paraId="7E005734">
            <w:pPr>
              <w:spacing w:line="360" w:lineRule="auto"/>
              <w:jc w:val="center"/>
              <w:rPr>
                <w:rFonts w:ascii="宋体"/>
                <w:color w:val="auto"/>
                <w:sz w:val="28"/>
                <w:szCs w:val="28"/>
                <w:highlight w:val="none"/>
              </w:rPr>
            </w:pPr>
          </w:p>
        </w:tc>
        <w:tc>
          <w:tcPr>
            <w:tcW w:w="525" w:type="dxa"/>
            <w:noWrap w:val="0"/>
            <w:vAlign w:val="top"/>
          </w:tcPr>
          <w:p w14:paraId="6502844B">
            <w:pPr>
              <w:spacing w:line="360" w:lineRule="auto"/>
              <w:jc w:val="center"/>
              <w:rPr>
                <w:rFonts w:ascii="宋体"/>
                <w:color w:val="auto"/>
                <w:sz w:val="28"/>
                <w:szCs w:val="28"/>
                <w:highlight w:val="none"/>
              </w:rPr>
            </w:pPr>
          </w:p>
        </w:tc>
        <w:tc>
          <w:tcPr>
            <w:tcW w:w="735" w:type="dxa"/>
            <w:noWrap w:val="0"/>
            <w:vAlign w:val="top"/>
          </w:tcPr>
          <w:p w14:paraId="5C9F182A">
            <w:pPr>
              <w:spacing w:line="360" w:lineRule="auto"/>
              <w:jc w:val="center"/>
              <w:rPr>
                <w:rFonts w:ascii="宋体"/>
                <w:color w:val="auto"/>
                <w:sz w:val="28"/>
                <w:szCs w:val="28"/>
                <w:highlight w:val="none"/>
              </w:rPr>
            </w:pPr>
          </w:p>
        </w:tc>
        <w:tc>
          <w:tcPr>
            <w:tcW w:w="840" w:type="dxa"/>
            <w:noWrap w:val="0"/>
            <w:vAlign w:val="top"/>
          </w:tcPr>
          <w:p w14:paraId="7A79B0AE">
            <w:pPr>
              <w:spacing w:line="360" w:lineRule="auto"/>
              <w:jc w:val="center"/>
              <w:rPr>
                <w:rFonts w:ascii="宋体"/>
                <w:color w:val="auto"/>
                <w:sz w:val="28"/>
                <w:szCs w:val="28"/>
                <w:highlight w:val="none"/>
              </w:rPr>
            </w:pPr>
          </w:p>
        </w:tc>
        <w:tc>
          <w:tcPr>
            <w:tcW w:w="840" w:type="dxa"/>
            <w:noWrap w:val="0"/>
            <w:vAlign w:val="top"/>
          </w:tcPr>
          <w:p w14:paraId="5E13AC15">
            <w:pPr>
              <w:spacing w:line="360" w:lineRule="auto"/>
              <w:jc w:val="center"/>
              <w:rPr>
                <w:rFonts w:ascii="宋体"/>
                <w:color w:val="auto"/>
                <w:sz w:val="28"/>
                <w:szCs w:val="28"/>
                <w:highlight w:val="none"/>
              </w:rPr>
            </w:pPr>
          </w:p>
        </w:tc>
        <w:tc>
          <w:tcPr>
            <w:tcW w:w="735" w:type="dxa"/>
            <w:noWrap w:val="0"/>
            <w:vAlign w:val="top"/>
          </w:tcPr>
          <w:p w14:paraId="3D051F75">
            <w:pPr>
              <w:spacing w:line="360" w:lineRule="auto"/>
              <w:jc w:val="center"/>
              <w:rPr>
                <w:rFonts w:ascii="宋体"/>
                <w:color w:val="auto"/>
                <w:sz w:val="28"/>
                <w:szCs w:val="28"/>
                <w:highlight w:val="none"/>
              </w:rPr>
            </w:pPr>
          </w:p>
        </w:tc>
        <w:tc>
          <w:tcPr>
            <w:tcW w:w="945" w:type="dxa"/>
            <w:noWrap w:val="0"/>
            <w:vAlign w:val="top"/>
          </w:tcPr>
          <w:p w14:paraId="01489317">
            <w:pPr>
              <w:spacing w:line="360" w:lineRule="auto"/>
              <w:jc w:val="center"/>
              <w:rPr>
                <w:rFonts w:ascii="宋体"/>
                <w:color w:val="auto"/>
                <w:sz w:val="28"/>
                <w:szCs w:val="28"/>
                <w:highlight w:val="none"/>
              </w:rPr>
            </w:pPr>
          </w:p>
        </w:tc>
      </w:tr>
      <w:tr w14:paraId="42564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noWrap w:val="0"/>
            <w:vAlign w:val="top"/>
          </w:tcPr>
          <w:p w14:paraId="3F6B2654">
            <w:pPr>
              <w:spacing w:line="360" w:lineRule="auto"/>
              <w:jc w:val="center"/>
              <w:rPr>
                <w:rFonts w:ascii="宋体"/>
                <w:color w:val="auto"/>
                <w:sz w:val="28"/>
                <w:szCs w:val="28"/>
                <w:highlight w:val="none"/>
              </w:rPr>
            </w:pPr>
          </w:p>
        </w:tc>
        <w:tc>
          <w:tcPr>
            <w:tcW w:w="1155" w:type="dxa"/>
            <w:noWrap w:val="0"/>
            <w:vAlign w:val="top"/>
          </w:tcPr>
          <w:p w14:paraId="271D06A4">
            <w:pPr>
              <w:spacing w:line="360" w:lineRule="auto"/>
              <w:jc w:val="center"/>
              <w:rPr>
                <w:rFonts w:ascii="宋体"/>
                <w:color w:val="auto"/>
                <w:sz w:val="28"/>
                <w:szCs w:val="28"/>
                <w:highlight w:val="none"/>
              </w:rPr>
            </w:pPr>
          </w:p>
        </w:tc>
        <w:tc>
          <w:tcPr>
            <w:tcW w:w="1050" w:type="dxa"/>
            <w:noWrap w:val="0"/>
            <w:vAlign w:val="top"/>
          </w:tcPr>
          <w:p w14:paraId="639B9816">
            <w:pPr>
              <w:spacing w:line="360" w:lineRule="auto"/>
              <w:jc w:val="center"/>
              <w:rPr>
                <w:rFonts w:ascii="宋体"/>
                <w:color w:val="auto"/>
                <w:sz w:val="28"/>
                <w:szCs w:val="28"/>
                <w:highlight w:val="none"/>
              </w:rPr>
            </w:pPr>
          </w:p>
        </w:tc>
        <w:tc>
          <w:tcPr>
            <w:tcW w:w="630" w:type="dxa"/>
            <w:noWrap w:val="0"/>
            <w:vAlign w:val="top"/>
          </w:tcPr>
          <w:p w14:paraId="7B42B027">
            <w:pPr>
              <w:spacing w:line="360" w:lineRule="auto"/>
              <w:jc w:val="center"/>
              <w:rPr>
                <w:rFonts w:ascii="宋体"/>
                <w:color w:val="auto"/>
                <w:sz w:val="28"/>
                <w:szCs w:val="28"/>
                <w:highlight w:val="none"/>
              </w:rPr>
            </w:pPr>
          </w:p>
        </w:tc>
        <w:tc>
          <w:tcPr>
            <w:tcW w:w="525" w:type="dxa"/>
            <w:noWrap w:val="0"/>
            <w:vAlign w:val="top"/>
          </w:tcPr>
          <w:p w14:paraId="41EC0386">
            <w:pPr>
              <w:spacing w:line="360" w:lineRule="auto"/>
              <w:jc w:val="center"/>
              <w:rPr>
                <w:rFonts w:ascii="宋体"/>
                <w:color w:val="auto"/>
                <w:sz w:val="28"/>
                <w:szCs w:val="28"/>
                <w:highlight w:val="none"/>
              </w:rPr>
            </w:pPr>
          </w:p>
        </w:tc>
        <w:tc>
          <w:tcPr>
            <w:tcW w:w="735" w:type="dxa"/>
            <w:noWrap w:val="0"/>
            <w:vAlign w:val="top"/>
          </w:tcPr>
          <w:p w14:paraId="6243D85B">
            <w:pPr>
              <w:spacing w:line="360" w:lineRule="auto"/>
              <w:jc w:val="center"/>
              <w:rPr>
                <w:rFonts w:ascii="宋体"/>
                <w:color w:val="auto"/>
                <w:sz w:val="28"/>
                <w:szCs w:val="28"/>
                <w:highlight w:val="none"/>
              </w:rPr>
            </w:pPr>
          </w:p>
        </w:tc>
        <w:tc>
          <w:tcPr>
            <w:tcW w:w="840" w:type="dxa"/>
            <w:noWrap w:val="0"/>
            <w:vAlign w:val="top"/>
          </w:tcPr>
          <w:p w14:paraId="24C47165">
            <w:pPr>
              <w:spacing w:line="360" w:lineRule="auto"/>
              <w:jc w:val="center"/>
              <w:rPr>
                <w:rFonts w:ascii="宋体"/>
                <w:color w:val="auto"/>
                <w:sz w:val="28"/>
                <w:szCs w:val="28"/>
                <w:highlight w:val="none"/>
              </w:rPr>
            </w:pPr>
          </w:p>
        </w:tc>
        <w:tc>
          <w:tcPr>
            <w:tcW w:w="840" w:type="dxa"/>
            <w:noWrap w:val="0"/>
            <w:vAlign w:val="top"/>
          </w:tcPr>
          <w:p w14:paraId="317059BF">
            <w:pPr>
              <w:spacing w:line="360" w:lineRule="auto"/>
              <w:jc w:val="center"/>
              <w:rPr>
                <w:rFonts w:ascii="宋体"/>
                <w:color w:val="auto"/>
                <w:sz w:val="28"/>
                <w:szCs w:val="28"/>
                <w:highlight w:val="none"/>
              </w:rPr>
            </w:pPr>
          </w:p>
        </w:tc>
        <w:tc>
          <w:tcPr>
            <w:tcW w:w="735" w:type="dxa"/>
            <w:noWrap w:val="0"/>
            <w:vAlign w:val="top"/>
          </w:tcPr>
          <w:p w14:paraId="73174AB8">
            <w:pPr>
              <w:spacing w:line="360" w:lineRule="auto"/>
              <w:jc w:val="center"/>
              <w:rPr>
                <w:rFonts w:ascii="宋体"/>
                <w:color w:val="auto"/>
                <w:sz w:val="28"/>
                <w:szCs w:val="28"/>
                <w:highlight w:val="none"/>
              </w:rPr>
            </w:pPr>
          </w:p>
        </w:tc>
        <w:tc>
          <w:tcPr>
            <w:tcW w:w="945" w:type="dxa"/>
            <w:noWrap w:val="0"/>
            <w:vAlign w:val="top"/>
          </w:tcPr>
          <w:p w14:paraId="595BC40F">
            <w:pPr>
              <w:spacing w:line="360" w:lineRule="auto"/>
              <w:jc w:val="center"/>
              <w:rPr>
                <w:rFonts w:ascii="宋体"/>
                <w:color w:val="auto"/>
                <w:sz w:val="28"/>
                <w:szCs w:val="28"/>
                <w:highlight w:val="none"/>
              </w:rPr>
            </w:pPr>
          </w:p>
        </w:tc>
      </w:tr>
      <w:tr w14:paraId="61B31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noWrap w:val="0"/>
            <w:vAlign w:val="top"/>
          </w:tcPr>
          <w:p w14:paraId="3ECD6510">
            <w:pPr>
              <w:spacing w:line="360" w:lineRule="auto"/>
              <w:jc w:val="center"/>
              <w:rPr>
                <w:rFonts w:ascii="宋体"/>
                <w:color w:val="auto"/>
                <w:sz w:val="28"/>
                <w:szCs w:val="28"/>
                <w:highlight w:val="none"/>
              </w:rPr>
            </w:pPr>
          </w:p>
        </w:tc>
        <w:tc>
          <w:tcPr>
            <w:tcW w:w="1155" w:type="dxa"/>
            <w:noWrap w:val="0"/>
            <w:vAlign w:val="top"/>
          </w:tcPr>
          <w:p w14:paraId="029F98D5">
            <w:pPr>
              <w:spacing w:line="360" w:lineRule="auto"/>
              <w:jc w:val="center"/>
              <w:rPr>
                <w:rFonts w:ascii="宋体"/>
                <w:color w:val="auto"/>
                <w:sz w:val="28"/>
                <w:szCs w:val="28"/>
                <w:highlight w:val="none"/>
              </w:rPr>
            </w:pPr>
          </w:p>
        </w:tc>
        <w:tc>
          <w:tcPr>
            <w:tcW w:w="1050" w:type="dxa"/>
            <w:noWrap w:val="0"/>
            <w:vAlign w:val="top"/>
          </w:tcPr>
          <w:p w14:paraId="103A1AA2">
            <w:pPr>
              <w:spacing w:line="360" w:lineRule="auto"/>
              <w:jc w:val="center"/>
              <w:rPr>
                <w:rFonts w:ascii="宋体"/>
                <w:color w:val="auto"/>
                <w:sz w:val="28"/>
                <w:szCs w:val="28"/>
                <w:highlight w:val="none"/>
              </w:rPr>
            </w:pPr>
          </w:p>
        </w:tc>
        <w:tc>
          <w:tcPr>
            <w:tcW w:w="630" w:type="dxa"/>
            <w:noWrap w:val="0"/>
            <w:vAlign w:val="top"/>
          </w:tcPr>
          <w:p w14:paraId="2FB53D21">
            <w:pPr>
              <w:spacing w:line="360" w:lineRule="auto"/>
              <w:jc w:val="center"/>
              <w:rPr>
                <w:rFonts w:ascii="宋体"/>
                <w:color w:val="auto"/>
                <w:sz w:val="28"/>
                <w:szCs w:val="28"/>
                <w:highlight w:val="none"/>
              </w:rPr>
            </w:pPr>
          </w:p>
        </w:tc>
        <w:tc>
          <w:tcPr>
            <w:tcW w:w="525" w:type="dxa"/>
            <w:noWrap w:val="0"/>
            <w:vAlign w:val="top"/>
          </w:tcPr>
          <w:p w14:paraId="38A36AE6">
            <w:pPr>
              <w:spacing w:line="360" w:lineRule="auto"/>
              <w:jc w:val="center"/>
              <w:rPr>
                <w:rFonts w:ascii="宋体"/>
                <w:color w:val="auto"/>
                <w:sz w:val="28"/>
                <w:szCs w:val="28"/>
                <w:highlight w:val="none"/>
              </w:rPr>
            </w:pPr>
          </w:p>
        </w:tc>
        <w:tc>
          <w:tcPr>
            <w:tcW w:w="735" w:type="dxa"/>
            <w:noWrap w:val="0"/>
            <w:vAlign w:val="top"/>
          </w:tcPr>
          <w:p w14:paraId="61BBF0EB">
            <w:pPr>
              <w:spacing w:line="360" w:lineRule="auto"/>
              <w:jc w:val="center"/>
              <w:rPr>
                <w:rFonts w:ascii="宋体"/>
                <w:color w:val="auto"/>
                <w:sz w:val="28"/>
                <w:szCs w:val="28"/>
                <w:highlight w:val="none"/>
              </w:rPr>
            </w:pPr>
          </w:p>
        </w:tc>
        <w:tc>
          <w:tcPr>
            <w:tcW w:w="840" w:type="dxa"/>
            <w:noWrap w:val="0"/>
            <w:vAlign w:val="top"/>
          </w:tcPr>
          <w:p w14:paraId="2CAF4562">
            <w:pPr>
              <w:spacing w:line="360" w:lineRule="auto"/>
              <w:jc w:val="center"/>
              <w:rPr>
                <w:rFonts w:ascii="宋体"/>
                <w:color w:val="auto"/>
                <w:sz w:val="28"/>
                <w:szCs w:val="28"/>
                <w:highlight w:val="none"/>
              </w:rPr>
            </w:pPr>
          </w:p>
        </w:tc>
        <w:tc>
          <w:tcPr>
            <w:tcW w:w="840" w:type="dxa"/>
            <w:noWrap w:val="0"/>
            <w:vAlign w:val="top"/>
          </w:tcPr>
          <w:p w14:paraId="5DA586EA">
            <w:pPr>
              <w:spacing w:line="360" w:lineRule="auto"/>
              <w:jc w:val="center"/>
              <w:rPr>
                <w:rFonts w:ascii="宋体"/>
                <w:color w:val="auto"/>
                <w:sz w:val="28"/>
                <w:szCs w:val="28"/>
                <w:highlight w:val="none"/>
              </w:rPr>
            </w:pPr>
          </w:p>
        </w:tc>
        <w:tc>
          <w:tcPr>
            <w:tcW w:w="735" w:type="dxa"/>
            <w:noWrap w:val="0"/>
            <w:vAlign w:val="top"/>
          </w:tcPr>
          <w:p w14:paraId="78DD83D7">
            <w:pPr>
              <w:spacing w:line="360" w:lineRule="auto"/>
              <w:jc w:val="center"/>
              <w:rPr>
                <w:rFonts w:ascii="宋体"/>
                <w:color w:val="auto"/>
                <w:sz w:val="28"/>
                <w:szCs w:val="28"/>
                <w:highlight w:val="none"/>
              </w:rPr>
            </w:pPr>
          </w:p>
        </w:tc>
        <w:tc>
          <w:tcPr>
            <w:tcW w:w="945" w:type="dxa"/>
            <w:noWrap w:val="0"/>
            <w:vAlign w:val="top"/>
          </w:tcPr>
          <w:p w14:paraId="67B4B4BD">
            <w:pPr>
              <w:spacing w:line="360" w:lineRule="auto"/>
              <w:jc w:val="center"/>
              <w:rPr>
                <w:rFonts w:ascii="宋体"/>
                <w:color w:val="auto"/>
                <w:sz w:val="28"/>
                <w:szCs w:val="28"/>
                <w:highlight w:val="none"/>
              </w:rPr>
            </w:pPr>
          </w:p>
        </w:tc>
      </w:tr>
      <w:tr w14:paraId="57081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noWrap w:val="0"/>
            <w:vAlign w:val="top"/>
          </w:tcPr>
          <w:p w14:paraId="208A3FDD">
            <w:pPr>
              <w:spacing w:line="360" w:lineRule="auto"/>
              <w:jc w:val="center"/>
              <w:rPr>
                <w:rFonts w:ascii="宋体"/>
                <w:color w:val="auto"/>
                <w:sz w:val="28"/>
                <w:szCs w:val="28"/>
                <w:highlight w:val="none"/>
              </w:rPr>
            </w:pPr>
          </w:p>
        </w:tc>
        <w:tc>
          <w:tcPr>
            <w:tcW w:w="1155" w:type="dxa"/>
            <w:noWrap w:val="0"/>
            <w:vAlign w:val="top"/>
          </w:tcPr>
          <w:p w14:paraId="72392293">
            <w:pPr>
              <w:spacing w:line="360" w:lineRule="auto"/>
              <w:jc w:val="center"/>
              <w:rPr>
                <w:rFonts w:ascii="宋体"/>
                <w:color w:val="auto"/>
                <w:sz w:val="28"/>
                <w:szCs w:val="28"/>
                <w:highlight w:val="none"/>
              </w:rPr>
            </w:pPr>
          </w:p>
        </w:tc>
        <w:tc>
          <w:tcPr>
            <w:tcW w:w="1050" w:type="dxa"/>
            <w:noWrap w:val="0"/>
            <w:vAlign w:val="top"/>
          </w:tcPr>
          <w:p w14:paraId="4EFDF5D5">
            <w:pPr>
              <w:spacing w:line="360" w:lineRule="auto"/>
              <w:jc w:val="center"/>
              <w:rPr>
                <w:rFonts w:ascii="宋体"/>
                <w:color w:val="auto"/>
                <w:sz w:val="28"/>
                <w:szCs w:val="28"/>
                <w:highlight w:val="none"/>
              </w:rPr>
            </w:pPr>
          </w:p>
        </w:tc>
        <w:tc>
          <w:tcPr>
            <w:tcW w:w="630" w:type="dxa"/>
            <w:noWrap w:val="0"/>
            <w:vAlign w:val="top"/>
          </w:tcPr>
          <w:p w14:paraId="31D8B404">
            <w:pPr>
              <w:spacing w:line="360" w:lineRule="auto"/>
              <w:jc w:val="center"/>
              <w:rPr>
                <w:rFonts w:ascii="宋体"/>
                <w:color w:val="auto"/>
                <w:sz w:val="28"/>
                <w:szCs w:val="28"/>
                <w:highlight w:val="none"/>
              </w:rPr>
            </w:pPr>
          </w:p>
        </w:tc>
        <w:tc>
          <w:tcPr>
            <w:tcW w:w="525" w:type="dxa"/>
            <w:noWrap w:val="0"/>
            <w:vAlign w:val="top"/>
          </w:tcPr>
          <w:p w14:paraId="291481D5">
            <w:pPr>
              <w:spacing w:line="360" w:lineRule="auto"/>
              <w:jc w:val="center"/>
              <w:rPr>
                <w:rFonts w:ascii="宋体"/>
                <w:color w:val="auto"/>
                <w:sz w:val="28"/>
                <w:szCs w:val="28"/>
                <w:highlight w:val="none"/>
              </w:rPr>
            </w:pPr>
          </w:p>
        </w:tc>
        <w:tc>
          <w:tcPr>
            <w:tcW w:w="735" w:type="dxa"/>
            <w:noWrap w:val="0"/>
            <w:vAlign w:val="top"/>
          </w:tcPr>
          <w:p w14:paraId="707B1BEC">
            <w:pPr>
              <w:spacing w:line="360" w:lineRule="auto"/>
              <w:jc w:val="center"/>
              <w:rPr>
                <w:rFonts w:ascii="宋体"/>
                <w:color w:val="auto"/>
                <w:sz w:val="28"/>
                <w:szCs w:val="28"/>
                <w:highlight w:val="none"/>
              </w:rPr>
            </w:pPr>
          </w:p>
        </w:tc>
        <w:tc>
          <w:tcPr>
            <w:tcW w:w="840" w:type="dxa"/>
            <w:noWrap w:val="0"/>
            <w:vAlign w:val="top"/>
          </w:tcPr>
          <w:p w14:paraId="5026F7FF">
            <w:pPr>
              <w:spacing w:line="360" w:lineRule="auto"/>
              <w:jc w:val="center"/>
              <w:rPr>
                <w:rFonts w:ascii="宋体"/>
                <w:color w:val="auto"/>
                <w:sz w:val="28"/>
                <w:szCs w:val="28"/>
                <w:highlight w:val="none"/>
              </w:rPr>
            </w:pPr>
          </w:p>
        </w:tc>
        <w:tc>
          <w:tcPr>
            <w:tcW w:w="840" w:type="dxa"/>
            <w:noWrap w:val="0"/>
            <w:vAlign w:val="top"/>
          </w:tcPr>
          <w:p w14:paraId="0CD90655">
            <w:pPr>
              <w:spacing w:line="360" w:lineRule="auto"/>
              <w:jc w:val="center"/>
              <w:rPr>
                <w:rFonts w:ascii="宋体"/>
                <w:color w:val="auto"/>
                <w:sz w:val="28"/>
                <w:szCs w:val="28"/>
                <w:highlight w:val="none"/>
              </w:rPr>
            </w:pPr>
          </w:p>
        </w:tc>
        <w:tc>
          <w:tcPr>
            <w:tcW w:w="735" w:type="dxa"/>
            <w:noWrap w:val="0"/>
            <w:vAlign w:val="top"/>
          </w:tcPr>
          <w:p w14:paraId="610D8494">
            <w:pPr>
              <w:spacing w:line="360" w:lineRule="auto"/>
              <w:jc w:val="center"/>
              <w:rPr>
                <w:rFonts w:ascii="宋体"/>
                <w:color w:val="auto"/>
                <w:sz w:val="28"/>
                <w:szCs w:val="28"/>
                <w:highlight w:val="none"/>
              </w:rPr>
            </w:pPr>
          </w:p>
        </w:tc>
        <w:tc>
          <w:tcPr>
            <w:tcW w:w="945" w:type="dxa"/>
            <w:noWrap w:val="0"/>
            <w:vAlign w:val="top"/>
          </w:tcPr>
          <w:p w14:paraId="4A8B8F33">
            <w:pPr>
              <w:spacing w:line="360" w:lineRule="auto"/>
              <w:jc w:val="center"/>
              <w:rPr>
                <w:rFonts w:ascii="宋体"/>
                <w:color w:val="auto"/>
                <w:sz w:val="28"/>
                <w:szCs w:val="28"/>
                <w:highlight w:val="none"/>
              </w:rPr>
            </w:pPr>
          </w:p>
        </w:tc>
      </w:tr>
    </w:tbl>
    <w:p w14:paraId="56F1EB95">
      <w:pPr>
        <w:tabs>
          <w:tab w:val="left" w:pos="1440"/>
        </w:tabs>
        <w:spacing w:line="360" w:lineRule="auto"/>
        <w:rPr>
          <w:rFonts w:ascii="宋体"/>
          <w:color w:val="auto"/>
          <w:szCs w:val="21"/>
          <w:highlight w:val="none"/>
        </w:rPr>
      </w:pPr>
      <w:r>
        <w:rPr>
          <w:rFonts w:hint="eastAsia" w:ascii="宋体" w:hAnsi="宋体"/>
          <w:color w:val="auto"/>
          <w:szCs w:val="21"/>
          <w:highlight w:val="none"/>
        </w:rPr>
        <w:t>备注：除合同另有约定外，本表所列发包人供应材料和工程设备的数量不考虑施工损耗，施工损耗被认为已经包括在承包人的投标价格中。</w:t>
      </w:r>
    </w:p>
    <w:p w14:paraId="53C4DBEF">
      <w:pPr>
        <w:pStyle w:val="30"/>
        <w:rPr>
          <w:rFonts w:ascii="宋体" w:hAnsi="宋体"/>
          <w:color w:val="auto"/>
          <w:szCs w:val="21"/>
          <w:highlight w:val="none"/>
          <w:u w:val="single"/>
        </w:rPr>
      </w:pPr>
    </w:p>
    <w:bookmarkEnd w:id="2079"/>
    <w:bookmarkEnd w:id="2080"/>
    <w:bookmarkEnd w:id="2081"/>
    <w:bookmarkEnd w:id="2082"/>
    <w:bookmarkEnd w:id="2083"/>
    <w:bookmarkEnd w:id="2084"/>
    <w:bookmarkEnd w:id="2085"/>
    <w:p w14:paraId="4AB974F8">
      <w:pPr>
        <w:spacing w:line="360" w:lineRule="auto"/>
        <w:rPr>
          <w:color w:val="auto"/>
          <w:highlight w:val="none"/>
        </w:rPr>
      </w:pPr>
      <w:r>
        <w:rPr>
          <w:color w:val="auto"/>
          <w:highlight w:val="none"/>
        </w:rPr>
        <w:br w:type="page"/>
      </w:r>
      <w:bookmarkStart w:id="2093" w:name="_Toc497456967"/>
      <w:bookmarkStart w:id="2094" w:name="_Toc489219296"/>
      <w:bookmarkStart w:id="2095" w:name="_Toc485338209"/>
      <w:r>
        <w:rPr>
          <w:rFonts w:hint="eastAsia" w:ascii="宋体" w:hAnsi="宋体" w:eastAsia="宋体" w:cs="Times New Roman"/>
          <w:b w:val="0"/>
          <w:bCs w:val="0"/>
          <w:color w:val="auto"/>
          <w:kern w:val="0"/>
          <w:sz w:val="24"/>
          <w:szCs w:val="20"/>
          <w:highlight w:val="none"/>
          <w:lang w:val="en-US" w:eastAsia="zh-CN" w:bidi="ar-SA"/>
        </w:rPr>
        <w:t>附件五：质量保修书格式</w:t>
      </w:r>
      <w:bookmarkEnd w:id="2093"/>
      <w:bookmarkEnd w:id="2094"/>
      <w:bookmarkEnd w:id="2095"/>
    </w:p>
    <w:p w14:paraId="5A3ADF94">
      <w:pPr>
        <w:tabs>
          <w:tab w:val="left" w:pos="3855"/>
        </w:tabs>
        <w:snapToGrid w:val="0"/>
        <w:spacing w:line="360" w:lineRule="auto"/>
        <w:ind w:firstLine="560" w:firstLineChars="200"/>
        <w:jc w:val="center"/>
        <w:rPr>
          <w:rFonts w:ascii="宋体"/>
          <w:color w:val="auto"/>
          <w:sz w:val="28"/>
          <w:highlight w:val="none"/>
        </w:rPr>
      </w:pPr>
    </w:p>
    <w:p w14:paraId="414AA446">
      <w:pPr>
        <w:tabs>
          <w:tab w:val="left" w:pos="3855"/>
        </w:tabs>
        <w:snapToGrid w:val="0"/>
        <w:spacing w:line="360" w:lineRule="auto"/>
        <w:ind w:firstLine="562" w:firstLineChars="200"/>
        <w:jc w:val="center"/>
        <w:rPr>
          <w:rFonts w:ascii="宋体"/>
          <w:b/>
          <w:color w:val="auto"/>
          <w:sz w:val="28"/>
          <w:highlight w:val="none"/>
        </w:rPr>
      </w:pPr>
      <w:r>
        <w:rPr>
          <w:rFonts w:hint="eastAsia" w:ascii="宋体" w:hAnsi="宋体"/>
          <w:b/>
          <w:color w:val="auto"/>
          <w:sz w:val="28"/>
          <w:highlight w:val="none"/>
        </w:rPr>
        <w:t>房屋建筑工程质量保修书</w:t>
      </w:r>
    </w:p>
    <w:p w14:paraId="0332D87B">
      <w:pPr>
        <w:snapToGrid w:val="0"/>
        <w:spacing w:line="360" w:lineRule="auto"/>
        <w:rPr>
          <w:rFonts w:ascii="宋体"/>
          <w:color w:val="auto"/>
          <w:highlight w:val="none"/>
        </w:rPr>
      </w:pPr>
    </w:p>
    <w:p w14:paraId="3F98E64D">
      <w:pPr>
        <w:snapToGrid w:val="0"/>
        <w:spacing w:line="360" w:lineRule="auto"/>
        <w:rPr>
          <w:rFonts w:ascii="宋体"/>
          <w:color w:val="auto"/>
          <w:highlight w:val="none"/>
          <w:u w:val="single"/>
        </w:rPr>
      </w:pPr>
      <w:r>
        <w:rPr>
          <w:rFonts w:hint="eastAsia" w:ascii="宋体" w:hAnsi="宋体"/>
          <w:color w:val="auto"/>
          <w:highlight w:val="none"/>
        </w:rPr>
        <w:t>发包人：</w:t>
      </w:r>
      <w:r>
        <w:rPr>
          <w:rFonts w:ascii="宋体" w:hAnsi="宋体"/>
          <w:color w:val="auto"/>
          <w:highlight w:val="none"/>
          <w:u w:val="single"/>
        </w:rPr>
        <w:t xml:space="preserve"> </w:t>
      </w:r>
      <w:r>
        <w:rPr>
          <w:rFonts w:hint="eastAsia" w:ascii="宋体" w:hAnsi="宋体" w:cs="Arial"/>
          <w:color w:val="auto"/>
          <w:szCs w:val="21"/>
          <w:highlight w:val="none"/>
          <w:u w:val="single"/>
        </w:rPr>
        <w:t>北京市昌平区城北街道办事处</w:t>
      </w:r>
      <w:r>
        <w:rPr>
          <w:rFonts w:ascii="宋体" w:hAnsi="宋体"/>
          <w:color w:val="auto"/>
          <w:highlight w:val="none"/>
          <w:u w:val="single"/>
        </w:rPr>
        <w:t xml:space="preserve">        </w:t>
      </w:r>
    </w:p>
    <w:p w14:paraId="72EB3FAE">
      <w:pPr>
        <w:snapToGrid w:val="0"/>
        <w:spacing w:line="360" w:lineRule="auto"/>
        <w:rPr>
          <w:rFonts w:ascii="宋体"/>
          <w:color w:val="auto"/>
          <w:highlight w:val="none"/>
        </w:rPr>
      </w:pPr>
      <w:r>
        <w:rPr>
          <w:rFonts w:hint="eastAsia" w:ascii="宋体" w:hAnsi="宋体"/>
          <w:color w:val="auto"/>
          <w:highlight w:val="none"/>
        </w:rPr>
        <w:t>承包人：</w:t>
      </w:r>
      <w:r>
        <w:rPr>
          <w:rFonts w:ascii="宋体" w:hAnsi="宋体"/>
          <w:color w:val="auto"/>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color w:val="000000"/>
          <w:sz w:val="21"/>
          <w:szCs w:val="21"/>
          <w:highlight w:val="none"/>
          <w:u w:val="single"/>
          <w:lang w:val="en-US" w:eastAsia="zh-CN"/>
        </w:rPr>
        <w:t xml:space="preserve">     </w:t>
      </w:r>
    </w:p>
    <w:p w14:paraId="05F86894">
      <w:pPr>
        <w:snapToGrid w:val="0"/>
        <w:spacing w:line="360" w:lineRule="auto"/>
        <w:ind w:firstLine="488"/>
        <w:rPr>
          <w:rFonts w:ascii="宋体"/>
          <w:color w:val="auto"/>
          <w:highlight w:val="none"/>
          <w:u w:val="single"/>
        </w:rPr>
      </w:pPr>
    </w:p>
    <w:p w14:paraId="0DB560B0">
      <w:pPr>
        <w:snapToGrid w:val="0"/>
        <w:spacing w:line="360" w:lineRule="auto"/>
        <w:ind w:firstLine="420" w:firstLineChars="200"/>
        <w:rPr>
          <w:rFonts w:ascii="宋体"/>
          <w:color w:val="auto"/>
          <w:highlight w:val="none"/>
        </w:rPr>
      </w:pPr>
      <w:r>
        <w:rPr>
          <w:rFonts w:hint="eastAsia" w:ascii="宋体" w:hAnsi="宋体"/>
          <w:color w:val="auto"/>
          <w:highlight w:val="none"/>
        </w:rPr>
        <w:t>发包人、承包人根据《中华人民共和国建筑法》、《建设工程质量管理条例》和《房屋建筑工程质量保修办法》，经协商一致，对</w:t>
      </w:r>
      <w:r>
        <w:rPr>
          <w:rFonts w:hint="eastAsia" w:ascii="宋体" w:hAnsi="宋体" w:cs="Arial"/>
          <w:color w:val="auto"/>
          <w:szCs w:val="21"/>
          <w:highlight w:val="none"/>
          <w:u w:val="single"/>
          <w:lang w:eastAsia="zh-CN"/>
        </w:rPr>
        <w:t>昌平区2024年背街小巷环境精细化治理—城北街道自提升项目工程</w:t>
      </w:r>
      <w:r>
        <w:rPr>
          <w:rFonts w:hint="eastAsia" w:ascii="宋体" w:hAnsi="宋体" w:cs="Arial"/>
          <w:color w:val="auto"/>
          <w:szCs w:val="21"/>
          <w:highlight w:val="none"/>
          <w:u w:val="single"/>
          <w:lang w:val="en-US" w:eastAsia="zh-CN"/>
        </w:rPr>
        <w:t xml:space="preserve"> </w:t>
      </w:r>
      <w:r>
        <w:rPr>
          <w:rFonts w:hint="eastAsia" w:ascii="宋体" w:hAnsi="宋体"/>
          <w:color w:val="auto"/>
          <w:highlight w:val="none"/>
        </w:rPr>
        <w:t>（</w:t>
      </w:r>
      <w:r>
        <w:rPr>
          <w:rFonts w:hint="eastAsia" w:ascii="宋体" w:hAnsi="宋体"/>
          <w:color w:val="auto"/>
          <w:szCs w:val="21"/>
          <w:highlight w:val="none"/>
        </w:rPr>
        <w:t>工程</w:t>
      </w:r>
      <w:r>
        <w:rPr>
          <w:rFonts w:hint="eastAsia" w:ascii="宋体" w:hAnsi="宋体"/>
          <w:color w:val="auto"/>
          <w:highlight w:val="none"/>
        </w:rPr>
        <w:t>名称）签订保修书。</w:t>
      </w:r>
    </w:p>
    <w:p w14:paraId="06E66FDA">
      <w:pPr>
        <w:snapToGrid w:val="0"/>
        <w:spacing w:line="360" w:lineRule="auto"/>
        <w:ind w:firstLine="420" w:firstLineChars="200"/>
        <w:rPr>
          <w:rFonts w:ascii="宋体"/>
          <w:color w:val="auto"/>
          <w:highlight w:val="none"/>
        </w:rPr>
      </w:pPr>
      <w:bookmarkStart w:id="2096" w:name="_Toc479505769"/>
      <w:bookmarkStart w:id="2097" w:name="_Toc480303496"/>
      <w:bookmarkStart w:id="2098" w:name="_Toc477964625"/>
      <w:r>
        <w:rPr>
          <w:rFonts w:hint="eastAsia" w:ascii="宋体" w:hAnsi="宋体"/>
          <w:color w:val="auto"/>
          <w:highlight w:val="none"/>
        </w:rPr>
        <w:t>一、工程保修范围和内容</w:t>
      </w:r>
      <w:bookmarkEnd w:id="2096"/>
      <w:bookmarkEnd w:id="2097"/>
      <w:bookmarkEnd w:id="2098"/>
    </w:p>
    <w:p w14:paraId="52145874">
      <w:pPr>
        <w:snapToGrid w:val="0"/>
        <w:spacing w:line="360" w:lineRule="auto"/>
        <w:ind w:firstLine="420" w:firstLineChars="200"/>
        <w:rPr>
          <w:rFonts w:ascii="宋体"/>
          <w:color w:val="auto"/>
          <w:highlight w:val="none"/>
        </w:rPr>
      </w:pPr>
      <w:r>
        <w:rPr>
          <w:rFonts w:hint="eastAsia" w:ascii="宋体" w:hAnsi="宋体"/>
          <w:color w:val="auto"/>
          <w:highlight w:val="none"/>
        </w:rPr>
        <w:t>承包人在保修期内，按照有关法律、法规、规章的管理规定和双方约定，承担本工程保修责任。</w:t>
      </w:r>
    </w:p>
    <w:p w14:paraId="6C35B4D1">
      <w:pPr>
        <w:snapToGrid w:val="0"/>
        <w:spacing w:line="360" w:lineRule="auto"/>
        <w:ind w:firstLine="420" w:firstLineChars="200"/>
        <w:rPr>
          <w:rFonts w:ascii="宋体"/>
          <w:color w:val="auto"/>
          <w:highlight w:val="none"/>
        </w:rPr>
      </w:pPr>
      <w:r>
        <w:rPr>
          <w:rFonts w:hint="eastAsia" w:ascii="宋体" w:hAnsi="宋体"/>
          <w:color w:val="auto"/>
          <w:highlight w:val="none"/>
        </w:rPr>
        <w:t>保修责任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14EBA1DC">
      <w:pPr>
        <w:snapToGrid w:val="0"/>
        <w:spacing w:line="360" w:lineRule="auto"/>
        <w:rPr>
          <w:rFonts w:ascii="宋体"/>
          <w:color w:val="auto"/>
          <w:highlight w:val="none"/>
        </w:rPr>
      </w:pPr>
      <w:r>
        <w:rPr>
          <w:rFonts w:ascii="宋体" w:hAnsi="宋体"/>
          <w:color w:val="auto"/>
          <w:highlight w:val="none"/>
          <w:u w:val="single"/>
        </w:rPr>
        <w:t xml:space="preserve">    </w:t>
      </w:r>
      <w:r>
        <w:rPr>
          <w:rFonts w:hint="eastAsia" w:ascii="宋体" w:hAnsi="宋体"/>
          <w:color w:val="auto"/>
          <w:highlight w:val="none"/>
          <w:u w:val="single"/>
          <w:lang w:eastAsia="zh-CN"/>
        </w:rPr>
        <w:t>工程保修范围内因承包人原因造成的缺陷，由承包人承担鉴定维修责任及相应费用。若承包人不维修也不承担费用，发包人有权扣留相应质量保证金，并由承包人承担违约责任。保证金不足以支付鉴定维修费用的，承包人负责补足差额。承包人维修并承担相应费用后，不免除其对工程的一般损失赔偿责任。</w:t>
      </w:r>
      <w:r>
        <w:rPr>
          <w:rFonts w:ascii="宋体" w:hAnsi="宋体"/>
          <w:color w:val="auto"/>
          <w:highlight w:val="none"/>
          <w:u w:val="single"/>
        </w:rPr>
        <w:t xml:space="preserve">                                                                                                                                                    </w:t>
      </w:r>
    </w:p>
    <w:p w14:paraId="4B6BC8CF">
      <w:pPr>
        <w:snapToGrid w:val="0"/>
        <w:spacing w:line="360" w:lineRule="auto"/>
        <w:ind w:firstLine="420" w:firstLineChars="200"/>
        <w:rPr>
          <w:rFonts w:ascii="宋体"/>
          <w:color w:val="auto"/>
          <w:highlight w:val="none"/>
        </w:rPr>
      </w:pPr>
      <w:bookmarkStart w:id="2099" w:name="_Toc477964626"/>
      <w:bookmarkStart w:id="2100" w:name="_Toc479505770"/>
      <w:bookmarkStart w:id="2101" w:name="_Toc480303497"/>
      <w:r>
        <w:rPr>
          <w:rFonts w:hint="eastAsia" w:ascii="宋体" w:hAnsi="宋体"/>
          <w:color w:val="auto"/>
          <w:highlight w:val="none"/>
        </w:rPr>
        <w:t>二、保修期</w:t>
      </w:r>
      <w:bookmarkEnd w:id="2099"/>
      <w:bookmarkEnd w:id="2100"/>
      <w:bookmarkEnd w:id="2101"/>
    </w:p>
    <w:p w14:paraId="0E191BA5">
      <w:pPr>
        <w:snapToGrid w:val="0"/>
        <w:spacing w:line="360" w:lineRule="auto"/>
        <w:ind w:firstLine="420" w:firstLineChars="200"/>
        <w:rPr>
          <w:rFonts w:ascii="宋体"/>
          <w:color w:val="auto"/>
          <w:highlight w:val="none"/>
        </w:rPr>
      </w:pPr>
      <w:r>
        <w:rPr>
          <w:rFonts w:hint="eastAsia" w:ascii="宋体" w:hAnsi="宋体"/>
          <w:color w:val="auto"/>
          <w:highlight w:val="none"/>
        </w:rPr>
        <w:t>双方根据《建设工程质量管理条例》及有关规定，约定本工程的保修期如下：</w:t>
      </w:r>
    </w:p>
    <w:p w14:paraId="73E07203">
      <w:pPr>
        <w:snapToGrid w:val="0"/>
        <w:spacing w:line="360" w:lineRule="auto"/>
        <w:ind w:firstLine="420" w:firstLineChars="200"/>
        <w:rPr>
          <w:rFonts w:ascii="宋体"/>
          <w:color w:val="auto"/>
          <w:highlight w:val="none"/>
        </w:rPr>
      </w:pPr>
      <w:r>
        <w:rPr>
          <w:rFonts w:hint="eastAsia" w:ascii="宋体" w:hAnsi="宋体"/>
          <w:color w:val="auto"/>
          <w:highlight w:val="none"/>
        </w:rPr>
        <w:t>地基基础工程和主体结构工程为设计文件规定的该工程合理使用年限；</w:t>
      </w:r>
    </w:p>
    <w:p w14:paraId="7675902C">
      <w:pPr>
        <w:snapToGrid w:val="0"/>
        <w:spacing w:line="360" w:lineRule="auto"/>
        <w:ind w:firstLine="420" w:firstLineChars="200"/>
        <w:rPr>
          <w:rFonts w:ascii="宋体"/>
          <w:color w:val="auto"/>
          <w:highlight w:val="none"/>
        </w:rPr>
      </w:pPr>
      <w:r>
        <w:rPr>
          <w:rFonts w:hint="eastAsia" w:ascii="宋体" w:hAnsi="宋体"/>
          <w:color w:val="auto"/>
          <w:highlight w:val="none"/>
        </w:rPr>
        <w:t>屋面防水工程、有防水要求的卫生间、房间和外墙面的防渗漏为</w:t>
      </w:r>
      <w:r>
        <w:rPr>
          <w:rFonts w:ascii="宋体" w:hAnsi="宋体"/>
          <w:color w:val="auto"/>
          <w:highlight w:val="none"/>
          <w:u w:val="single"/>
        </w:rPr>
        <w:t xml:space="preserve">    </w:t>
      </w:r>
      <w:r>
        <w:rPr>
          <w:rFonts w:hint="eastAsia" w:ascii="宋体" w:hAnsi="宋体"/>
          <w:color w:val="auto"/>
          <w:highlight w:val="none"/>
          <w:u w:val="single"/>
          <w:lang w:val="en-US" w:eastAsia="zh-CN"/>
        </w:rPr>
        <w:t>/</w:t>
      </w:r>
      <w:r>
        <w:rPr>
          <w:rFonts w:ascii="宋体" w:hAnsi="宋体"/>
          <w:color w:val="auto"/>
          <w:highlight w:val="none"/>
          <w:u w:val="single"/>
        </w:rPr>
        <w:t xml:space="preserve">    </w:t>
      </w:r>
      <w:r>
        <w:rPr>
          <w:rFonts w:hint="eastAsia" w:ascii="宋体" w:hAnsi="宋体"/>
          <w:color w:val="auto"/>
          <w:highlight w:val="none"/>
        </w:rPr>
        <w:t>年；</w:t>
      </w:r>
    </w:p>
    <w:p w14:paraId="2204B34B">
      <w:pPr>
        <w:snapToGrid w:val="0"/>
        <w:spacing w:line="360" w:lineRule="auto"/>
        <w:ind w:firstLine="420" w:firstLineChars="200"/>
        <w:rPr>
          <w:rFonts w:ascii="宋体"/>
          <w:color w:val="auto"/>
          <w:highlight w:val="none"/>
        </w:rPr>
      </w:pPr>
      <w:r>
        <w:rPr>
          <w:rFonts w:hint="eastAsia" w:ascii="宋体" w:hAnsi="宋体"/>
          <w:color w:val="auto"/>
          <w:highlight w:val="none"/>
        </w:rPr>
        <w:t>外窗工程为</w:t>
      </w:r>
      <w:r>
        <w:rPr>
          <w:rFonts w:ascii="宋体" w:hAnsi="宋体"/>
          <w:color w:val="auto"/>
          <w:highlight w:val="none"/>
          <w:u w:val="single"/>
        </w:rPr>
        <w:t xml:space="preserve">    </w:t>
      </w:r>
      <w:r>
        <w:rPr>
          <w:rFonts w:hint="eastAsia" w:ascii="宋体" w:hAnsi="宋体"/>
          <w:color w:val="auto"/>
          <w:highlight w:val="none"/>
          <w:u w:val="single"/>
          <w:lang w:val="en-US" w:eastAsia="zh-CN"/>
        </w:rPr>
        <w:t>/</w:t>
      </w:r>
      <w:r>
        <w:rPr>
          <w:rFonts w:ascii="宋体" w:hAnsi="宋体"/>
          <w:color w:val="auto"/>
          <w:highlight w:val="none"/>
          <w:u w:val="single"/>
        </w:rPr>
        <w:t xml:space="preserve">   </w:t>
      </w:r>
      <w:r>
        <w:rPr>
          <w:rFonts w:hint="eastAsia" w:ascii="宋体" w:hAnsi="宋体"/>
          <w:color w:val="auto"/>
          <w:highlight w:val="none"/>
        </w:rPr>
        <w:t>年，外窗防渗漏为</w:t>
      </w:r>
      <w:r>
        <w:rPr>
          <w:rFonts w:ascii="宋体" w:hAnsi="宋体"/>
          <w:color w:val="auto"/>
          <w:highlight w:val="none"/>
          <w:u w:val="single"/>
        </w:rPr>
        <w:t xml:space="preserve">     </w:t>
      </w:r>
      <w:r>
        <w:rPr>
          <w:rFonts w:hint="eastAsia" w:ascii="宋体" w:hAnsi="宋体"/>
          <w:color w:val="auto"/>
          <w:highlight w:val="none"/>
          <w:u w:val="single"/>
          <w:lang w:val="en-US" w:eastAsia="zh-CN"/>
        </w:rPr>
        <w:t>/</w:t>
      </w:r>
      <w:r>
        <w:rPr>
          <w:rFonts w:ascii="宋体" w:hAnsi="宋体"/>
          <w:color w:val="auto"/>
          <w:highlight w:val="none"/>
          <w:u w:val="single"/>
        </w:rPr>
        <w:t xml:space="preserve">     </w:t>
      </w:r>
      <w:r>
        <w:rPr>
          <w:rFonts w:hint="eastAsia" w:ascii="宋体" w:hAnsi="宋体"/>
          <w:color w:val="auto"/>
          <w:highlight w:val="none"/>
        </w:rPr>
        <w:t>年；</w:t>
      </w:r>
    </w:p>
    <w:p w14:paraId="2CD3FDE4">
      <w:pPr>
        <w:snapToGrid w:val="0"/>
        <w:spacing w:line="360" w:lineRule="auto"/>
        <w:ind w:firstLine="420" w:firstLineChars="200"/>
        <w:rPr>
          <w:rFonts w:ascii="宋体"/>
          <w:color w:val="auto"/>
          <w:highlight w:val="none"/>
        </w:rPr>
      </w:pPr>
      <w:r>
        <w:rPr>
          <w:rFonts w:hint="eastAsia" w:ascii="宋体" w:hAnsi="宋体"/>
          <w:color w:val="auto"/>
          <w:highlight w:val="none"/>
        </w:rPr>
        <w:t>装修工程为</w:t>
      </w:r>
      <w:r>
        <w:rPr>
          <w:rFonts w:ascii="宋体" w:hAnsi="宋体"/>
          <w:color w:val="auto"/>
          <w:highlight w:val="none"/>
          <w:u w:val="single"/>
        </w:rPr>
        <w:t xml:space="preserve">     </w:t>
      </w:r>
      <w:r>
        <w:rPr>
          <w:rFonts w:hint="eastAsia" w:ascii="宋体" w:hAnsi="宋体"/>
          <w:color w:val="auto"/>
          <w:highlight w:val="none"/>
          <w:u w:val="single"/>
          <w:lang w:val="en-US" w:eastAsia="zh-CN"/>
        </w:rPr>
        <w:t>/</w:t>
      </w:r>
      <w:r>
        <w:rPr>
          <w:rFonts w:ascii="宋体" w:hAnsi="宋体"/>
          <w:color w:val="auto"/>
          <w:highlight w:val="none"/>
          <w:u w:val="single"/>
        </w:rPr>
        <w:t xml:space="preserve">     </w:t>
      </w:r>
      <w:r>
        <w:rPr>
          <w:rFonts w:hint="eastAsia" w:ascii="宋体" w:hAnsi="宋体"/>
          <w:color w:val="auto"/>
          <w:highlight w:val="none"/>
        </w:rPr>
        <w:t>年；</w:t>
      </w:r>
    </w:p>
    <w:p w14:paraId="411E1E8D">
      <w:pPr>
        <w:snapToGrid w:val="0"/>
        <w:spacing w:line="360" w:lineRule="auto"/>
        <w:ind w:firstLine="420" w:firstLineChars="200"/>
        <w:rPr>
          <w:rFonts w:ascii="宋体"/>
          <w:color w:val="auto"/>
          <w:highlight w:val="none"/>
        </w:rPr>
      </w:pPr>
      <w:r>
        <w:rPr>
          <w:rFonts w:hint="eastAsia" w:ascii="宋体" w:hAnsi="宋体"/>
          <w:color w:val="auto"/>
          <w:highlight w:val="none"/>
        </w:rPr>
        <w:t>电气管线、给排水管道、设备安装工程为</w:t>
      </w:r>
      <w:r>
        <w:rPr>
          <w:rFonts w:ascii="宋体" w:hAnsi="宋体"/>
          <w:color w:val="auto"/>
          <w:highlight w:val="none"/>
          <w:u w:val="single"/>
        </w:rPr>
        <w:t xml:space="preserve">      </w:t>
      </w:r>
      <w:r>
        <w:rPr>
          <w:rFonts w:hint="eastAsia" w:ascii="宋体" w:hAnsi="宋体"/>
          <w:color w:val="auto"/>
          <w:highlight w:val="none"/>
          <w:u w:val="single"/>
          <w:lang w:val="en-US" w:eastAsia="zh-CN"/>
        </w:rPr>
        <w:t>/</w:t>
      </w:r>
      <w:r>
        <w:rPr>
          <w:rFonts w:ascii="宋体" w:hAnsi="宋体"/>
          <w:color w:val="auto"/>
          <w:highlight w:val="none"/>
          <w:u w:val="single"/>
        </w:rPr>
        <w:t xml:space="preserve">    </w:t>
      </w:r>
      <w:r>
        <w:rPr>
          <w:rFonts w:hint="eastAsia" w:ascii="宋体" w:hAnsi="宋体"/>
          <w:color w:val="auto"/>
          <w:highlight w:val="none"/>
        </w:rPr>
        <w:t>年；</w:t>
      </w:r>
    </w:p>
    <w:p w14:paraId="2FFEA34D">
      <w:pPr>
        <w:snapToGrid w:val="0"/>
        <w:spacing w:line="360" w:lineRule="auto"/>
        <w:ind w:firstLine="420" w:firstLineChars="200"/>
        <w:rPr>
          <w:rFonts w:ascii="宋体"/>
          <w:color w:val="auto"/>
          <w:highlight w:val="none"/>
        </w:rPr>
      </w:pPr>
      <w:r>
        <w:rPr>
          <w:rFonts w:hint="eastAsia" w:ascii="宋体" w:hAnsi="宋体"/>
          <w:color w:val="auto"/>
          <w:highlight w:val="none"/>
        </w:rPr>
        <w:t>供热与供冷系统为</w:t>
      </w:r>
      <w:r>
        <w:rPr>
          <w:rFonts w:ascii="宋体" w:hAnsi="宋体"/>
          <w:color w:val="auto"/>
          <w:highlight w:val="none"/>
          <w:u w:val="single"/>
        </w:rPr>
        <w:t xml:space="preserve">     </w:t>
      </w:r>
      <w:r>
        <w:rPr>
          <w:rFonts w:hint="eastAsia" w:ascii="宋体" w:hAnsi="宋体"/>
          <w:color w:val="auto"/>
          <w:highlight w:val="none"/>
          <w:u w:val="single"/>
          <w:lang w:val="en-US" w:eastAsia="zh-CN"/>
        </w:rPr>
        <w:t>/</w:t>
      </w:r>
      <w:r>
        <w:rPr>
          <w:rFonts w:ascii="宋体" w:hAnsi="宋体"/>
          <w:color w:val="auto"/>
          <w:highlight w:val="none"/>
          <w:u w:val="single"/>
        </w:rPr>
        <w:t xml:space="preserve">     </w:t>
      </w:r>
      <w:r>
        <w:rPr>
          <w:rFonts w:hint="eastAsia" w:ascii="宋体" w:hAnsi="宋体"/>
          <w:color w:val="auto"/>
          <w:highlight w:val="none"/>
        </w:rPr>
        <w:t>个采暖期、供冷期；</w:t>
      </w:r>
    </w:p>
    <w:p w14:paraId="4ED97E81">
      <w:pPr>
        <w:snapToGrid w:val="0"/>
        <w:spacing w:line="360" w:lineRule="auto"/>
        <w:ind w:firstLine="420" w:firstLineChars="200"/>
        <w:rPr>
          <w:rFonts w:ascii="宋体"/>
          <w:color w:val="auto"/>
          <w:highlight w:val="none"/>
        </w:rPr>
      </w:pPr>
      <w:r>
        <w:rPr>
          <w:rFonts w:hint="eastAsia" w:ascii="宋体" w:hAnsi="宋体"/>
          <w:color w:val="auto"/>
          <w:highlight w:val="none"/>
        </w:rPr>
        <w:t>住宅小区内的给排水设施、道路等配套工程为</w:t>
      </w:r>
      <w:r>
        <w:rPr>
          <w:rFonts w:ascii="宋体" w:hAnsi="宋体"/>
          <w:color w:val="auto"/>
          <w:highlight w:val="none"/>
          <w:u w:val="single"/>
        </w:rPr>
        <w:t xml:space="preserve">     </w:t>
      </w:r>
      <w:r>
        <w:rPr>
          <w:rFonts w:hint="eastAsia" w:ascii="宋体" w:hAnsi="宋体"/>
          <w:color w:val="auto"/>
          <w:highlight w:val="none"/>
          <w:u w:val="single"/>
          <w:lang w:val="en-US" w:eastAsia="zh-CN"/>
        </w:rPr>
        <w:t>/</w:t>
      </w:r>
      <w:r>
        <w:rPr>
          <w:rFonts w:ascii="宋体" w:hAnsi="宋体"/>
          <w:color w:val="auto"/>
          <w:highlight w:val="none"/>
          <w:u w:val="single"/>
        </w:rPr>
        <w:t xml:space="preserve">     </w:t>
      </w:r>
      <w:r>
        <w:rPr>
          <w:rFonts w:hint="eastAsia" w:ascii="宋体" w:hAnsi="宋体"/>
          <w:color w:val="auto"/>
          <w:highlight w:val="none"/>
        </w:rPr>
        <w:t>年；</w:t>
      </w:r>
    </w:p>
    <w:p w14:paraId="6C9E014D">
      <w:pPr>
        <w:snapToGrid w:val="0"/>
        <w:spacing w:line="360" w:lineRule="auto"/>
        <w:ind w:firstLine="420" w:firstLineChars="200"/>
        <w:rPr>
          <w:rFonts w:ascii="宋体"/>
          <w:color w:val="auto"/>
          <w:highlight w:val="none"/>
        </w:rPr>
      </w:pPr>
      <w:r>
        <w:rPr>
          <w:rFonts w:hint="eastAsia" w:ascii="宋体" w:hAnsi="宋体"/>
          <w:color w:val="auto"/>
          <w:highlight w:val="none"/>
        </w:rPr>
        <w:t>其他项目保修期限约定如下：</w:t>
      </w:r>
    </w:p>
    <w:p w14:paraId="4104DA0D">
      <w:pPr>
        <w:snapToGrid w:val="0"/>
        <w:spacing w:line="360" w:lineRule="auto"/>
        <w:rPr>
          <w:rFonts w:ascii="宋体"/>
          <w:color w:val="auto"/>
          <w:highlight w:val="none"/>
          <w:u w:val="single"/>
        </w:rPr>
      </w:pPr>
      <w:r>
        <w:rPr>
          <w:rFonts w:ascii="宋体" w:hAnsi="宋体"/>
          <w:color w:val="auto"/>
          <w:highlight w:val="none"/>
          <w:u w:val="single"/>
        </w:rPr>
        <w:t xml:space="preserve">    </w:t>
      </w:r>
      <w:r>
        <w:rPr>
          <w:rFonts w:hint="eastAsia" w:ascii="宋体" w:hAnsi="宋体" w:cs="Arial"/>
          <w:color w:val="auto"/>
          <w:szCs w:val="21"/>
          <w:highlight w:val="none"/>
          <w:u w:val="single"/>
          <w:lang w:val="en-US" w:eastAsia="zh-CN"/>
        </w:rPr>
        <w:t xml:space="preserve">  </w:t>
      </w:r>
      <w:r>
        <w:rPr>
          <w:rFonts w:hint="eastAsia"/>
          <w:color w:val="auto"/>
          <w:highlight w:val="none"/>
          <w:u w:val="single"/>
          <w:lang w:val="en-US" w:eastAsia="zh-CN"/>
        </w:rPr>
        <w:t>保修期限为24个月。</w:t>
      </w:r>
      <w:r>
        <w:rPr>
          <w:rFonts w:ascii="宋体" w:hAnsi="宋体"/>
          <w:color w:val="auto"/>
          <w:highlight w:val="none"/>
          <w:u w:val="single"/>
        </w:rPr>
        <w:t xml:space="preserve">                                                                                                                                                    </w:t>
      </w:r>
    </w:p>
    <w:p w14:paraId="37C0D0BE">
      <w:pPr>
        <w:snapToGrid w:val="0"/>
        <w:spacing w:line="360" w:lineRule="auto"/>
        <w:rPr>
          <w:rFonts w:ascii="宋体"/>
          <w:color w:val="auto"/>
          <w:highlight w:val="none"/>
          <w:u w:val="single"/>
        </w:rPr>
      </w:pPr>
      <w:r>
        <w:rPr>
          <w:rFonts w:ascii="宋体" w:hAnsi="宋体"/>
          <w:color w:val="auto"/>
          <w:highlight w:val="none"/>
          <w:u w:val="single"/>
        </w:rPr>
        <w:t xml:space="preserve">                                                                                                                                                        </w:t>
      </w:r>
    </w:p>
    <w:p w14:paraId="40AA06D9">
      <w:pPr>
        <w:snapToGrid w:val="0"/>
        <w:spacing w:line="360" w:lineRule="auto"/>
        <w:rPr>
          <w:rFonts w:ascii="宋体"/>
          <w:color w:val="auto"/>
          <w:highlight w:val="none"/>
        </w:rPr>
      </w:pPr>
      <w:r>
        <w:rPr>
          <w:rFonts w:ascii="宋体" w:hAnsi="宋体"/>
          <w:color w:val="auto"/>
          <w:highlight w:val="none"/>
          <w:u w:val="single"/>
        </w:rPr>
        <w:t xml:space="preserve">                                                                               </w:t>
      </w:r>
    </w:p>
    <w:p w14:paraId="44B7C945">
      <w:pPr>
        <w:snapToGrid w:val="0"/>
        <w:spacing w:line="360" w:lineRule="auto"/>
        <w:ind w:firstLine="420" w:firstLineChars="200"/>
        <w:rPr>
          <w:rFonts w:ascii="宋体"/>
          <w:color w:val="auto"/>
          <w:highlight w:val="none"/>
        </w:rPr>
      </w:pPr>
      <w:bookmarkStart w:id="2102" w:name="_Toc480303498"/>
      <w:bookmarkStart w:id="2103" w:name="_Toc479505771"/>
      <w:bookmarkStart w:id="2104" w:name="_Toc477964627"/>
      <w:r>
        <w:rPr>
          <w:rFonts w:hint="eastAsia" w:ascii="宋体" w:hAnsi="宋体"/>
          <w:color w:val="auto"/>
          <w:highlight w:val="none"/>
        </w:rPr>
        <w:t>三、保修责任</w:t>
      </w:r>
      <w:bookmarkEnd w:id="2102"/>
      <w:bookmarkEnd w:id="2103"/>
      <w:bookmarkEnd w:id="2104"/>
    </w:p>
    <w:p w14:paraId="73796E27">
      <w:pPr>
        <w:snapToGrid w:val="0"/>
        <w:spacing w:line="360" w:lineRule="auto"/>
        <w:ind w:firstLine="420" w:firstLineChars="200"/>
        <w:rPr>
          <w:rFonts w:ascii="宋体"/>
          <w:color w:val="auto"/>
          <w:highlight w:val="none"/>
        </w:rPr>
      </w:pPr>
      <w:r>
        <w:rPr>
          <w:rFonts w:ascii="宋体" w:hAnsi="宋体"/>
          <w:color w:val="auto"/>
          <w:highlight w:val="none"/>
        </w:rPr>
        <w:t>1</w:t>
      </w:r>
      <w:r>
        <w:rPr>
          <w:rFonts w:hint="eastAsia" w:ascii="宋体" w:hAnsi="宋体"/>
          <w:color w:val="auto"/>
          <w:highlight w:val="none"/>
        </w:rPr>
        <w:t>、属于责任范围、内容的项目，承包人应当在接到保修通知之日起</w:t>
      </w:r>
      <w:r>
        <w:rPr>
          <w:rFonts w:ascii="宋体" w:hAnsi="宋体"/>
          <w:color w:val="auto"/>
          <w:highlight w:val="none"/>
        </w:rPr>
        <w:t>7</w:t>
      </w:r>
      <w:r>
        <w:rPr>
          <w:rFonts w:hint="eastAsia" w:ascii="宋体" w:hAnsi="宋体"/>
          <w:color w:val="auto"/>
          <w:highlight w:val="none"/>
        </w:rPr>
        <w:t>天内派人保修。承包人不在约定期限内派人保修的，发包人可以委托他人修理。</w:t>
      </w:r>
    </w:p>
    <w:p w14:paraId="21AF95DF">
      <w:pPr>
        <w:snapToGrid w:val="0"/>
        <w:spacing w:line="360" w:lineRule="auto"/>
        <w:ind w:firstLine="420" w:firstLineChars="200"/>
        <w:rPr>
          <w:rFonts w:ascii="宋体"/>
          <w:color w:val="auto"/>
          <w:highlight w:val="none"/>
        </w:rPr>
      </w:pPr>
      <w:r>
        <w:rPr>
          <w:rFonts w:ascii="宋体" w:hAnsi="宋体"/>
          <w:color w:val="auto"/>
          <w:highlight w:val="none"/>
        </w:rPr>
        <w:t>2</w:t>
      </w:r>
      <w:r>
        <w:rPr>
          <w:rFonts w:hint="eastAsia" w:ascii="宋体" w:hAnsi="宋体"/>
          <w:color w:val="auto"/>
          <w:highlight w:val="none"/>
        </w:rPr>
        <w:t>、发生紧急抢修事故的，承包人在接到事故通知后，应当立即到达事故现场抢修。</w:t>
      </w:r>
    </w:p>
    <w:p w14:paraId="04E36CEB">
      <w:pPr>
        <w:snapToGrid w:val="0"/>
        <w:spacing w:line="360" w:lineRule="auto"/>
        <w:ind w:firstLine="420" w:firstLineChars="200"/>
        <w:rPr>
          <w:rFonts w:ascii="宋体"/>
          <w:color w:val="auto"/>
          <w:highlight w:val="none"/>
        </w:rPr>
      </w:pPr>
      <w:r>
        <w:rPr>
          <w:rFonts w:ascii="宋体" w:hAnsi="宋体"/>
          <w:color w:val="auto"/>
          <w:highlight w:val="none"/>
        </w:rPr>
        <w:t>3</w:t>
      </w:r>
      <w:r>
        <w:rPr>
          <w:rFonts w:hint="eastAsia" w:ascii="宋体" w:hAnsi="宋体"/>
          <w:color w:val="auto"/>
          <w:highlight w:val="none"/>
        </w:rPr>
        <w:t>、对于涉及结构安全的质量问题，应当按照《房屋建筑工程质量保修办法》的规定，立即向当地建设行政主管部门报告，采取安全防范措施；由原设计人或者具有相应资质等级的设计人提出保修方案，承包人实施保修。</w:t>
      </w:r>
    </w:p>
    <w:p w14:paraId="456AA88C">
      <w:pPr>
        <w:snapToGrid w:val="0"/>
        <w:spacing w:line="360" w:lineRule="auto"/>
        <w:ind w:firstLine="420" w:firstLineChars="200"/>
        <w:rPr>
          <w:rFonts w:ascii="宋体"/>
          <w:color w:val="auto"/>
          <w:highlight w:val="none"/>
        </w:rPr>
      </w:pPr>
      <w:r>
        <w:rPr>
          <w:rFonts w:ascii="宋体" w:hAnsi="宋体"/>
          <w:color w:val="auto"/>
          <w:highlight w:val="none"/>
        </w:rPr>
        <w:t>4</w:t>
      </w:r>
      <w:r>
        <w:rPr>
          <w:rFonts w:hint="eastAsia" w:ascii="宋体" w:hAnsi="宋体"/>
          <w:color w:val="auto"/>
          <w:highlight w:val="none"/>
        </w:rPr>
        <w:t>、质量保修完成后，由发包人组织验收。</w:t>
      </w:r>
    </w:p>
    <w:p w14:paraId="5C750F08">
      <w:pPr>
        <w:snapToGrid w:val="0"/>
        <w:spacing w:line="360" w:lineRule="auto"/>
        <w:ind w:firstLine="420" w:firstLineChars="200"/>
        <w:rPr>
          <w:rFonts w:ascii="宋体"/>
          <w:color w:val="auto"/>
          <w:highlight w:val="none"/>
        </w:rPr>
      </w:pPr>
      <w:bookmarkStart w:id="2105" w:name="_Toc477964628"/>
      <w:bookmarkStart w:id="2106" w:name="_Toc480303499"/>
      <w:bookmarkStart w:id="2107" w:name="_Toc479505772"/>
      <w:r>
        <w:rPr>
          <w:rFonts w:hint="eastAsia" w:ascii="宋体" w:hAnsi="宋体"/>
          <w:color w:val="auto"/>
          <w:highlight w:val="none"/>
        </w:rPr>
        <w:t>四、保修费用</w:t>
      </w:r>
      <w:bookmarkEnd w:id="2105"/>
      <w:bookmarkEnd w:id="2106"/>
      <w:bookmarkEnd w:id="2107"/>
    </w:p>
    <w:p w14:paraId="5174FC88">
      <w:pPr>
        <w:snapToGrid w:val="0"/>
        <w:spacing w:line="360" w:lineRule="auto"/>
        <w:ind w:firstLine="420" w:firstLineChars="200"/>
        <w:rPr>
          <w:rFonts w:ascii="宋体"/>
          <w:color w:val="auto"/>
          <w:highlight w:val="none"/>
          <w:u w:val="single"/>
        </w:rPr>
      </w:pPr>
      <w:r>
        <w:rPr>
          <w:rFonts w:hint="eastAsia" w:ascii="宋体" w:hAnsi="宋体"/>
          <w:color w:val="auto"/>
          <w:highlight w:val="none"/>
        </w:rPr>
        <w:t>保修费用由造成质量缺陷的责任方承担。</w:t>
      </w:r>
    </w:p>
    <w:p w14:paraId="68E1683B">
      <w:pPr>
        <w:snapToGrid w:val="0"/>
        <w:spacing w:line="360" w:lineRule="auto"/>
        <w:ind w:firstLine="420" w:firstLineChars="200"/>
        <w:rPr>
          <w:rFonts w:ascii="宋体"/>
          <w:color w:val="auto"/>
          <w:highlight w:val="none"/>
        </w:rPr>
      </w:pPr>
      <w:bookmarkStart w:id="2108" w:name="_Toc479505773"/>
      <w:bookmarkStart w:id="2109" w:name="_Toc477964629"/>
      <w:bookmarkStart w:id="2110" w:name="_Toc480303500"/>
      <w:r>
        <w:rPr>
          <w:rFonts w:hint="eastAsia" w:ascii="宋体" w:hAnsi="宋体"/>
          <w:color w:val="auto"/>
          <w:highlight w:val="none"/>
        </w:rPr>
        <w:t>五、其</w:t>
      </w:r>
      <w:r>
        <w:rPr>
          <w:rFonts w:ascii="宋体" w:hAnsi="宋体"/>
          <w:color w:val="auto"/>
          <w:highlight w:val="none"/>
        </w:rPr>
        <w:t xml:space="preserve"> </w:t>
      </w:r>
      <w:r>
        <w:rPr>
          <w:rFonts w:hint="eastAsia" w:ascii="宋体" w:hAnsi="宋体"/>
          <w:color w:val="auto"/>
          <w:highlight w:val="none"/>
        </w:rPr>
        <w:t>他</w:t>
      </w:r>
      <w:bookmarkEnd w:id="2108"/>
      <w:bookmarkEnd w:id="2109"/>
      <w:bookmarkEnd w:id="2110"/>
    </w:p>
    <w:p w14:paraId="44825FB7">
      <w:pPr>
        <w:snapToGrid w:val="0"/>
        <w:spacing w:line="360" w:lineRule="auto"/>
        <w:ind w:firstLine="420" w:firstLineChars="200"/>
        <w:rPr>
          <w:rFonts w:ascii="宋体"/>
          <w:color w:val="auto"/>
          <w:highlight w:val="none"/>
        </w:rPr>
      </w:pPr>
      <w:r>
        <w:rPr>
          <w:rFonts w:hint="eastAsia" w:ascii="宋体" w:hAnsi="宋体"/>
          <w:color w:val="auto"/>
          <w:highlight w:val="none"/>
        </w:rPr>
        <w:t>双方约定的其他工程保修责任事项：</w:t>
      </w:r>
    </w:p>
    <w:p w14:paraId="262149F2">
      <w:pPr>
        <w:snapToGrid w:val="0"/>
        <w:spacing w:line="360" w:lineRule="auto"/>
        <w:rPr>
          <w:rFonts w:ascii="宋体"/>
          <w:color w:val="auto"/>
          <w:highlight w:val="none"/>
          <w:u w:val="single"/>
        </w:rPr>
      </w:pPr>
      <w:r>
        <w:rPr>
          <w:rFonts w:ascii="宋体" w:hAnsi="宋体"/>
          <w:color w:val="auto"/>
          <w:highlight w:val="none"/>
          <w:u w:val="single"/>
        </w:rPr>
        <w:t xml:space="preserve">                                       </w:t>
      </w:r>
      <w:r>
        <w:rPr>
          <w:rFonts w:hint="eastAsia" w:ascii="宋体" w:hAnsi="宋体"/>
          <w:color w:val="auto"/>
          <w:highlight w:val="none"/>
          <w:u w:val="single"/>
          <w:lang w:val="en-US" w:eastAsia="zh-CN"/>
        </w:rPr>
        <w:t>/</w:t>
      </w:r>
      <w:r>
        <w:rPr>
          <w:rFonts w:ascii="宋体" w:hAnsi="宋体"/>
          <w:color w:val="auto"/>
          <w:highlight w:val="none"/>
          <w:u w:val="single"/>
        </w:rPr>
        <w:t xml:space="preserve">                                                                                                                 </w:t>
      </w:r>
    </w:p>
    <w:p w14:paraId="08A62BF4">
      <w:pPr>
        <w:snapToGrid w:val="0"/>
        <w:spacing w:line="360" w:lineRule="auto"/>
        <w:rPr>
          <w:rFonts w:ascii="宋体"/>
          <w:color w:val="auto"/>
          <w:highlight w:val="none"/>
          <w:u w:val="single"/>
        </w:rPr>
      </w:pPr>
      <w:r>
        <w:rPr>
          <w:rFonts w:ascii="宋体" w:hAnsi="宋体"/>
          <w:color w:val="auto"/>
          <w:highlight w:val="none"/>
          <w:u w:val="single"/>
        </w:rPr>
        <w:t xml:space="preserve">                                                                                                                                                        </w:t>
      </w:r>
    </w:p>
    <w:p w14:paraId="433FD0A9">
      <w:pPr>
        <w:snapToGrid w:val="0"/>
        <w:spacing w:line="360" w:lineRule="auto"/>
        <w:rPr>
          <w:rFonts w:ascii="宋体"/>
          <w:color w:val="auto"/>
          <w:highlight w:val="none"/>
        </w:rPr>
      </w:pPr>
      <w:r>
        <w:rPr>
          <w:rFonts w:ascii="宋体" w:hAnsi="宋体"/>
          <w:color w:val="auto"/>
          <w:highlight w:val="none"/>
          <w:u w:val="single"/>
        </w:rPr>
        <w:t xml:space="preserve">                                                                                                                                                             </w:t>
      </w:r>
    </w:p>
    <w:p w14:paraId="49F22CD4">
      <w:pPr>
        <w:snapToGrid w:val="0"/>
        <w:spacing w:line="360" w:lineRule="auto"/>
        <w:ind w:firstLine="420" w:firstLineChars="200"/>
        <w:rPr>
          <w:rFonts w:ascii="宋体"/>
          <w:color w:val="auto"/>
          <w:highlight w:val="none"/>
        </w:rPr>
      </w:pPr>
      <w:r>
        <w:rPr>
          <w:rFonts w:hint="eastAsia" w:ascii="宋体" w:hAnsi="宋体"/>
          <w:color w:val="auto"/>
          <w:highlight w:val="none"/>
        </w:rPr>
        <w:t>本工程保修书，由施工合同发包人、承包人双方在竣工验收前共同签署，作为施工合同附件，其有效期限至保修期满。</w:t>
      </w:r>
    </w:p>
    <w:p w14:paraId="5189B793">
      <w:pPr>
        <w:snapToGrid w:val="0"/>
        <w:spacing w:line="360" w:lineRule="auto"/>
        <w:rPr>
          <w:rFonts w:ascii="宋体"/>
          <w:color w:val="auto"/>
          <w:highlight w:val="none"/>
        </w:rPr>
      </w:pPr>
    </w:p>
    <w:p w14:paraId="6B326CCB">
      <w:pPr>
        <w:snapToGrid w:val="0"/>
        <w:spacing w:line="360" w:lineRule="auto"/>
        <w:rPr>
          <w:rFonts w:hint="default" w:ascii="宋体" w:hAnsi="宋体"/>
          <w:color w:val="000000"/>
          <w:sz w:val="21"/>
          <w:szCs w:val="21"/>
          <w:highlight w:val="none"/>
          <w:u w:val="single"/>
          <w:lang w:val="en-US" w:eastAsia="zh-CN"/>
        </w:rPr>
      </w:pPr>
      <w:r>
        <w:rPr>
          <w:rFonts w:hint="eastAsia" w:ascii="宋体" w:hAnsi="宋体"/>
          <w:color w:val="auto"/>
          <w:highlight w:val="none"/>
        </w:rPr>
        <w:t>发包人：</w:t>
      </w:r>
      <w:r>
        <w:rPr>
          <w:rFonts w:hint="eastAsia" w:ascii="宋体" w:hAnsi="宋体" w:cs="Arial"/>
          <w:color w:val="auto"/>
          <w:szCs w:val="21"/>
          <w:highlight w:val="none"/>
          <w:u w:val="single"/>
        </w:rPr>
        <w:t>北京市昌平区城北街道办事处</w:t>
      </w:r>
      <w:r>
        <w:rPr>
          <w:rFonts w:ascii="宋体" w:hAnsi="宋体"/>
          <w:color w:val="auto"/>
          <w:highlight w:val="none"/>
        </w:rPr>
        <w:t xml:space="preserve">   </w:t>
      </w:r>
      <w:r>
        <w:rPr>
          <w:rFonts w:hint="eastAsia" w:ascii="宋体" w:hAnsi="宋体"/>
          <w:color w:val="auto"/>
          <w:highlight w:val="none"/>
        </w:rPr>
        <w:t>承包人：</w:t>
      </w:r>
      <w:r>
        <w:rPr>
          <w:rFonts w:hint="eastAsia" w:ascii="宋体" w:hAnsi="宋体"/>
          <w:color w:val="auto"/>
          <w:highlight w:val="none"/>
          <w:lang w:val="en-US" w:eastAsia="zh-CN"/>
        </w:rPr>
        <w:t xml:space="preserve"> </w:t>
      </w:r>
      <w:r>
        <w:rPr>
          <w:rFonts w:hint="eastAsia" w:ascii="宋体" w:hAnsi="宋体"/>
          <w:szCs w:val="21"/>
          <w:highlight w:val="none"/>
          <w:u w:val="single"/>
          <w:lang w:val="en-US" w:eastAsia="zh-CN"/>
        </w:rPr>
        <w:t xml:space="preserve"> </w:t>
      </w:r>
      <w:r>
        <w:rPr>
          <w:rFonts w:hint="eastAsia" w:ascii="宋体" w:hAnsi="宋体"/>
          <w:color w:val="000000"/>
          <w:sz w:val="21"/>
          <w:szCs w:val="21"/>
          <w:highlight w:val="none"/>
          <w:u w:val="single"/>
          <w:lang w:val="en-US" w:eastAsia="zh-CN"/>
        </w:rPr>
        <w:t xml:space="preserve">                                 </w:t>
      </w:r>
    </w:p>
    <w:p w14:paraId="084423E1">
      <w:pPr>
        <w:snapToGrid w:val="0"/>
        <w:spacing w:line="360" w:lineRule="auto"/>
        <w:ind w:firstLine="630" w:firstLineChars="300"/>
        <w:rPr>
          <w:rFonts w:ascii="宋体"/>
          <w:color w:val="auto"/>
          <w:highlight w:val="none"/>
        </w:rPr>
      </w:pPr>
      <w:r>
        <w:rPr>
          <w:rFonts w:hint="eastAsia" w:ascii="宋体" w:hAnsi="宋体"/>
          <w:color w:val="auto"/>
          <w:highlight w:val="none"/>
        </w:rPr>
        <w:t>（公章）</w:t>
      </w:r>
      <w:r>
        <w:rPr>
          <w:rFonts w:hint="eastAsia" w:ascii="宋体" w:hAnsi="宋体"/>
          <w:color w:val="auto"/>
          <w:highlight w:val="none"/>
          <w:lang w:val="en-US" w:eastAsia="zh-CN"/>
        </w:rPr>
        <w:t xml:space="preserve">                             </w:t>
      </w:r>
      <w:r>
        <w:rPr>
          <w:rFonts w:hint="eastAsia" w:ascii="宋体" w:hAnsi="宋体"/>
          <w:color w:val="auto"/>
          <w:highlight w:val="none"/>
        </w:rPr>
        <w:t>（公章）</w:t>
      </w:r>
      <w:r>
        <w:rPr>
          <w:rFonts w:ascii="宋体" w:hAnsi="宋体"/>
          <w:color w:val="auto"/>
          <w:highlight w:val="none"/>
        </w:rPr>
        <w:t xml:space="preserve"> </w:t>
      </w:r>
    </w:p>
    <w:p w14:paraId="559E0B36">
      <w:pPr>
        <w:snapToGrid w:val="0"/>
        <w:spacing w:line="360" w:lineRule="auto"/>
        <w:ind w:left="4830" w:hanging="4830" w:hangingChars="2300"/>
        <w:rPr>
          <w:rFonts w:hint="default" w:ascii="宋体" w:eastAsia="宋体"/>
          <w:color w:val="auto"/>
          <w:highlight w:val="none"/>
          <w:lang w:val="en-US" w:eastAsia="zh-CN"/>
        </w:rPr>
      </w:pPr>
      <w:r>
        <w:rPr>
          <w:rFonts w:hint="eastAsia" w:ascii="宋体" w:hAnsi="宋体"/>
          <w:color w:val="auto"/>
          <w:highlight w:val="none"/>
        </w:rPr>
        <w:t>法定地址：</w:t>
      </w:r>
      <w:r>
        <w:rPr>
          <w:rFonts w:hint="eastAsia" w:ascii="宋体" w:hAnsi="宋体" w:cs="Arial"/>
          <w:color w:val="auto"/>
          <w:szCs w:val="21"/>
          <w:highlight w:val="none"/>
          <w:u w:val="single"/>
          <w:lang w:val="zh-TW"/>
        </w:rPr>
        <w:t>北京市昌平区水库路1号</w:t>
      </w:r>
      <w:r>
        <w:rPr>
          <w:rFonts w:ascii="宋体" w:hAnsi="宋体"/>
          <w:color w:val="auto"/>
          <w:highlight w:val="none"/>
        </w:rPr>
        <w:t xml:space="preserve">    </w:t>
      </w:r>
      <w:r>
        <w:rPr>
          <w:rFonts w:hint="eastAsia" w:ascii="宋体" w:hAnsi="宋体"/>
          <w:color w:val="auto"/>
          <w:highlight w:val="none"/>
        </w:rPr>
        <w:t>法定地址：</w:t>
      </w:r>
      <w:r>
        <w:rPr>
          <w:rFonts w:hint="eastAsia" w:ascii="宋体" w:hAnsi="宋体"/>
          <w:szCs w:val="21"/>
          <w:highlight w:val="none"/>
          <w:u w:val="single"/>
          <w:lang w:val="en-US" w:eastAsia="zh-CN"/>
        </w:rPr>
        <w:t xml:space="preserve"> </w:t>
      </w:r>
      <w:r>
        <w:rPr>
          <w:rFonts w:hint="eastAsia" w:ascii="宋体" w:hAnsi="宋体"/>
          <w:color w:val="000000"/>
          <w:szCs w:val="21"/>
          <w:highlight w:val="none"/>
          <w:u w:val="single"/>
          <w:lang w:val="en-US" w:eastAsia="zh-CN"/>
        </w:rPr>
        <w:t xml:space="preserve">                                </w:t>
      </w:r>
    </w:p>
    <w:p w14:paraId="42DF9368">
      <w:pPr>
        <w:snapToGrid w:val="0"/>
        <w:spacing w:line="360" w:lineRule="auto"/>
        <w:rPr>
          <w:rFonts w:ascii="宋体"/>
          <w:color w:val="auto"/>
          <w:highlight w:val="none"/>
        </w:rPr>
      </w:pPr>
      <w:r>
        <w:rPr>
          <w:rFonts w:hint="eastAsia" w:ascii="宋体" w:hAnsi="宋体"/>
          <w:color w:val="auto"/>
          <w:highlight w:val="none"/>
        </w:rPr>
        <w:t>法定代表人或其</w:t>
      </w:r>
      <w:r>
        <w:rPr>
          <w:rFonts w:ascii="宋体" w:hAnsi="宋体"/>
          <w:color w:val="auto"/>
          <w:highlight w:val="none"/>
        </w:rPr>
        <w:t xml:space="preserve">                       </w:t>
      </w:r>
      <w:r>
        <w:rPr>
          <w:rFonts w:hint="eastAsia" w:ascii="宋体" w:hAnsi="宋体"/>
          <w:color w:val="auto"/>
          <w:highlight w:val="none"/>
        </w:rPr>
        <w:t>法定代表人或其</w:t>
      </w:r>
    </w:p>
    <w:p w14:paraId="2A6E02A2">
      <w:pPr>
        <w:snapToGrid w:val="0"/>
        <w:spacing w:line="360" w:lineRule="auto"/>
        <w:rPr>
          <w:rFonts w:ascii="宋体"/>
          <w:color w:val="auto"/>
          <w:highlight w:val="none"/>
        </w:rPr>
      </w:pPr>
      <w:r>
        <w:rPr>
          <w:rFonts w:hint="eastAsia" w:ascii="宋体" w:hAnsi="宋体"/>
          <w:color w:val="auto"/>
          <w:highlight w:val="none"/>
        </w:rPr>
        <w:t>委托代理人：</w:t>
      </w:r>
      <w:r>
        <w:rPr>
          <w:rFonts w:ascii="宋体" w:hAnsi="宋体"/>
          <w:color w:val="auto"/>
          <w:highlight w:val="none"/>
          <w:u w:val="single"/>
        </w:rPr>
        <w:t xml:space="preserve">               </w:t>
      </w:r>
      <w:r>
        <w:rPr>
          <w:rFonts w:hint="eastAsia" w:ascii="宋体" w:hAnsi="宋体"/>
          <w:color w:val="auto"/>
          <w:highlight w:val="none"/>
        </w:rPr>
        <w:t>（签字）</w:t>
      </w:r>
      <w:r>
        <w:rPr>
          <w:rFonts w:ascii="宋体" w:hAnsi="宋体"/>
          <w:color w:val="auto"/>
          <w:highlight w:val="none"/>
        </w:rPr>
        <w:t xml:space="preserve">  </w:t>
      </w:r>
      <w:r>
        <w:rPr>
          <w:rFonts w:hint="eastAsia" w:ascii="宋体" w:hAnsi="宋体"/>
          <w:color w:val="auto"/>
          <w:highlight w:val="none"/>
        </w:rPr>
        <w:t>委托代理人：</w:t>
      </w:r>
      <w:r>
        <w:rPr>
          <w:rFonts w:ascii="宋体" w:hAnsi="宋体"/>
          <w:color w:val="auto"/>
          <w:highlight w:val="none"/>
          <w:u w:val="single"/>
        </w:rPr>
        <w:t xml:space="preserve">                       </w:t>
      </w:r>
      <w:r>
        <w:rPr>
          <w:rFonts w:hint="eastAsia" w:ascii="宋体" w:hAnsi="宋体"/>
          <w:color w:val="auto"/>
          <w:highlight w:val="none"/>
        </w:rPr>
        <w:t>（签字）</w:t>
      </w:r>
    </w:p>
    <w:p w14:paraId="7000E7AF">
      <w:pPr>
        <w:snapToGrid w:val="0"/>
        <w:spacing w:line="360" w:lineRule="auto"/>
        <w:rPr>
          <w:rFonts w:ascii="宋体"/>
          <w:color w:val="auto"/>
          <w:highlight w:val="none"/>
        </w:rPr>
      </w:pPr>
      <w:r>
        <w:rPr>
          <w:rFonts w:hint="eastAsia" w:ascii="宋体" w:hAnsi="宋体"/>
          <w:color w:val="auto"/>
          <w:highlight w:val="none"/>
        </w:rPr>
        <w:t>电话：</w:t>
      </w:r>
      <w:r>
        <w:rPr>
          <w:rFonts w:ascii="宋体" w:hAnsi="宋体"/>
          <w:color w:val="auto"/>
          <w:highlight w:val="none"/>
          <w:u w:val="single"/>
        </w:rPr>
        <w:t xml:space="preserve">                            </w:t>
      </w:r>
      <w:r>
        <w:rPr>
          <w:rFonts w:ascii="宋体" w:hAnsi="宋体"/>
          <w:color w:val="auto"/>
          <w:highlight w:val="none"/>
        </w:rPr>
        <w:t xml:space="preserve">   </w:t>
      </w:r>
      <w:r>
        <w:rPr>
          <w:rFonts w:hint="eastAsia" w:ascii="宋体" w:hAnsi="宋体"/>
          <w:color w:val="auto"/>
          <w:highlight w:val="none"/>
        </w:rPr>
        <w:t>电话：</w:t>
      </w:r>
      <w:r>
        <w:rPr>
          <w:rFonts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ascii="宋体" w:hAnsi="宋体"/>
          <w:color w:val="auto"/>
          <w:highlight w:val="none"/>
          <w:u w:val="single"/>
        </w:rPr>
        <w:t xml:space="preserve">                                    </w:t>
      </w:r>
    </w:p>
    <w:p w14:paraId="664CF18E">
      <w:pPr>
        <w:snapToGrid w:val="0"/>
        <w:spacing w:line="360" w:lineRule="auto"/>
        <w:rPr>
          <w:rFonts w:ascii="宋体"/>
          <w:color w:val="auto"/>
          <w:highlight w:val="none"/>
        </w:rPr>
      </w:pPr>
      <w:r>
        <w:rPr>
          <w:rFonts w:hint="eastAsia" w:ascii="宋体" w:hAnsi="宋体"/>
          <w:color w:val="auto"/>
          <w:highlight w:val="none"/>
        </w:rPr>
        <w:t>传真：</w:t>
      </w:r>
      <w:r>
        <w:rPr>
          <w:rFonts w:ascii="宋体" w:hAnsi="宋体"/>
          <w:color w:val="auto"/>
          <w:highlight w:val="none"/>
          <w:u w:val="single"/>
        </w:rPr>
        <w:t xml:space="preserve">                            </w:t>
      </w:r>
      <w:r>
        <w:rPr>
          <w:rFonts w:ascii="宋体" w:hAnsi="宋体"/>
          <w:color w:val="auto"/>
          <w:highlight w:val="none"/>
        </w:rPr>
        <w:t xml:space="preserve">   </w:t>
      </w:r>
      <w:r>
        <w:rPr>
          <w:rFonts w:hint="eastAsia" w:ascii="宋体" w:hAnsi="宋体"/>
          <w:color w:val="auto"/>
          <w:highlight w:val="none"/>
        </w:rPr>
        <w:t>传真：</w:t>
      </w:r>
      <w:r>
        <w:rPr>
          <w:rFonts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ascii="宋体" w:hAnsi="宋体"/>
          <w:color w:val="auto"/>
          <w:highlight w:val="none"/>
          <w:u w:val="single"/>
        </w:rPr>
        <w:t xml:space="preserve">                                     </w:t>
      </w:r>
    </w:p>
    <w:p w14:paraId="0FA3BE00">
      <w:pPr>
        <w:snapToGrid w:val="0"/>
        <w:spacing w:line="360" w:lineRule="auto"/>
        <w:rPr>
          <w:rFonts w:ascii="宋体"/>
          <w:color w:val="auto"/>
          <w:highlight w:val="none"/>
        </w:rPr>
      </w:pPr>
      <w:r>
        <w:rPr>
          <w:rFonts w:hint="eastAsia" w:ascii="宋体" w:hAnsi="宋体"/>
          <w:color w:val="auto"/>
          <w:highlight w:val="none"/>
        </w:rPr>
        <w:t>电子邮箱：</w:t>
      </w:r>
      <w:r>
        <w:rPr>
          <w:rFonts w:ascii="宋体" w:hAnsi="宋体"/>
          <w:color w:val="auto"/>
          <w:highlight w:val="none"/>
          <w:u w:val="single"/>
        </w:rPr>
        <w:t xml:space="preserve">                        </w:t>
      </w:r>
      <w:r>
        <w:rPr>
          <w:rFonts w:ascii="宋体" w:hAnsi="宋体"/>
          <w:color w:val="auto"/>
          <w:highlight w:val="none"/>
        </w:rPr>
        <w:t xml:space="preserve">   </w:t>
      </w:r>
      <w:r>
        <w:rPr>
          <w:rFonts w:hint="eastAsia" w:ascii="宋体" w:hAnsi="宋体"/>
          <w:color w:val="auto"/>
          <w:highlight w:val="none"/>
        </w:rPr>
        <w:t>电子邮箱：</w:t>
      </w:r>
      <w:r>
        <w:rPr>
          <w:rFonts w:ascii="宋体" w:hAnsi="宋体"/>
          <w:color w:val="auto"/>
          <w:highlight w:val="none"/>
          <w:u w:val="single"/>
        </w:rPr>
        <w:t xml:space="preserve">   </w:t>
      </w:r>
      <w:r>
        <w:rPr>
          <w:rFonts w:hint="eastAsia" w:ascii="宋体" w:hAnsi="宋体" w:cs="Times New Roman"/>
          <w:szCs w:val="21"/>
          <w:highlight w:val="none"/>
          <w:u w:val="single"/>
          <w:lang w:val="en-US" w:eastAsia="zh-CN"/>
        </w:rPr>
        <w:t xml:space="preserve"> </w:t>
      </w:r>
      <w:r>
        <w:rPr>
          <w:rFonts w:ascii="宋体" w:hAnsi="宋体"/>
          <w:color w:val="auto"/>
          <w:highlight w:val="none"/>
          <w:u w:val="single"/>
        </w:rPr>
        <w:t xml:space="preserve">                              </w:t>
      </w:r>
    </w:p>
    <w:p w14:paraId="0488170A">
      <w:pPr>
        <w:snapToGrid w:val="0"/>
        <w:spacing w:line="360" w:lineRule="auto"/>
        <w:ind w:left="5040" w:hanging="5040" w:hangingChars="2400"/>
        <w:rPr>
          <w:rFonts w:ascii="宋体"/>
          <w:color w:val="auto"/>
          <w:highlight w:val="none"/>
        </w:rPr>
      </w:pPr>
      <w:r>
        <w:rPr>
          <w:rFonts w:hint="eastAsia" w:ascii="宋体" w:hAnsi="宋体"/>
          <w:color w:val="auto"/>
          <w:highlight w:val="none"/>
        </w:rPr>
        <w:t>开户银行：</w:t>
      </w:r>
      <w:r>
        <w:rPr>
          <w:rFonts w:ascii="宋体" w:hAnsi="宋体"/>
          <w:color w:val="auto"/>
          <w:highlight w:val="none"/>
          <w:u w:val="single"/>
        </w:rPr>
        <w:t xml:space="preserve">                        </w:t>
      </w:r>
      <w:r>
        <w:rPr>
          <w:rFonts w:ascii="宋体" w:hAnsi="宋体"/>
          <w:color w:val="auto"/>
          <w:highlight w:val="none"/>
        </w:rPr>
        <w:t xml:space="preserve">   </w:t>
      </w:r>
      <w:r>
        <w:rPr>
          <w:rFonts w:hint="eastAsia" w:ascii="宋体" w:hAnsi="宋体"/>
          <w:color w:val="auto"/>
          <w:highlight w:val="none"/>
        </w:rPr>
        <w:t>开户银行：</w:t>
      </w:r>
      <w:r>
        <w:rPr>
          <w:rFonts w:hint="eastAsia" w:ascii="宋体"/>
          <w:color w:val="000000"/>
          <w:szCs w:val="21"/>
          <w:highlight w:val="none"/>
          <w:u w:val="single"/>
          <w:lang w:val="en-US" w:eastAsia="zh-CN"/>
        </w:rPr>
        <w:t xml:space="preserve"> </w:t>
      </w:r>
      <w:r>
        <w:rPr>
          <w:rFonts w:hint="eastAsia" w:ascii="宋体" w:hAnsi="宋体" w:cs="Times New Roman"/>
          <w:highlight w:val="none"/>
          <w:u w:val="single"/>
          <w:lang w:val="en-US" w:eastAsia="zh-CN"/>
        </w:rPr>
        <w:t xml:space="preserve"> </w:t>
      </w:r>
      <w:r>
        <w:rPr>
          <w:rFonts w:hint="eastAsia" w:ascii="宋体"/>
          <w:color w:val="000000"/>
          <w:szCs w:val="21"/>
          <w:highlight w:val="none"/>
          <w:u w:val="single"/>
          <w:lang w:val="en-US" w:eastAsia="zh-CN"/>
        </w:rPr>
        <w:t xml:space="preserve">          </w:t>
      </w:r>
      <w:r>
        <w:rPr>
          <w:rFonts w:ascii="宋体" w:hAnsi="宋体"/>
          <w:color w:val="auto"/>
          <w:highlight w:val="none"/>
          <w:u w:val="single"/>
        </w:rPr>
        <w:t xml:space="preserve">         </w:t>
      </w:r>
    </w:p>
    <w:p w14:paraId="5C2F2BDE">
      <w:pPr>
        <w:snapToGrid w:val="0"/>
        <w:spacing w:line="360" w:lineRule="auto"/>
        <w:rPr>
          <w:rFonts w:ascii="宋体"/>
          <w:color w:val="auto"/>
          <w:highlight w:val="none"/>
        </w:rPr>
      </w:pPr>
      <w:r>
        <w:rPr>
          <w:rFonts w:hint="eastAsia" w:ascii="宋体" w:hAnsi="宋体"/>
          <w:color w:val="auto"/>
          <w:highlight w:val="none"/>
          <w:lang w:eastAsia="zh-CN"/>
        </w:rPr>
        <w:t>账号</w:t>
      </w:r>
      <w:r>
        <w:rPr>
          <w:rFonts w:hint="eastAsia" w:ascii="宋体" w:hAnsi="宋体"/>
          <w:color w:val="auto"/>
          <w:highlight w:val="none"/>
        </w:rPr>
        <w:t>：</w:t>
      </w:r>
      <w:r>
        <w:rPr>
          <w:rFonts w:ascii="宋体" w:hAnsi="宋体"/>
          <w:color w:val="auto"/>
          <w:highlight w:val="none"/>
          <w:u w:val="single"/>
        </w:rPr>
        <w:t xml:space="preserve">                            </w:t>
      </w:r>
      <w:r>
        <w:rPr>
          <w:rFonts w:ascii="宋体" w:hAnsi="宋体"/>
          <w:color w:val="auto"/>
          <w:highlight w:val="none"/>
        </w:rPr>
        <w:t xml:space="preserve">   </w:t>
      </w:r>
      <w:r>
        <w:rPr>
          <w:rFonts w:hint="eastAsia" w:ascii="宋体" w:hAnsi="宋体"/>
          <w:color w:val="auto"/>
          <w:highlight w:val="none"/>
          <w:lang w:eastAsia="zh-CN"/>
        </w:rPr>
        <w:t>账号</w:t>
      </w:r>
      <w:r>
        <w:rPr>
          <w:rFonts w:hint="eastAsia" w:ascii="宋体" w:hAnsi="宋体"/>
          <w:color w:val="auto"/>
          <w:highlight w:val="none"/>
        </w:rPr>
        <w:t>：</w:t>
      </w:r>
      <w:r>
        <w:rPr>
          <w:rFonts w:hint="eastAsia" w:ascii="宋体"/>
          <w:color w:val="000000"/>
          <w:szCs w:val="21"/>
          <w:highlight w:val="none"/>
          <w:u w:val="single"/>
          <w:lang w:val="en-US" w:eastAsia="zh-CN"/>
        </w:rPr>
        <w:t xml:space="preserve">     </w:t>
      </w:r>
      <w:r>
        <w:rPr>
          <w:rFonts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hint="eastAsia" w:ascii="宋体" w:hAnsi="宋体" w:cs="Times New Roman"/>
          <w:highlight w:val="none"/>
          <w:u w:val="single"/>
          <w:lang w:val="en-US" w:eastAsia="zh-CN"/>
        </w:rPr>
        <w:t xml:space="preserve"> </w:t>
      </w:r>
      <w:r>
        <w:rPr>
          <w:rFonts w:hint="eastAsia" w:ascii="宋体" w:hAnsi="宋体"/>
          <w:color w:val="auto"/>
          <w:highlight w:val="none"/>
          <w:u w:val="single"/>
          <w:lang w:val="en-US" w:eastAsia="zh-CN"/>
        </w:rPr>
        <w:t xml:space="preserve">            </w:t>
      </w:r>
      <w:r>
        <w:rPr>
          <w:rFonts w:ascii="宋体" w:hAnsi="宋体"/>
          <w:color w:val="auto"/>
          <w:highlight w:val="none"/>
          <w:u w:val="single"/>
        </w:rPr>
        <w:t xml:space="preserve">         </w:t>
      </w:r>
    </w:p>
    <w:p w14:paraId="763BD0C7">
      <w:pPr>
        <w:snapToGrid w:val="0"/>
        <w:spacing w:line="360" w:lineRule="auto"/>
        <w:rPr>
          <w:rFonts w:ascii="宋体"/>
          <w:color w:val="auto"/>
          <w:highlight w:val="none"/>
        </w:rPr>
      </w:pPr>
      <w:r>
        <w:rPr>
          <w:rFonts w:hint="eastAsia" w:ascii="宋体" w:hAnsi="宋体"/>
          <w:color w:val="auto"/>
          <w:highlight w:val="none"/>
        </w:rPr>
        <w:t>邮政编码：</w:t>
      </w:r>
      <w:r>
        <w:rPr>
          <w:rFonts w:ascii="宋体" w:hAnsi="宋体"/>
          <w:color w:val="auto"/>
          <w:highlight w:val="none"/>
          <w:u w:val="single"/>
        </w:rPr>
        <w:t xml:space="preserve"> </w:t>
      </w:r>
      <w:r>
        <w:rPr>
          <w:rFonts w:hint="eastAsia" w:ascii="宋体" w:hAnsi="宋体"/>
          <w:color w:val="auto"/>
          <w:highlight w:val="none"/>
          <w:u w:val="single"/>
          <w:lang w:val="en-US" w:eastAsia="zh-CN"/>
        </w:rPr>
        <w:t xml:space="preserve"> 102200        </w:t>
      </w:r>
      <w:r>
        <w:rPr>
          <w:rFonts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ascii="宋体" w:hAnsi="宋体"/>
          <w:color w:val="auto"/>
          <w:highlight w:val="none"/>
          <w:u w:val="single"/>
        </w:rPr>
        <w:t xml:space="preserve"> </w:t>
      </w:r>
      <w:r>
        <w:rPr>
          <w:rFonts w:ascii="宋体" w:hAnsi="宋体"/>
          <w:color w:val="auto"/>
          <w:highlight w:val="none"/>
        </w:rPr>
        <w:t xml:space="preserve">    </w:t>
      </w:r>
      <w:r>
        <w:rPr>
          <w:rFonts w:hint="eastAsia" w:ascii="宋体" w:hAnsi="宋体"/>
          <w:color w:val="auto"/>
          <w:highlight w:val="none"/>
        </w:rPr>
        <w:t>邮政编码：</w:t>
      </w:r>
      <w:r>
        <w:rPr>
          <w:rFonts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ascii="宋体" w:hAnsi="宋体"/>
          <w:color w:val="auto"/>
          <w:highlight w:val="none"/>
          <w:u w:val="single"/>
        </w:rPr>
        <w:t xml:space="preserve">              </w:t>
      </w:r>
      <w:r>
        <w:rPr>
          <w:rFonts w:ascii="宋体" w:hAnsi="宋体"/>
          <w:color w:val="auto"/>
          <w:highlight w:val="none"/>
        </w:rPr>
        <w:t xml:space="preserve"> </w:t>
      </w:r>
    </w:p>
    <w:p w14:paraId="17717947">
      <w:pPr>
        <w:pStyle w:val="36"/>
        <w:spacing w:before="120" w:after="120"/>
        <w:outlineLvl w:val="1"/>
        <w:rPr>
          <w:color w:val="auto"/>
          <w:highlight w:val="none"/>
        </w:rPr>
      </w:pPr>
      <w:r>
        <w:rPr>
          <w:color w:val="auto"/>
          <w:highlight w:val="none"/>
        </w:rPr>
        <w:br w:type="page"/>
      </w:r>
      <w:bookmarkStart w:id="2111" w:name="_Toc32541"/>
      <w:bookmarkStart w:id="2112" w:name="_Toc497456968"/>
      <w:bookmarkStart w:id="2113" w:name="_Toc489219297"/>
      <w:bookmarkStart w:id="2114" w:name="_Toc480303501"/>
      <w:bookmarkStart w:id="2115" w:name="_Toc477964630"/>
      <w:bookmarkStart w:id="2116" w:name="_Toc485338210"/>
      <w:r>
        <w:rPr>
          <w:rFonts w:hint="eastAsia"/>
          <w:color w:val="auto"/>
          <w:highlight w:val="none"/>
        </w:rPr>
        <w:t>附件</w:t>
      </w:r>
      <w:r>
        <w:rPr>
          <w:rFonts w:hint="eastAsia"/>
          <w:color w:val="auto"/>
          <w:highlight w:val="none"/>
          <w:lang w:val="en-US" w:eastAsia="zh-CN"/>
        </w:rPr>
        <w:t>六</w:t>
      </w:r>
      <w:r>
        <w:rPr>
          <w:rFonts w:hint="eastAsia"/>
          <w:color w:val="auto"/>
          <w:highlight w:val="none"/>
        </w:rPr>
        <w:t>：廉政责任书格式</w:t>
      </w:r>
      <w:bookmarkEnd w:id="2111"/>
      <w:bookmarkEnd w:id="2112"/>
      <w:bookmarkEnd w:id="2113"/>
      <w:bookmarkEnd w:id="2114"/>
      <w:bookmarkEnd w:id="2115"/>
      <w:bookmarkEnd w:id="2116"/>
    </w:p>
    <w:p w14:paraId="2F841CFC">
      <w:pPr>
        <w:snapToGrid w:val="0"/>
        <w:spacing w:line="360" w:lineRule="auto"/>
        <w:ind w:firstLine="488"/>
        <w:jc w:val="center"/>
        <w:rPr>
          <w:rFonts w:ascii="宋体"/>
          <w:color w:val="auto"/>
          <w:highlight w:val="none"/>
        </w:rPr>
      </w:pPr>
    </w:p>
    <w:p w14:paraId="58AC7D24">
      <w:pPr>
        <w:snapToGrid w:val="0"/>
        <w:spacing w:line="360" w:lineRule="auto"/>
        <w:jc w:val="center"/>
        <w:rPr>
          <w:rFonts w:ascii="宋体"/>
          <w:b/>
          <w:color w:val="auto"/>
          <w:sz w:val="28"/>
          <w:highlight w:val="none"/>
        </w:rPr>
      </w:pPr>
      <w:r>
        <w:rPr>
          <w:rFonts w:hint="eastAsia" w:ascii="宋体" w:hAnsi="宋体"/>
          <w:b/>
          <w:color w:val="auto"/>
          <w:sz w:val="28"/>
          <w:highlight w:val="none"/>
        </w:rPr>
        <w:t>建设工程廉政责任书</w:t>
      </w:r>
    </w:p>
    <w:p w14:paraId="4F4B2F4B">
      <w:pPr>
        <w:snapToGrid w:val="0"/>
        <w:spacing w:line="360" w:lineRule="auto"/>
        <w:ind w:firstLine="420" w:firstLineChars="200"/>
        <w:rPr>
          <w:rFonts w:ascii="宋体"/>
          <w:color w:val="auto"/>
          <w:highlight w:val="none"/>
        </w:rPr>
      </w:pPr>
    </w:p>
    <w:p w14:paraId="617CE74E">
      <w:pPr>
        <w:snapToGrid w:val="0"/>
        <w:spacing w:line="360" w:lineRule="auto"/>
        <w:rPr>
          <w:rFonts w:ascii="宋体"/>
          <w:color w:val="auto"/>
          <w:highlight w:val="none"/>
          <w:u w:val="single"/>
        </w:rPr>
      </w:pPr>
      <w:r>
        <w:rPr>
          <w:rFonts w:hint="eastAsia" w:ascii="宋体" w:hAnsi="宋体"/>
          <w:color w:val="auto"/>
          <w:highlight w:val="none"/>
        </w:rPr>
        <w:t>发包人：</w:t>
      </w:r>
      <w:r>
        <w:rPr>
          <w:rFonts w:ascii="宋体" w:hAnsi="宋体"/>
          <w:color w:val="auto"/>
          <w:highlight w:val="none"/>
          <w:u w:val="single"/>
        </w:rPr>
        <w:t xml:space="preserve"> </w:t>
      </w:r>
      <w:r>
        <w:rPr>
          <w:rFonts w:hint="eastAsia" w:ascii="宋体" w:hAnsi="宋体" w:cs="Arial"/>
          <w:color w:val="auto"/>
          <w:szCs w:val="21"/>
          <w:highlight w:val="none"/>
          <w:u w:val="single"/>
        </w:rPr>
        <w:t>北京市昌平区城北街道办事处</w:t>
      </w:r>
      <w:r>
        <w:rPr>
          <w:rFonts w:ascii="宋体" w:hAnsi="宋体"/>
          <w:color w:val="auto"/>
          <w:highlight w:val="none"/>
          <w:u w:val="single"/>
        </w:rPr>
        <w:t xml:space="preserve">        </w:t>
      </w:r>
    </w:p>
    <w:p w14:paraId="651EB23A">
      <w:pPr>
        <w:snapToGrid w:val="0"/>
        <w:spacing w:line="360" w:lineRule="auto"/>
        <w:rPr>
          <w:rFonts w:ascii="宋体"/>
          <w:color w:val="auto"/>
          <w:highlight w:val="none"/>
        </w:rPr>
      </w:pPr>
      <w:r>
        <w:rPr>
          <w:rFonts w:hint="eastAsia" w:ascii="宋体" w:hAnsi="宋体"/>
          <w:color w:val="auto"/>
          <w:highlight w:val="none"/>
        </w:rPr>
        <w:t>承包人：</w:t>
      </w:r>
      <w:r>
        <w:rPr>
          <w:rFonts w:ascii="宋体" w:hAnsi="宋体"/>
          <w:color w:val="auto"/>
          <w:highlight w:val="none"/>
          <w:u w:val="single"/>
        </w:rPr>
        <w:t xml:space="preserve"> </w:t>
      </w:r>
      <w:r>
        <w:rPr>
          <w:rFonts w:hint="eastAsia" w:ascii="宋体" w:hAnsi="宋体" w:cs="Times New Roman"/>
          <w:szCs w:val="21"/>
          <w:highlight w:val="none"/>
          <w:u w:val="single"/>
          <w:lang w:val="en-US" w:eastAsia="zh-CN"/>
        </w:rPr>
        <w:t xml:space="preserve">                           </w:t>
      </w:r>
      <w:r>
        <w:rPr>
          <w:rFonts w:hint="eastAsia" w:ascii="宋体" w:hAnsi="宋体"/>
          <w:color w:val="000000"/>
          <w:sz w:val="21"/>
          <w:szCs w:val="21"/>
          <w:highlight w:val="none"/>
          <w:u w:val="single"/>
          <w:lang w:val="en-US" w:eastAsia="zh-CN"/>
        </w:rPr>
        <w:t xml:space="preserve">      </w:t>
      </w:r>
    </w:p>
    <w:p w14:paraId="4468E740">
      <w:pPr>
        <w:snapToGrid w:val="0"/>
        <w:spacing w:line="360" w:lineRule="auto"/>
        <w:ind w:firstLine="420" w:firstLineChars="200"/>
        <w:rPr>
          <w:rFonts w:ascii="宋体"/>
          <w:color w:val="auto"/>
          <w:highlight w:val="none"/>
        </w:rPr>
      </w:pPr>
    </w:p>
    <w:p w14:paraId="3BFD40D0">
      <w:pPr>
        <w:snapToGrid w:val="0"/>
        <w:spacing w:line="360" w:lineRule="auto"/>
        <w:ind w:firstLine="420" w:firstLineChars="200"/>
        <w:rPr>
          <w:rFonts w:ascii="宋体"/>
          <w:color w:val="auto"/>
          <w:szCs w:val="28"/>
          <w:highlight w:val="none"/>
        </w:rPr>
      </w:pPr>
      <w:r>
        <w:rPr>
          <w:rFonts w:hint="eastAsia" w:ascii="宋体" w:hAnsi="宋体"/>
          <w:color w:val="auto"/>
          <w:szCs w:val="28"/>
          <w:highlight w:val="none"/>
        </w:rPr>
        <w:t>为加强建设工程廉政建设，规范建设工程各项活动中发包人</w:t>
      </w:r>
      <w:r>
        <w:rPr>
          <w:rFonts w:hint="eastAsia" w:ascii="宋体" w:hAnsi="宋体"/>
          <w:color w:val="auto"/>
          <w:szCs w:val="28"/>
          <w:highlight w:val="none"/>
          <w:lang w:eastAsia="zh-CN"/>
        </w:rPr>
        <w:t>、</w:t>
      </w:r>
      <w:r>
        <w:rPr>
          <w:rFonts w:hint="eastAsia" w:ascii="宋体" w:hAnsi="宋体"/>
          <w:color w:val="auto"/>
          <w:szCs w:val="28"/>
          <w:highlight w:val="none"/>
        </w:rPr>
        <w:t>承包人双方的行为，防止谋取不正当利益的违法违纪现象的发生，保护国家、集体和当事人的合法权益，根据国家有关工程建设的法律法规和廉政建设的有关规定，订立本廉政责任书。</w:t>
      </w:r>
    </w:p>
    <w:p w14:paraId="437ED91A">
      <w:pPr>
        <w:snapToGrid w:val="0"/>
        <w:spacing w:line="360" w:lineRule="auto"/>
        <w:ind w:firstLine="420" w:firstLineChars="200"/>
        <w:rPr>
          <w:rFonts w:ascii="宋体"/>
          <w:color w:val="auto"/>
          <w:szCs w:val="28"/>
          <w:highlight w:val="none"/>
        </w:rPr>
      </w:pPr>
      <w:bookmarkStart w:id="2117" w:name="_Toc480303502"/>
      <w:bookmarkStart w:id="2118" w:name="_Toc477964631"/>
      <w:bookmarkStart w:id="2119" w:name="_Toc479505775"/>
      <w:r>
        <w:rPr>
          <w:rFonts w:hint="eastAsia" w:ascii="宋体" w:hAnsi="宋体"/>
          <w:color w:val="auto"/>
          <w:szCs w:val="28"/>
          <w:highlight w:val="none"/>
        </w:rPr>
        <w:t>一、双方的责任</w:t>
      </w:r>
      <w:bookmarkEnd w:id="2117"/>
      <w:bookmarkEnd w:id="2118"/>
      <w:bookmarkEnd w:id="2119"/>
    </w:p>
    <w:p w14:paraId="1980023D">
      <w:pPr>
        <w:snapToGrid w:val="0"/>
        <w:spacing w:line="360" w:lineRule="auto"/>
        <w:ind w:firstLine="420" w:firstLineChars="200"/>
        <w:rPr>
          <w:rFonts w:ascii="宋体"/>
          <w:color w:val="auto"/>
          <w:szCs w:val="28"/>
          <w:highlight w:val="none"/>
        </w:rPr>
      </w:pPr>
      <w:r>
        <w:rPr>
          <w:rFonts w:ascii="宋体" w:hAnsi="宋体"/>
          <w:color w:val="auto"/>
          <w:szCs w:val="28"/>
          <w:highlight w:val="none"/>
        </w:rPr>
        <w:t xml:space="preserve">1.1 </w:t>
      </w:r>
      <w:r>
        <w:rPr>
          <w:rFonts w:hint="eastAsia" w:ascii="宋体" w:hAnsi="宋体"/>
          <w:color w:val="auto"/>
          <w:szCs w:val="28"/>
          <w:highlight w:val="none"/>
        </w:rPr>
        <w:t>应严格遵守国家关于建设工程的有关法律、法规，相关政策，以及廉政建设的各项规定。</w:t>
      </w:r>
    </w:p>
    <w:p w14:paraId="6A07626C">
      <w:pPr>
        <w:snapToGrid w:val="0"/>
        <w:spacing w:line="360" w:lineRule="auto"/>
        <w:ind w:firstLine="420" w:firstLineChars="200"/>
        <w:rPr>
          <w:rFonts w:ascii="宋体"/>
          <w:color w:val="auto"/>
          <w:szCs w:val="28"/>
          <w:highlight w:val="none"/>
        </w:rPr>
      </w:pPr>
      <w:r>
        <w:rPr>
          <w:rFonts w:ascii="宋体" w:hAnsi="宋体"/>
          <w:color w:val="auto"/>
          <w:szCs w:val="28"/>
          <w:highlight w:val="none"/>
        </w:rPr>
        <w:t>1</w:t>
      </w:r>
      <w:r>
        <w:rPr>
          <w:rFonts w:ascii="宋体"/>
          <w:color w:val="auto"/>
          <w:szCs w:val="28"/>
          <w:highlight w:val="none"/>
        </w:rPr>
        <w:t>.</w:t>
      </w:r>
      <w:r>
        <w:rPr>
          <w:rFonts w:ascii="宋体" w:hAnsi="宋体"/>
          <w:color w:val="auto"/>
          <w:szCs w:val="28"/>
          <w:highlight w:val="none"/>
        </w:rPr>
        <w:t xml:space="preserve">2 </w:t>
      </w:r>
      <w:r>
        <w:rPr>
          <w:rFonts w:hint="eastAsia" w:ascii="宋体" w:hAnsi="宋体"/>
          <w:color w:val="auto"/>
          <w:szCs w:val="28"/>
          <w:highlight w:val="none"/>
        </w:rPr>
        <w:t>严格执行建设工程合同文件，自觉按合同办事。</w:t>
      </w:r>
    </w:p>
    <w:p w14:paraId="0B3B7BAE">
      <w:pPr>
        <w:snapToGrid w:val="0"/>
        <w:spacing w:line="360" w:lineRule="auto"/>
        <w:ind w:firstLine="420" w:firstLineChars="200"/>
        <w:rPr>
          <w:rFonts w:ascii="宋体"/>
          <w:color w:val="auto"/>
          <w:szCs w:val="28"/>
          <w:highlight w:val="none"/>
        </w:rPr>
      </w:pPr>
      <w:r>
        <w:rPr>
          <w:rFonts w:ascii="宋体" w:hAnsi="宋体"/>
          <w:color w:val="auto"/>
          <w:szCs w:val="28"/>
          <w:highlight w:val="none"/>
        </w:rPr>
        <w:t>1</w:t>
      </w:r>
      <w:r>
        <w:rPr>
          <w:rFonts w:ascii="宋体"/>
          <w:color w:val="auto"/>
          <w:szCs w:val="28"/>
          <w:highlight w:val="none"/>
        </w:rPr>
        <w:t>.</w:t>
      </w:r>
      <w:r>
        <w:rPr>
          <w:rFonts w:ascii="宋体" w:hAnsi="宋体"/>
          <w:color w:val="auto"/>
          <w:szCs w:val="28"/>
          <w:highlight w:val="none"/>
        </w:rPr>
        <w:t xml:space="preserve">3 </w:t>
      </w:r>
      <w:r>
        <w:rPr>
          <w:rFonts w:hint="eastAsia" w:ascii="宋体" w:hAnsi="宋体"/>
          <w:color w:val="auto"/>
          <w:szCs w:val="28"/>
          <w:highlight w:val="none"/>
        </w:rPr>
        <w:t>各项活动必须坚持公开、公平、公正、诚信、透明的原则（除法律法规另有规定者外），不得为获取不正当的利益，损害国家、集体和对方利益，不得违反建设工程管理的规章制度。</w:t>
      </w:r>
    </w:p>
    <w:p w14:paraId="43AA4D9F">
      <w:pPr>
        <w:snapToGrid w:val="0"/>
        <w:spacing w:line="360" w:lineRule="auto"/>
        <w:ind w:firstLine="420" w:firstLineChars="200"/>
        <w:rPr>
          <w:rFonts w:ascii="宋体"/>
          <w:color w:val="auto"/>
          <w:szCs w:val="28"/>
          <w:highlight w:val="none"/>
        </w:rPr>
      </w:pPr>
      <w:r>
        <w:rPr>
          <w:rFonts w:ascii="宋体" w:hAnsi="宋体"/>
          <w:color w:val="auto"/>
          <w:szCs w:val="28"/>
          <w:highlight w:val="none"/>
        </w:rPr>
        <w:t>1</w:t>
      </w:r>
      <w:r>
        <w:rPr>
          <w:rFonts w:ascii="宋体"/>
          <w:color w:val="auto"/>
          <w:szCs w:val="28"/>
          <w:highlight w:val="none"/>
        </w:rPr>
        <w:t>.</w:t>
      </w:r>
      <w:r>
        <w:rPr>
          <w:rFonts w:ascii="宋体" w:hAnsi="宋体"/>
          <w:color w:val="auto"/>
          <w:szCs w:val="28"/>
          <w:highlight w:val="none"/>
        </w:rPr>
        <w:t xml:space="preserve">4 </w:t>
      </w:r>
      <w:r>
        <w:rPr>
          <w:rFonts w:hint="eastAsia" w:ascii="宋体" w:hAnsi="宋体"/>
          <w:color w:val="auto"/>
          <w:szCs w:val="28"/>
          <w:highlight w:val="none"/>
        </w:rPr>
        <w:t>发现对方在业务活动中有违规、违纪、违法行为的，应及时提醒对方，情节严重的，应向其上级主管部门或纪检监察、司法等有关机关举报。</w:t>
      </w:r>
    </w:p>
    <w:p w14:paraId="111E8021">
      <w:pPr>
        <w:snapToGrid w:val="0"/>
        <w:spacing w:line="360" w:lineRule="auto"/>
        <w:ind w:firstLine="420" w:firstLineChars="200"/>
        <w:rPr>
          <w:rFonts w:ascii="宋体"/>
          <w:color w:val="auto"/>
          <w:szCs w:val="28"/>
          <w:highlight w:val="none"/>
        </w:rPr>
      </w:pPr>
      <w:bookmarkStart w:id="2120" w:name="_Toc479505776"/>
      <w:bookmarkStart w:id="2121" w:name="_Toc477964632"/>
      <w:bookmarkStart w:id="2122" w:name="_Toc480303503"/>
      <w:r>
        <w:rPr>
          <w:rFonts w:hint="eastAsia" w:ascii="宋体" w:hAnsi="宋体"/>
          <w:color w:val="auto"/>
          <w:szCs w:val="28"/>
          <w:highlight w:val="none"/>
        </w:rPr>
        <w:t>二、发包人责任</w:t>
      </w:r>
      <w:bookmarkEnd w:id="2120"/>
      <w:bookmarkEnd w:id="2121"/>
      <w:bookmarkEnd w:id="2122"/>
    </w:p>
    <w:p w14:paraId="493FB0DC">
      <w:pPr>
        <w:snapToGrid w:val="0"/>
        <w:spacing w:line="360" w:lineRule="auto"/>
        <w:ind w:firstLine="420" w:firstLineChars="200"/>
        <w:rPr>
          <w:rFonts w:ascii="宋体"/>
          <w:color w:val="auto"/>
          <w:szCs w:val="28"/>
          <w:highlight w:val="none"/>
        </w:rPr>
      </w:pPr>
      <w:r>
        <w:rPr>
          <w:rFonts w:hint="eastAsia" w:ascii="宋体" w:hAnsi="宋体"/>
          <w:color w:val="auto"/>
          <w:szCs w:val="28"/>
          <w:highlight w:val="none"/>
        </w:rPr>
        <w:t>发包人的领导和从事该建设工程项目的工作人员，在工程建设的事前、事中、事后应遵守以下规定：</w:t>
      </w:r>
    </w:p>
    <w:p w14:paraId="71CF85A2">
      <w:pPr>
        <w:snapToGrid w:val="0"/>
        <w:spacing w:line="360" w:lineRule="auto"/>
        <w:ind w:firstLine="420" w:firstLineChars="200"/>
        <w:rPr>
          <w:rFonts w:ascii="宋体"/>
          <w:color w:val="auto"/>
          <w:szCs w:val="28"/>
          <w:highlight w:val="none"/>
        </w:rPr>
      </w:pPr>
      <w:r>
        <w:rPr>
          <w:rFonts w:ascii="宋体" w:hAnsi="宋体"/>
          <w:color w:val="auto"/>
          <w:szCs w:val="28"/>
          <w:highlight w:val="none"/>
        </w:rPr>
        <w:t>2</w:t>
      </w:r>
      <w:r>
        <w:rPr>
          <w:rFonts w:ascii="宋体"/>
          <w:color w:val="auto"/>
          <w:szCs w:val="28"/>
          <w:highlight w:val="none"/>
        </w:rPr>
        <w:t>.</w:t>
      </w:r>
      <w:r>
        <w:rPr>
          <w:rFonts w:ascii="宋体" w:hAnsi="宋体"/>
          <w:color w:val="auto"/>
          <w:szCs w:val="28"/>
          <w:highlight w:val="none"/>
        </w:rPr>
        <w:t>1</w:t>
      </w:r>
      <w:r>
        <w:rPr>
          <w:rFonts w:hint="eastAsia" w:ascii="宋体" w:hAnsi="宋体"/>
          <w:color w:val="auto"/>
          <w:szCs w:val="28"/>
          <w:highlight w:val="none"/>
        </w:rPr>
        <w:t>不得向承包人和相关单位索要或接受回扣、礼金、有价证券、贵重物品和好处费、感谢费等。</w:t>
      </w:r>
    </w:p>
    <w:p w14:paraId="420CAD20">
      <w:pPr>
        <w:snapToGrid w:val="0"/>
        <w:spacing w:line="360" w:lineRule="auto"/>
        <w:ind w:firstLine="420" w:firstLineChars="200"/>
        <w:rPr>
          <w:rFonts w:ascii="宋体"/>
          <w:color w:val="auto"/>
          <w:szCs w:val="28"/>
          <w:highlight w:val="none"/>
        </w:rPr>
      </w:pPr>
      <w:bookmarkStart w:id="2123" w:name="_Toc479505777"/>
      <w:bookmarkStart w:id="2124" w:name="_Toc477964633"/>
      <w:bookmarkStart w:id="2125" w:name="_Toc480303504"/>
      <w:r>
        <w:rPr>
          <w:rFonts w:ascii="宋体" w:hAnsi="宋体"/>
          <w:color w:val="auto"/>
          <w:szCs w:val="28"/>
          <w:highlight w:val="none"/>
        </w:rPr>
        <w:t>2</w:t>
      </w:r>
      <w:r>
        <w:rPr>
          <w:rFonts w:ascii="宋体"/>
          <w:color w:val="auto"/>
          <w:szCs w:val="28"/>
          <w:highlight w:val="none"/>
        </w:rPr>
        <w:t>.</w:t>
      </w:r>
      <w:r>
        <w:rPr>
          <w:rFonts w:ascii="宋体" w:hAnsi="宋体"/>
          <w:color w:val="auto"/>
          <w:szCs w:val="28"/>
          <w:highlight w:val="none"/>
        </w:rPr>
        <w:t xml:space="preserve">2 </w:t>
      </w:r>
      <w:r>
        <w:rPr>
          <w:rFonts w:hint="eastAsia" w:ascii="宋体" w:hAnsi="宋体"/>
          <w:color w:val="auto"/>
          <w:szCs w:val="28"/>
          <w:highlight w:val="none"/>
        </w:rPr>
        <w:t>不得在承包人和相关单位报销任何应由发包人或个人支付的费用。</w:t>
      </w:r>
      <w:bookmarkEnd w:id="2123"/>
      <w:bookmarkEnd w:id="2124"/>
      <w:bookmarkEnd w:id="2125"/>
    </w:p>
    <w:p w14:paraId="7946FA09">
      <w:pPr>
        <w:snapToGrid w:val="0"/>
        <w:spacing w:line="360" w:lineRule="auto"/>
        <w:ind w:firstLine="420" w:firstLineChars="200"/>
        <w:rPr>
          <w:rFonts w:ascii="宋体"/>
          <w:color w:val="auto"/>
          <w:szCs w:val="28"/>
          <w:highlight w:val="none"/>
        </w:rPr>
      </w:pPr>
      <w:r>
        <w:rPr>
          <w:rFonts w:ascii="宋体" w:hAnsi="宋体"/>
          <w:color w:val="auto"/>
          <w:szCs w:val="28"/>
          <w:highlight w:val="none"/>
        </w:rPr>
        <w:t>2</w:t>
      </w:r>
      <w:r>
        <w:rPr>
          <w:rFonts w:ascii="宋体"/>
          <w:color w:val="auto"/>
          <w:szCs w:val="28"/>
          <w:highlight w:val="none"/>
        </w:rPr>
        <w:t>.</w:t>
      </w:r>
      <w:r>
        <w:rPr>
          <w:rFonts w:ascii="宋体" w:hAnsi="宋体"/>
          <w:color w:val="auto"/>
          <w:szCs w:val="28"/>
          <w:highlight w:val="none"/>
        </w:rPr>
        <w:t xml:space="preserve">3 </w:t>
      </w:r>
      <w:r>
        <w:rPr>
          <w:rFonts w:hint="eastAsia" w:ascii="宋体" w:hAnsi="宋体"/>
          <w:color w:val="auto"/>
          <w:szCs w:val="28"/>
          <w:highlight w:val="none"/>
        </w:rPr>
        <w:t>不得要求、暗示或接受承包人和相关单位为个人装修住房、婚丧嫁娶、配偶子女的工作安排以及出国（境）、旅游等提供方便。</w:t>
      </w:r>
    </w:p>
    <w:p w14:paraId="6F5A59FC">
      <w:pPr>
        <w:snapToGrid w:val="0"/>
        <w:spacing w:line="360" w:lineRule="auto"/>
        <w:ind w:firstLine="420" w:firstLineChars="200"/>
        <w:rPr>
          <w:rFonts w:ascii="宋体"/>
          <w:color w:val="auto"/>
          <w:szCs w:val="28"/>
          <w:highlight w:val="none"/>
        </w:rPr>
      </w:pPr>
      <w:r>
        <w:rPr>
          <w:rFonts w:ascii="宋体" w:hAnsi="宋体"/>
          <w:color w:val="auto"/>
          <w:szCs w:val="28"/>
          <w:highlight w:val="none"/>
        </w:rPr>
        <w:t>2</w:t>
      </w:r>
      <w:r>
        <w:rPr>
          <w:rFonts w:ascii="宋体"/>
          <w:color w:val="auto"/>
          <w:szCs w:val="28"/>
          <w:highlight w:val="none"/>
        </w:rPr>
        <w:t>.</w:t>
      </w:r>
      <w:r>
        <w:rPr>
          <w:rFonts w:ascii="宋体" w:hAnsi="宋体"/>
          <w:color w:val="auto"/>
          <w:szCs w:val="28"/>
          <w:highlight w:val="none"/>
        </w:rPr>
        <w:t xml:space="preserve">4 </w:t>
      </w:r>
      <w:r>
        <w:rPr>
          <w:rFonts w:hint="eastAsia" w:ascii="宋体" w:hAnsi="宋体"/>
          <w:color w:val="auto"/>
          <w:szCs w:val="28"/>
          <w:highlight w:val="none"/>
        </w:rPr>
        <w:t>不得参加有可能影响公正执行公务的承包人和相关单位的宴请、健身、娱乐等活动。</w:t>
      </w:r>
    </w:p>
    <w:p w14:paraId="32C8D6A6">
      <w:pPr>
        <w:snapToGrid w:val="0"/>
        <w:spacing w:line="360" w:lineRule="auto"/>
        <w:ind w:firstLine="420" w:firstLineChars="200"/>
        <w:rPr>
          <w:rFonts w:ascii="宋体"/>
          <w:color w:val="auto"/>
          <w:szCs w:val="28"/>
          <w:highlight w:val="none"/>
        </w:rPr>
      </w:pPr>
      <w:r>
        <w:rPr>
          <w:rFonts w:ascii="宋体" w:hAnsi="宋体"/>
          <w:color w:val="auto"/>
          <w:szCs w:val="28"/>
          <w:highlight w:val="none"/>
        </w:rPr>
        <w:t>2</w:t>
      </w:r>
      <w:r>
        <w:rPr>
          <w:rFonts w:ascii="宋体"/>
          <w:color w:val="auto"/>
          <w:szCs w:val="28"/>
          <w:highlight w:val="none"/>
        </w:rPr>
        <w:t>.</w:t>
      </w:r>
      <w:r>
        <w:rPr>
          <w:rFonts w:ascii="宋体" w:hAnsi="宋体"/>
          <w:color w:val="auto"/>
          <w:szCs w:val="28"/>
          <w:highlight w:val="none"/>
        </w:rPr>
        <w:t xml:space="preserve">5 </w:t>
      </w:r>
      <w:r>
        <w:rPr>
          <w:rFonts w:hint="eastAsia" w:ascii="宋体" w:hAnsi="宋体"/>
          <w:color w:val="auto"/>
          <w:szCs w:val="28"/>
          <w:highlight w:val="none"/>
        </w:rPr>
        <w:t>不得向承包人和相关单位介绍或为配偶、子女、亲属参与同发包人工程建设管理合同有关的业务活动；不得以任何理由要求承包人和相关单位使用某种产品、材料和设备。</w:t>
      </w:r>
    </w:p>
    <w:p w14:paraId="4F478186">
      <w:pPr>
        <w:snapToGrid w:val="0"/>
        <w:spacing w:line="360" w:lineRule="auto"/>
        <w:ind w:firstLine="420" w:firstLineChars="200"/>
        <w:rPr>
          <w:rFonts w:ascii="宋体"/>
          <w:color w:val="auto"/>
          <w:szCs w:val="28"/>
          <w:highlight w:val="none"/>
        </w:rPr>
      </w:pPr>
      <w:bookmarkStart w:id="2126" w:name="_Toc479505778"/>
      <w:bookmarkStart w:id="2127" w:name="_Toc477964634"/>
      <w:bookmarkStart w:id="2128" w:name="_Toc480303505"/>
      <w:r>
        <w:rPr>
          <w:rFonts w:hint="eastAsia" w:ascii="宋体" w:hAnsi="宋体"/>
          <w:color w:val="auto"/>
          <w:szCs w:val="28"/>
          <w:highlight w:val="none"/>
        </w:rPr>
        <w:t>三、承包人责任</w:t>
      </w:r>
      <w:bookmarkEnd w:id="2126"/>
      <w:bookmarkEnd w:id="2127"/>
      <w:bookmarkEnd w:id="2128"/>
    </w:p>
    <w:p w14:paraId="7C15AC23">
      <w:pPr>
        <w:snapToGrid w:val="0"/>
        <w:spacing w:line="360" w:lineRule="auto"/>
        <w:ind w:firstLine="420" w:firstLineChars="200"/>
        <w:rPr>
          <w:rFonts w:ascii="宋体"/>
          <w:color w:val="auto"/>
          <w:szCs w:val="28"/>
          <w:highlight w:val="none"/>
        </w:rPr>
      </w:pPr>
      <w:r>
        <w:rPr>
          <w:rFonts w:hint="eastAsia" w:ascii="宋体" w:hAnsi="宋体"/>
          <w:color w:val="auto"/>
          <w:szCs w:val="28"/>
          <w:highlight w:val="none"/>
        </w:rPr>
        <w:t>应与发包人保持正常的业务交往，按照有关法律法规和程序开展业务工作，严格执行工程建设的有关方针、政策，执行工程建设强制性标准，并遵守以下规定：</w:t>
      </w:r>
    </w:p>
    <w:p w14:paraId="59BAC30D">
      <w:pPr>
        <w:snapToGrid w:val="0"/>
        <w:spacing w:line="360" w:lineRule="auto"/>
        <w:ind w:firstLine="420" w:firstLineChars="200"/>
        <w:rPr>
          <w:rFonts w:ascii="宋体"/>
          <w:color w:val="auto"/>
          <w:szCs w:val="28"/>
          <w:highlight w:val="none"/>
        </w:rPr>
      </w:pPr>
      <w:r>
        <w:rPr>
          <w:rFonts w:ascii="宋体" w:hAnsi="宋体"/>
          <w:color w:val="auto"/>
          <w:szCs w:val="28"/>
          <w:highlight w:val="none"/>
        </w:rPr>
        <w:t>3</w:t>
      </w:r>
      <w:r>
        <w:rPr>
          <w:rFonts w:ascii="宋体"/>
          <w:color w:val="auto"/>
          <w:szCs w:val="28"/>
          <w:highlight w:val="none"/>
        </w:rPr>
        <w:t>.</w:t>
      </w:r>
      <w:r>
        <w:rPr>
          <w:rFonts w:ascii="宋体" w:hAnsi="宋体"/>
          <w:color w:val="auto"/>
          <w:szCs w:val="28"/>
          <w:highlight w:val="none"/>
        </w:rPr>
        <w:t xml:space="preserve">1 </w:t>
      </w:r>
      <w:r>
        <w:rPr>
          <w:rFonts w:hint="eastAsia" w:ascii="宋体" w:hAnsi="宋体"/>
          <w:color w:val="auto"/>
          <w:szCs w:val="28"/>
          <w:highlight w:val="none"/>
        </w:rPr>
        <w:t>不得以任何理由向发包人及其工作人员索要、接受或赠送礼金、有价证券、贵重物品及回扣、好处费、感谢费等。</w:t>
      </w:r>
    </w:p>
    <w:p w14:paraId="4952A551">
      <w:pPr>
        <w:snapToGrid w:val="0"/>
        <w:spacing w:line="360" w:lineRule="auto"/>
        <w:ind w:firstLine="420" w:firstLineChars="200"/>
        <w:rPr>
          <w:rFonts w:ascii="宋体"/>
          <w:color w:val="auto"/>
          <w:szCs w:val="28"/>
          <w:highlight w:val="none"/>
        </w:rPr>
      </w:pPr>
      <w:r>
        <w:rPr>
          <w:rFonts w:ascii="宋体" w:hAnsi="宋体"/>
          <w:color w:val="auto"/>
          <w:szCs w:val="28"/>
          <w:highlight w:val="none"/>
        </w:rPr>
        <w:t>3</w:t>
      </w:r>
      <w:r>
        <w:rPr>
          <w:rFonts w:ascii="宋体"/>
          <w:color w:val="auto"/>
          <w:szCs w:val="28"/>
          <w:highlight w:val="none"/>
        </w:rPr>
        <w:t>.</w:t>
      </w:r>
      <w:r>
        <w:rPr>
          <w:rFonts w:ascii="宋体" w:hAnsi="宋体"/>
          <w:color w:val="auto"/>
          <w:szCs w:val="28"/>
          <w:highlight w:val="none"/>
        </w:rPr>
        <w:t>2</w:t>
      </w:r>
      <w:r>
        <w:rPr>
          <w:rFonts w:hint="eastAsia" w:ascii="宋体" w:hAnsi="宋体"/>
          <w:color w:val="auto"/>
          <w:szCs w:val="28"/>
          <w:highlight w:val="none"/>
        </w:rPr>
        <w:t>不得以任何理由为发包人和相关单位报销应由对方或个人支付的费用。</w:t>
      </w:r>
    </w:p>
    <w:p w14:paraId="4417E2B2">
      <w:pPr>
        <w:snapToGrid w:val="0"/>
        <w:spacing w:line="360" w:lineRule="auto"/>
        <w:ind w:firstLine="420" w:firstLineChars="200"/>
        <w:rPr>
          <w:rFonts w:ascii="宋体"/>
          <w:color w:val="auto"/>
          <w:szCs w:val="28"/>
          <w:highlight w:val="none"/>
        </w:rPr>
      </w:pPr>
      <w:r>
        <w:rPr>
          <w:rFonts w:ascii="宋体" w:hAnsi="宋体"/>
          <w:color w:val="auto"/>
          <w:szCs w:val="28"/>
          <w:highlight w:val="none"/>
        </w:rPr>
        <w:t>3</w:t>
      </w:r>
      <w:r>
        <w:rPr>
          <w:rFonts w:ascii="宋体"/>
          <w:color w:val="auto"/>
          <w:szCs w:val="28"/>
          <w:highlight w:val="none"/>
        </w:rPr>
        <w:t>.</w:t>
      </w:r>
      <w:r>
        <w:rPr>
          <w:rFonts w:ascii="宋体" w:hAnsi="宋体"/>
          <w:color w:val="auto"/>
          <w:szCs w:val="28"/>
          <w:highlight w:val="none"/>
        </w:rPr>
        <w:t>3</w:t>
      </w:r>
      <w:r>
        <w:rPr>
          <w:rFonts w:hint="eastAsia" w:ascii="宋体" w:hAnsi="宋体"/>
          <w:color w:val="auto"/>
          <w:szCs w:val="28"/>
          <w:highlight w:val="none"/>
        </w:rPr>
        <w:t>不得接受或暗示为发包人、相关单位或个人装修住房、婚丧嫁娶、配偶子女的工作安排以及出国（境）、旅游等提供方便。</w:t>
      </w:r>
    </w:p>
    <w:p w14:paraId="147B93B0">
      <w:pPr>
        <w:snapToGrid w:val="0"/>
        <w:spacing w:line="360" w:lineRule="auto"/>
        <w:ind w:firstLine="420" w:firstLineChars="200"/>
        <w:rPr>
          <w:rFonts w:ascii="宋体"/>
          <w:color w:val="auto"/>
          <w:szCs w:val="28"/>
          <w:highlight w:val="none"/>
        </w:rPr>
      </w:pPr>
      <w:r>
        <w:rPr>
          <w:rFonts w:ascii="宋体" w:hAnsi="宋体"/>
          <w:color w:val="auto"/>
          <w:szCs w:val="28"/>
          <w:highlight w:val="none"/>
        </w:rPr>
        <w:t>3</w:t>
      </w:r>
      <w:r>
        <w:rPr>
          <w:rFonts w:ascii="宋体"/>
          <w:color w:val="auto"/>
          <w:szCs w:val="28"/>
          <w:highlight w:val="none"/>
        </w:rPr>
        <w:t>.</w:t>
      </w:r>
      <w:r>
        <w:rPr>
          <w:rFonts w:ascii="宋体" w:hAnsi="宋体"/>
          <w:color w:val="auto"/>
          <w:szCs w:val="28"/>
          <w:highlight w:val="none"/>
        </w:rPr>
        <w:t>4</w:t>
      </w:r>
      <w:r>
        <w:rPr>
          <w:rFonts w:hint="eastAsia" w:ascii="宋体" w:hAnsi="宋体"/>
          <w:color w:val="auto"/>
          <w:szCs w:val="28"/>
          <w:highlight w:val="none"/>
        </w:rPr>
        <w:t>不得以任何理由为发包人、相关单位或个人组织有可能影响公正执行公务的宴请、健身、娱乐等活动。</w:t>
      </w:r>
    </w:p>
    <w:p w14:paraId="7FAC1588">
      <w:pPr>
        <w:snapToGrid w:val="0"/>
        <w:spacing w:line="360" w:lineRule="auto"/>
        <w:ind w:firstLine="420" w:firstLineChars="200"/>
        <w:rPr>
          <w:rFonts w:ascii="宋体"/>
          <w:color w:val="auto"/>
          <w:szCs w:val="28"/>
          <w:highlight w:val="none"/>
        </w:rPr>
      </w:pPr>
      <w:bookmarkStart w:id="2129" w:name="_Toc480303506"/>
      <w:bookmarkStart w:id="2130" w:name="_Toc479505779"/>
      <w:bookmarkStart w:id="2131" w:name="_Toc477964635"/>
      <w:r>
        <w:rPr>
          <w:rFonts w:hint="eastAsia" w:ascii="宋体" w:hAnsi="宋体"/>
          <w:color w:val="auto"/>
          <w:szCs w:val="28"/>
          <w:highlight w:val="none"/>
        </w:rPr>
        <w:t>四、违约责任</w:t>
      </w:r>
      <w:bookmarkEnd w:id="2129"/>
      <w:bookmarkEnd w:id="2130"/>
      <w:bookmarkEnd w:id="2131"/>
    </w:p>
    <w:p w14:paraId="32709DE7">
      <w:pPr>
        <w:snapToGrid w:val="0"/>
        <w:spacing w:line="360" w:lineRule="auto"/>
        <w:ind w:firstLine="420" w:firstLineChars="200"/>
        <w:rPr>
          <w:rFonts w:ascii="宋体"/>
          <w:color w:val="auto"/>
          <w:szCs w:val="28"/>
          <w:highlight w:val="none"/>
        </w:rPr>
      </w:pPr>
      <w:r>
        <w:rPr>
          <w:rFonts w:ascii="宋体" w:hAnsi="宋体"/>
          <w:color w:val="auto"/>
          <w:szCs w:val="28"/>
          <w:highlight w:val="none"/>
        </w:rPr>
        <w:t>4</w:t>
      </w:r>
      <w:r>
        <w:rPr>
          <w:rFonts w:ascii="宋体"/>
          <w:color w:val="auto"/>
          <w:szCs w:val="28"/>
          <w:highlight w:val="none"/>
        </w:rPr>
        <w:t>.</w:t>
      </w:r>
      <w:r>
        <w:rPr>
          <w:rFonts w:ascii="宋体" w:hAnsi="宋体"/>
          <w:color w:val="auto"/>
          <w:szCs w:val="28"/>
          <w:highlight w:val="none"/>
        </w:rPr>
        <w:t>1</w:t>
      </w:r>
      <w:r>
        <w:rPr>
          <w:rFonts w:hint="eastAsia" w:ascii="宋体" w:hAnsi="宋体"/>
          <w:color w:val="auto"/>
          <w:szCs w:val="28"/>
          <w:highlight w:val="none"/>
        </w:rPr>
        <w:t>发包人工作人员有违反本责任书第一、二条责任行为的，依据有关法律、法规给予处理；涉嫌犯罪的，移交司法机关追究刑事责任；给承包人单位造成经济损失的，应予以赔偿。</w:t>
      </w:r>
    </w:p>
    <w:p w14:paraId="027245C7">
      <w:pPr>
        <w:snapToGrid w:val="0"/>
        <w:spacing w:line="360" w:lineRule="auto"/>
        <w:ind w:firstLine="420" w:firstLineChars="200"/>
        <w:rPr>
          <w:rFonts w:ascii="宋体"/>
          <w:color w:val="auto"/>
          <w:szCs w:val="28"/>
          <w:highlight w:val="none"/>
        </w:rPr>
      </w:pPr>
      <w:r>
        <w:rPr>
          <w:rFonts w:ascii="宋体" w:hAnsi="宋体"/>
          <w:color w:val="auto"/>
          <w:szCs w:val="28"/>
          <w:highlight w:val="none"/>
        </w:rPr>
        <w:t>4</w:t>
      </w:r>
      <w:r>
        <w:rPr>
          <w:rFonts w:ascii="宋体"/>
          <w:color w:val="auto"/>
          <w:szCs w:val="28"/>
          <w:highlight w:val="none"/>
        </w:rPr>
        <w:t>.</w:t>
      </w:r>
      <w:r>
        <w:rPr>
          <w:rFonts w:ascii="宋体" w:hAnsi="宋体"/>
          <w:color w:val="auto"/>
          <w:szCs w:val="28"/>
          <w:highlight w:val="none"/>
        </w:rPr>
        <w:t xml:space="preserve">2 </w:t>
      </w:r>
      <w:r>
        <w:rPr>
          <w:rFonts w:hint="eastAsia" w:ascii="宋体" w:hAnsi="宋体"/>
          <w:color w:val="auto"/>
          <w:szCs w:val="28"/>
          <w:highlight w:val="none"/>
        </w:rPr>
        <w:t>承包人工作人员有违反本责任书第一、三条责任行为的，依据有关法律法规处理；涉嫌犯罪的，移交司法机关追究刑事责任；给发包人单位造成经济损失的，应予以赔偿。</w:t>
      </w:r>
    </w:p>
    <w:p w14:paraId="0A751530">
      <w:pPr>
        <w:snapToGrid w:val="0"/>
        <w:spacing w:line="360" w:lineRule="auto"/>
        <w:ind w:firstLine="420" w:firstLineChars="200"/>
        <w:rPr>
          <w:rFonts w:ascii="宋体"/>
          <w:color w:val="auto"/>
          <w:szCs w:val="28"/>
          <w:highlight w:val="none"/>
        </w:rPr>
      </w:pPr>
      <w:r>
        <w:rPr>
          <w:rFonts w:ascii="宋体" w:hAnsi="宋体"/>
          <w:color w:val="auto"/>
          <w:szCs w:val="28"/>
          <w:highlight w:val="none"/>
        </w:rPr>
        <w:t>4</w:t>
      </w:r>
      <w:r>
        <w:rPr>
          <w:rFonts w:ascii="宋体"/>
          <w:color w:val="auto"/>
          <w:szCs w:val="28"/>
          <w:highlight w:val="none"/>
        </w:rPr>
        <w:t>.</w:t>
      </w:r>
      <w:r>
        <w:rPr>
          <w:rFonts w:ascii="宋体" w:hAnsi="宋体"/>
          <w:color w:val="auto"/>
          <w:szCs w:val="28"/>
          <w:highlight w:val="none"/>
        </w:rPr>
        <w:t xml:space="preserve">3 </w:t>
      </w:r>
      <w:r>
        <w:rPr>
          <w:rFonts w:hint="eastAsia" w:ascii="宋体" w:hAnsi="宋体"/>
          <w:color w:val="auto"/>
          <w:szCs w:val="28"/>
          <w:highlight w:val="none"/>
        </w:rPr>
        <w:t>本责任书作为建设工程合同的组成部分，与建设工程合同具有同等法律效力。经双方签署后立即生效。</w:t>
      </w:r>
    </w:p>
    <w:p w14:paraId="7CEADE0B">
      <w:pPr>
        <w:snapToGrid w:val="0"/>
        <w:spacing w:line="360" w:lineRule="auto"/>
        <w:ind w:firstLine="420" w:firstLineChars="200"/>
        <w:rPr>
          <w:rFonts w:ascii="宋体"/>
          <w:color w:val="auto"/>
          <w:szCs w:val="28"/>
          <w:highlight w:val="none"/>
        </w:rPr>
      </w:pPr>
      <w:bookmarkStart w:id="2132" w:name="_Toc479505780"/>
      <w:bookmarkStart w:id="2133" w:name="_Toc477964636"/>
      <w:bookmarkStart w:id="2134" w:name="_Toc480303507"/>
      <w:r>
        <w:rPr>
          <w:rFonts w:hint="eastAsia" w:ascii="宋体" w:hAnsi="宋体"/>
          <w:color w:val="auto"/>
          <w:szCs w:val="28"/>
          <w:highlight w:val="none"/>
        </w:rPr>
        <w:t>五、责任书有效期</w:t>
      </w:r>
      <w:bookmarkEnd w:id="2132"/>
      <w:bookmarkEnd w:id="2133"/>
      <w:bookmarkEnd w:id="2134"/>
    </w:p>
    <w:p w14:paraId="0E1DD655">
      <w:pPr>
        <w:snapToGrid w:val="0"/>
        <w:spacing w:line="360" w:lineRule="auto"/>
        <w:ind w:firstLine="420" w:firstLineChars="200"/>
        <w:rPr>
          <w:rFonts w:ascii="宋体"/>
          <w:color w:val="auto"/>
          <w:szCs w:val="28"/>
          <w:highlight w:val="none"/>
        </w:rPr>
      </w:pPr>
      <w:r>
        <w:rPr>
          <w:rFonts w:hint="eastAsia" w:ascii="宋体" w:hAnsi="宋体"/>
          <w:color w:val="auto"/>
          <w:szCs w:val="28"/>
          <w:highlight w:val="none"/>
        </w:rPr>
        <w:t>本责任书的有效期为双方签署之日起至该工程项目竣工验收合格时止。</w:t>
      </w:r>
    </w:p>
    <w:p w14:paraId="2B219CD5">
      <w:pPr>
        <w:snapToGrid w:val="0"/>
        <w:spacing w:line="360" w:lineRule="auto"/>
        <w:ind w:firstLine="420" w:firstLineChars="200"/>
        <w:rPr>
          <w:rFonts w:ascii="宋体"/>
          <w:color w:val="auto"/>
          <w:szCs w:val="28"/>
          <w:highlight w:val="none"/>
        </w:rPr>
      </w:pPr>
      <w:bookmarkStart w:id="2135" w:name="_Toc480303508"/>
      <w:bookmarkStart w:id="2136" w:name="_Toc477964637"/>
      <w:bookmarkStart w:id="2137" w:name="_Toc479505781"/>
      <w:r>
        <w:rPr>
          <w:rFonts w:hint="eastAsia" w:ascii="宋体" w:hAnsi="宋体"/>
          <w:color w:val="auto"/>
          <w:szCs w:val="28"/>
          <w:highlight w:val="none"/>
        </w:rPr>
        <w:t>六、责任书份数</w:t>
      </w:r>
      <w:bookmarkEnd w:id="2135"/>
      <w:bookmarkEnd w:id="2136"/>
      <w:bookmarkEnd w:id="2137"/>
    </w:p>
    <w:p w14:paraId="15F282D2">
      <w:pPr>
        <w:snapToGrid w:val="0"/>
        <w:spacing w:line="360" w:lineRule="auto"/>
        <w:ind w:firstLine="420" w:firstLineChars="200"/>
        <w:rPr>
          <w:rFonts w:hint="eastAsia" w:ascii="宋体" w:hAnsi="宋体"/>
          <w:color w:val="auto"/>
          <w:szCs w:val="28"/>
          <w:highlight w:val="none"/>
        </w:rPr>
      </w:pPr>
      <w:r>
        <w:rPr>
          <w:rFonts w:hint="eastAsia" w:ascii="宋体" w:hAnsi="宋体"/>
          <w:color w:val="auto"/>
          <w:szCs w:val="28"/>
          <w:highlight w:val="none"/>
        </w:rPr>
        <w:t>本责任书一式二份，发包人</w:t>
      </w:r>
      <w:r>
        <w:rPr>
          <w:rFonts w:hint="eastAsia" w:ascii="宋体" w:hAnsi="宋体"/>
          <w:color w:val="auto"/>
          <w:szCs w:val="28"/>
          <w:highlight w:val="none"/>
          <w:lang w:eastAsia="zh-CN"/>
        </w:rPr>
        <w:t>、</w:t>
      </w:r>
      <w:r>
        <w:rPr>
          <w:rFonts w:hint="eastAsia" w:ascii="宋体" w:hAnsi="宋体"/>
          <w:color w:val="auto"/>
          <w:szCs w:val="28"/>
          <w:highlight w:val="none"/>
        </w:rPr>
        <w:t>承包人各执一份，具有同等效力。</w:t>
      </w:r>
    </w:p>
    <w:p w14:paraId="706291EC">
      <w:pPr>
        <w:pStyle w:val="30"/>
        <w:rPr>
          <w:rFonts w:hint="eastAsia"/>
          <w:highlight w:val="none"/>
        </w:rPr>
      </w:pPr>
    </w:p>
    <w:p w14:paraId="6E7B1FD6">
      <w:pPr>
        <w:pStyle w:val="30"/>
        <w:rPr>
          <w:rFonts w:hint="eastAsia"/>
          <w:highlight w:val="none"/>
        </w:rPr>
      </w:pPr>
    </w:p>
    <w:p w14:paraId="3AAAB495">
      <w:pPr>
        <w:snapToGrid w:val="0"/>
        <w:spacing w:line="360" w:lineRule="auto"/>
        <w:rPr>
          <w:rFonts w:hint="default" w:ascii="宋体" w:hAnsi="宋体"/>
          <w:color w:val="000000"/>
          <w:sz w:val="21"/>
          <w:szCs w:val="21"/>
          <w:highlight w:val="none"/>
          <w:u w:val="single"/>
          <w:lang w:val="en-US" w:eastAsia="zh-CN"/>
        </w:rPr>
      </w:pPr>
      <w:r>
        <w:rPr>
          <w:rFonts w:hint="eastAsia" w:ascii="宋体" w:hAnsi="宋体"/>
          <w:color w:val="auto"/>
          <w:highlight w:val="none"/>
        </w:rPr>
        <w:t>发包人：</w:t>
      </w:r>
      <w:r>
        <w:rPr>
          <w:rFonts w:hint="eastAsia" w:ascii="宋体" w:hAnsi="宋体" w:cs="Arial"/>
          <w:color w:val="auto"/>
          <w:szCs w:val="21"/>
          <w:highlight w:val="none"/>
          <w:u w:val="single"/>
        </w:rPr>
        <w:t>北京市昌平区城北街道办事处</w:t>
      </w:r>
      <w:r>
        <w:rPr>
          <w:rFonts w:ascii="宋体" w:hAnsi="宋体"/>
          <w:color w:val="auto"/>
          <w:highlight w:val="none"/>
        </w:rPr>
        <w:t xml:space="preserve">   </w:t>
      </w:r>
      <w:r>
        <w:rPr>
          <w:rFonts w:hint="eastAsia" w:ascii="宋体" w:hAnsi="宋体"/>
          <w:color w:val="auto"/>
          <w:highlight w:val="none"/>
        </w:rPr>
        <w:t>承包人：</w:t>
      </w:r>
      <w:r>
        <w:rPr>
          <w:rFonts w:hint="eastAsia" w:ascii="宋体" w:hAnsi="宋体" w:cs="Times New Roman"/>
          <w:szCs w:val="21"/>
          <w:highlight w:val="none"/>
          <w:lang w:val="en-US" w:eastAsia="zh-CN"/>
        </w:rPr>
        <w:t xml:space="preserve">                            </w:t>
      </w:r>
      <w:r>
        <w:rPr>
          <w:rFonts w:hint="eastAsia" w:ascii="宋体" w:hAnsi="宋体"/>
          <w:color w:val="000000"/>
          <w:sz w:val="21"/>
          <w:szCs w:val="21"/>
          <w:highlight w:val="none"/>
          <w:u w:val="single"/>
          <w:lang w:val="en-US" w:eastAsia="zh-CN"/>
        </w:rPr>
        <w:t xml:space="preserve">    </w:t>
      </w:r>
    </w:p>
    <w:p w14:paraId="1A9FAA51">
      <w:pPr>
        <w:snapToGrid w:val="0"/>
        <w:spacing w:line="360" w:lineRule="auto"/>
        <w:ind w:firstLine="630" w:firstLineChars="300"/>
        <w:rPr>
          <w:rFonts w:ascii="宋体"/>
          <w:color w:val="auto"/>
          <w:highlight w:val="none"/>
        </w:rPr>
      </w:pPr>
      <w:r>
        <w:rPr>
          <w:rFonts w:hint="eastAsia" w:ascii="宋体" w:hAnsi="宋体"/>
          <w:color w:val="auto"/>
          <w:highlight w:val="none"/>
        </w:rPr>
        <w:t>（公章）</w:t>
      </w:r>
      <w:r>
        <w:rPr>
          <w:rFonts w:hint="eastAsia" w:ascii="宋体" w:hAnsi="宋体"/>
          <w:color w:val="auto"/>
          <w:highlight w:val="none"/>
          <w:lang w:val="en-US" w:eastAsia="zh-CN"/>
        </w:rPr>
        <w:t xml:space="preserve">                             </w:t>
      </w:r>
      <w:r>
        <w:rPr>
          <w:rFonts w:hint="eastAsia" w:ascii="宋体" w:hAnsi="宋体"/>
          <w:color w:val="auto"/>
          <w:highlight w:val="none"/>
        </w:rPr>
        <w:t>（公章）</w:t>
      </w:r>
      <w:r>
        <w:rPr>
          <w:rFonts w:ascii="宋体" w:hAnsi="宋体"/>
          <w:color w:val="auto"/>
          <w:highlight w:val="none"/>
        </w:rPr>
        <w:t xml:space="preserve"> </w:t>
      </w:r>
    </w:p>
    <w:p w14:paraId="20A21867">
      <w:pPr>
        <w:snapToGrid w:val="0"/>
        <w:spacing w:line="360" w:lineRule="auto"/>
        <w:ind w:left="4830" w:hanging="4830" w:hangingChars="2300"/>
        <w:rPr>
          <w:rFonts w:hint="default" w:ascii="宋体" w:eastAsia="宋体"/>
          <w:color w:val="auto"/>
          <w:highlight w:val="none"/>
          <w:lang w:val="en-US" w:eastAsia="zh-CN"/>
        </w:rPr>
      </w:pPr>
      <w:r>
        <w:rPr>
          <w:rFonts w:hint="eastAsia" w:ascii="宋体" w:hAnsi="宋体"/>
          <w:color w:val="auto"/>
          <w:highlight w:val="none"/>
        </w:rPr>
        <w:t>法定地址：</w:t>
      </w:r>
      <w:r>
        <w:rPr>
          <w:rFonts w:hint="eastAsia" w:ascii="宋体" w:hAnsi="宋体" w:cs="Arial"/>
          <w:color w:val="auto"/>
          <w:szCs w:val="21"/>
          <w:highlight w:val="none"/>
          <w:u w:val="single"/>
          <w:lang w:val="zh-TW"/>
        </w:rPr>
        <w:t>北京市昌平区水库路1号</w:t>
      </w:r>
      <w:r>
        <w:rPr>
          <w:rFonts w:ascii="宋体" w:hAnsi="宋体"/>
          <w:color w:val="auto"/>
          <w:highlight w:val="none"/>
        </w:rPr>
        <w:t xml:space="preserve">    </w:t>
      </w:r>
      <w:r>
        <w:rPr>
          <w:rFonts w:hint="eastAsia" w:ascii="宋体" w:hAnsi="宋体"/>
          <w:color w:val="auto"/>
          <w:highlight w:val="none"/>
        </w:rPr>
        <w:t>法定地址：</w:t>
      </w:r>
      <w:r>
        <w:rPr>
          <w:rFonts w:hint="eastAsia" w:ascii="宋体" w:hAnsi="宋体" w:cs="Times New Roman"/>
          <w:szCs w:val="21"/>
          <w:highlight w:val="none"/>
          <w:u w:val="single"/>
          <w:lang w:val="en-US" w:eastAsia="zh-CN"/>
        </w:rPr>
        <w:t xml:space="preserve"> </w:t>
      </w:r>
      <w:r>
        <w:rPr>
          <w:rFonts w:hint="eastAsia" w:ascii="宋体" w:hAnsi="宋体"/>
          <w:color w:val="000000"/>
          <w:szCs w:val="21"/>
          <w:highlight w:val="none"/>
          <w:u w:val="single"/>
          <w:lang w:val="en-US" w:eastAsia="zh-CN"/>
        </w:rPr>
        <w:t xml:space="preserve">                    </w:t>
      </w:r>
    </w:p>
    <w:p w14:paraId="791520D1">
      <w:pPr>
        <w:snapToGrid w:val="0"/>
        <w:spacing w:line="360" w:lineRule="auto"/>
        <w:rPr>
          <w:rFonts w:ascii="宋体"/>
          <w:color w:val="auto"/>
          <w:highlight w:val="none"/>
        </w:rPr>
      </w:pPr>
      <w:r>
        <w:rPr>
          <w:rFonts w:hint="eastAsia" w:ascii="宋体" w:hAnsi="宋体"/>
          <w:color w:val="auto"/>
          <w:highlight w:val="none"/>
        </w:rPr>
        <w:t>法定代表人或其</w:t>
      </w:r>
      <w:r>
        <w:rPr>
          <w:rFonts w:ascii="宋体" w:hAnsi="宋体"/>
          <w:color w:val="auto"/>
          <w:highlight w:val="none"/>
        </w:rPr>
        <w:t xml:space="preserve">                       </w:t>
      </w:r>
      <w:r>
        <w:rPr>
          <w:rFonts w:hint="eastAsia" w:ascii="宋体" w:hAnsi="宋体"/>
          <w:color w:val="auto"/>
          <w:highlight w:val="none"/>
        </w:rPr>
        <w:t>法定代表人或其</w:t>
      </w:r>
    </w:p>
    <w:p w14:paraId="5FA11D68">
      <w:pPr>
        <w:snapToGrid w:val="0"/>
        <w:spacing w:line="360" w:lineRule="auto"/>
        <w:rPr>
          <w:rFonts w:ascii="宋体"/>
          <w:color w:val="auto"/>
          <w:highlight w:val="none"/>
        </w:rPr>
      </w:pPr>
      <w:r>
        <w:rPr>
          <w:rFonts w:hint="eastAsia" w:ascii="宋体" w:hAnsi="宋体"/>
          <w:color w:val="auto"/>
          <w:highlight w:val="none"/>
        </w:rPr>
        <w:t>委托代理人：</w:t>
      </w:r>
      <w:r>
        <w:rPr>
          <w:rFonts w:ascii="宋体" w:hAnsi="宋体"/>
          <w:color w:val="auto"/>
          <w:highlight w:val="none"/>
          <w:u w:val="single"/>
        </w:rPr>
        <w:t xml:space="preserve">               </w:t>
      </w:r>
      <w:r>
        <w:rPr>
          <w:rFonts w:hint="eastAsia" w:ascii="宋体" w:hAnsi="宋体"/>
          <w:color w:val="auto"/>
          <w:highlight w:val="none"/>
        </w:rPr>
        <w:t>（签字）</w:t>
      </w:r>
      <w:r>
        <w:rPr>
          <w:rFonts w:ascii="宋体" w:hAnsi="宋体"/>
          <w:color w:val="auto"/>
          <w:highlight w:val="none"/>
        </w:rPr>
        <w:t xml:space="preserve">  </w:t>
      </w:r>
      <w:r>
        <w:rPr>
          <w:rFonts w:hint="eastAsia" w:ascii="宋体" w:hAnsi="宋体"/>
          <w:color w:val="auto"/>
          <w:highlight w:val="none"/>
        </w:rPr>
        <w:t>委托代理人：</w:t>
      </w:r>
      <w:r>
        <w:rPr>
          <w:rFonts w:ascii="宋体" w:hAnsi="宋体"/>
          <w:color w:val="auto"/>
          <w:highlight w:val="none"/>
          <w:u w:val="single"/>
        </w:rPr>
        <w:t xml:space="preserve">                       </w:t>
      </w:r>
      <w:r>
        <w:rPr>
          <w:rFonts w:hint="eastAsia" w:ascii="宋体" w:hAnsi="宋体"/>
          <w:color w:val="auto"/>
          <w:highlight w:val="none"/>
        </w:rPr>
        <w:t>（签字）</w:t>
      </w:r>
    </w:p>
    <w:p w14:paraId="3FCF14ED">
      <w:pPr>
        <w:snapToGrid w:val="0"/>
        <w:spacing w:line="360" w:lineRule="auto"/>
        <w:rPr>
          <w:rFonts w:ascii="宋体"/>
          <w:color w:val="auto"/>
          <w:highlight w:val="none"/>
        </w:rPr>
      </w:pPr>
      <w:r>
        <w:rPr>
          <w:rFonts w:hint="eastAsia" w:ascii="宋体" w:hAnsi="宋体"/>
          <w:color w:val="auto"/>
          <w:highlight w:val="none"/>
        </w:rPr>
        <w:t>电话：</w:t>
      </w:r>
      <w:r>
        <w:rPr>
          <w:rFonts w:ascii="宋体" w:hAnsi="宋体"/>
          <w:color w:val="auto"/>
          <w:highlight w:val="none"/>
          <w:u w:val="single"/>
        </w:rPr>
        <w:t xml:space="preserve">                            </w:t>
      </w:r>
      <w:r>
        <w:rPr>
          <w:rFonts w:ascii="宋体" w:hAnsi="宋体"/>
          <w:color w:val="auto"/>
          <w:highlight w:val="none"/>
        </w:rPr>
        <w:t xml:space="preserve">   </w:t>
      </w:r>
      <w:r>
        <w:rPr>
          <w:rFonts w:hint="eastAsia" w:ascii="宋体" w:hAnsi="宋体"/>
          <w:color w:val="auto"/>
          <w:highlight w:val="none"/>
        </w:rPr>
        <w:t>电话：</w:t>
      </w:r>
      <w:r>
        <w:rPr>
          <w:rFonts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ascii="宋体" w:hAnsi="宋体"/>
          <w:color w:val="auto"/>
          <w:highlight w:val="none"/>
          <w:u w:val="single"/>
        </w:rPr>
        <w:t xml:space="preserve">                   </w:t>
      </w:r>
    </w:p>
    <w:p w14:paraId="0716F4DD">
      <w:pPr>
        <w:snapToGrid w:val="0"/>
        <w:spacing w:line="360" w:lineRule="auto"/>
        <w:rPr>
          <w:rFonts w:ascii="宋体"/>
          <w:color w:val="auto"/>
          <w:highlight w:val="none"/>
        </w:rPr>
      </w:pPr>
      <w:r>
        <w:rPr>
          <w:rFonts w:hint="eastAsia" w:ascii="宋体" w:hAnsi="宋体"/>
          <w:color w:val="auto"/>
          <w:highlight w:val="none"/>
        </w:rPr>
        <w:t>传真：</w:t>
      </w:r>
      <w:r>
        <w:rPr>
          <w:rFonts w:ascii="宋体" w:hAnsi="宋体"/>
          <w:color w:val="auto"/>
          <w:highlight w:val="none"/>
          <w:u w:val="single"/>
        </w:rPr>
        <w:t xml:space="preserve">                            </w:t>
      </w:r>
      <w:r>
        <w:rPr>
          <w:rFonts w:ascii="宋体" w:hAnsi="宋体"/>
          <w:color w:val="auto"/>
          <w:highlight w:val="none"/>
        </w:rPr>
        <w:t xml:space="preserve">   </w:t>
      </w:r>
      <w:r>
        <w:rPr>
          <w:rFonts w:hint="eastAsia" w:ascii="宋体" w:hAnsi="宋体"/>
          <w:color w:val="auto"/>
          <w:highlight w:val="none"/>
        </w:rPr>
        <w:t>传真：</w:t>
      </w:r>
      <w:r>
        <w:rPr>
          <w:rFonts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ascii="宋体" w:hAnsi="宋体"/>
          <w:color w:val="auto"/>
          <w:highlight w:val="none"/>
          <w:u w:val="single"/>
        </w:rPr>
        <w:t xml:space="preserve">                                           </w:t>
      </w:r>
    </w:p>
    <w:p w14:paraId="31D42C8E">
      <w:pPr>
        <w:snapToGrid w:val="0"/>
        <w:spacing w:line="360" w:lineRule="auto"/>
        <w:rPr>
          <w:rFonts w:ascii="宋体"/>
          <w:color w:val="auto"/>
          <w:highlight w:val="none"/>
        </w:rPr>
      </w:pPr>
      <w:r>
        <w:rPr>
          <w:rFonts w:hint="eastAsia" w:ascii="宋体" w:hAnsi="宋体"/>
          <w:color w:val="auto"/>
          <w:highlight w:val="none"/>
        </w:rPr>
        <w:t>电子邮箱：</w:t>
      </w:r>
      <w:r>
        <w:rPr>
          <w:rFonts w:ascii="宋体" w:hAnsi="宋体"/>
          <w:color w:val="auto"/>
          <w:highlight w:val="none"/>
          <w:u w:val="single"/>
        </w:rPr>
        <w:t xml:space="preserve">                        </w:t>
      </w:r>
      <w:r>
        <w:rPr>
          <w:rFonts w:ascii="宋体" w:hAnsi="宋体"/>
          <w:color w:val="auto"/>
          <w:highlight w:val="none"/>
        </w:rPr>
        <w:t xml:space="preserve">   </w:t>
      </w:r>
      <w:r>
        <w:rPr>
          <w:rFonts w:hint="eastAsia" w:ascii="宋体" w:hAnsi="宋体"/>
          <w:color w:val="auto"/>
          <w:highlight w:val="none"/>
        </w:rPr>
        <w:t>电子邮箱：</w:t>
      </w:r>
      <w:r>
        <w:rPr>
          <w:rFonts w:hint="eastAsia" w:ascii="宋体" w:hAnsi="宋体"/>
          <w:color w:val="auto"/>
          <w:highlight w:val="none"/>
          <w:lang w:val="en-US" w:eastAsia="zh-CN"/>
        </w:rPr>
        <w:t xml:space="preserve"> </w:t>
      </w:r>
      <w:r>
        <w:rPr>
          <w:rFonts w:hint="eastAsia" w:ascii="宋体" w:hAnsi="宋体"/>
          <w:color w:val="auto"/>
          <w:highlight w:val="none"/>
          <w:u w:val="single"/>
          <w:lang w:val="en-US" w:eastAsia="zh-CN"/>
        </w:rPr>
        <w:t xml:space="preserve"> </w:t>
      </w:r>
      <w:r>
        <w:rPr>
          <w:rFonts w:hint="eastAsia" w:ascii="宋体" w:hAnsi="宋体" w:cs="Times New Roman"/>
          <w:szCs w:val="21"/>
          <w:highlight w:val="none"/>
          <w:u w:val="single"/>
          <w:lang w:val="en-US" w:eastAsia="zh-CN"/>
        </w:rPr>
        <w:t xml:space="preserve"> </w:t>
      </w:r>
      <w:r>
        <w:rPr>
          <w:rFonts w:ascii="宋体" w:hAnsi="宋体"/>
          <w:color w:val="auto"/>
          <w:highlight w:val="none"/>
          <w:u w:val="single"/>
        </w:rPr>
        <w:t xml:space="preserve">         </w:t>
      </w:r>
    </w:p>
    <w:p w14:paraId="6C3EA418">
      <w:pPr>
        <w:snapToGrid w:val="0"/>
        <w:spacing w:line="360" w:lineRule="auto"/>
        <w:ind w:left="5040" w:hanging="5040" w:hangingChars="2400"/>
        <w:rPr>
          <w:rFonts w:ascii="宋体"/>
          <w:color w:val="auto"/>
          <w:highlight w:val="none"/>
        </w:rPr>
      </w:pPr>
      <w:r>
        <w:rPr>
          <w:rFonts w:hint="eastAsia" w:ascii="宋体" w:hAnsi="宋体"/>
          <w:color w:val="auto"/>
          <w:highlight w:val="none"/>
        </w:rPr>
        <w:t>开户银行：</w:t>
      </w:r>
      <w:r>
        <w:rPr>
          <w:rFonts w:ascii="宋体" w:hAnsi="宋体"/>
          <w:color w:val="auto"/>
          <w:highlight w:val="none"/>
          <w:u w:val="single"/>
        </w:rPr>
        <w:t xml:space="preserve">                        </w:t>
      </w:r>
      <w:r>
        <w:rPr>
          <w:rFonts w:ascii="宋体" w:hAnsi="宋体"/>
          <w:color w:val="auto"/>
          <w:highlight w:val="none"/>
        </w:rPr>
        <w:t xml:space="preserve">   </w:t>
      </w:r>
      <w:r>
        <w:rPr>
          <w:rFonts w:hint="eastAsia" w:ascii="宋体" w:hAnsi="宋体"/>
          <w:color w:val="auto"/>
          <w:highlight w:val="none"/>
        </w:rPr>
        <w:t>开户银行：</w:t>
      </w:r>
      <w:r>
        <w:rPr>
          <w:rFonts w:hint="eastAsia" w:ascii="宋体" w:hAnsi="宋体" w:cs="Times New Roman"/>
          <w:highlight w:val="none"/>
          <w:u w:val="single"/>
          <w:lang w:val="en-US" w:eastAsia="zh-CN"/>
        </w:rPr>
        <w:t xml:space="preserve"> </w:t>
      </w:r>
      <w:r>
        <w:rPr>
          <w:rFonts w:hint="eastAsia" w:ascii="宋体"/>
          <w:color w:val="000000"/>
          <w:szCs w:val="21"/>
          <w:highlight w:val="none"/>
          <w:u w:val="single"/>
          <w:lang w:val="en-US" w:eastAsia="zh-CN"/>
        </w:rPr>
        <w:t xml:space="preserve">                     </w:t>
      </w:r>
      <w:r>
        <w:rPr>
          <w:rFonts w:ascii="宋体" w:hAnsi="宋体"/>
          <w:color w:val="auto"/>
          <w:highlight w:val="none"/>
          <w:u w:val="single"/>
        </w:rPr>
        <w:t xml:space="preserve">       </w:t>
      </w:r>
    </w:p>
    <w:p w14:paraId="64DFB51D">
      <w:pPr>
        <w:snapToGrid w:val="0"/>
        <w:spacing w:line="360" w:lineRule="auto"/>
        <w:rPr>
          <w:rFonts w:ascii="宋体"/>
          <w:color w:val="auto"/>
          <w:highlight w:val="none"/>
        </w:rPr>
      </w:pPr>
      <w:r>
        <w:rPr>
          <w:rFonts w:hint="eastAsia" w:ascii="宋体" w:hAnsi="宋体"/>
          <w:color w:val="auto"/>
          <w:highlight w:val="none"/>
          <w:lang w:eastAsia="zh-CN"/>
        </w:rPr>
        <w:t>账号</w:t>
      </w:r>
      <w:r>
        <w:rPr>
          <w:rFonts w:hint="eastAsia" w:ascii="宋体" w:hAnsi="宋体"/>
          <w:color w:val="auto"/>
          <w:highlight w:val="none"/>
        </w:rPr>
        <w:t>：</w:t>
      </w:r>
      <w:r>
        <w:rPr>
          <w:rFonts w:ascii="宋体" w:hAnsi="宋体"/>
          <w:color w:val="auto"/>
          <w:highlight w:val="none"/>
          <w:u w:val="single"/>
        </w:rPr>
        <w:t xml:space="preserve">                            </w:t>
      </w:r>
      <w:r>
        <w:rPr>
          <w:rFonts w:ascii="宋体" w:hAnsi="宋体"/>
          <w:color w:val="auto"/>
          <w:highlight w:val="none"/>
        </w:rPr>
        <w:t xml:space="preserve">   </w:t>
      </w:r>
      <w:r>
        <w:rPr>
          <w:rFonts w:hint="eastAsia" w:ascii="宋体" w:hAnsi="宋体"/>
          <w:color w:val="auto"/>
          <w:highlight w:val="none"/>
          <w:lang w:eastAsia="zh-CN"/>
        </w:rPr>
        <w:t>账号</w:t>
      </w:r>
      <w:r>
        <w:rPr>
          <w:rFonts w:hint="eastAsia" w:ascii="宋体" w:hAnsi="宋体"/>
          <w:color w:val="auto"/>
          <w:highlight w:val="none"/>
        </w:rPr>
        <w:t>：</w:t>
      </w:r>
      <w:r>
        <w:rPr>
          <w:rFonts w:hint="eastAsia" w:ascii="宋体"/>
          <w:color w:val="000000"/>
          <w:szCs w:val="21"/>
          <w:highlight w:val="none"/>
          <w:u w:val="single"/>
          <w:lang w:val="en-US" w:eastAsia="zh-CN"/>
        </w:rPr>
        <w:t xml:space="preserve">        </w:t>
      </w:r>
      <w:r>
        <w:rPr>
          <w:rFonts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ascii="宋体" w:hAnsi="宋体"/>
          <w:color w:val="auto"/>
          <w:highlight w:val="none"/>
          <w:u w:val="single"/>
        </w:rPr>
        <w:t xml:space="preserve">   </w:t>
      </w:r>
    </w:p>
    <w:p w14:paraId="6C2A3DA7">
      <w:pPr>
        <w:snapToGrid w:val="0"/>
        <w:spacing w:line="360" w:lineRule="auto"/>
        <w:rPr>
          <w:rFonts w:ascii="宋体"/>
          <w:color w:val="auto"/>
          <w:highlight w:val="none"/>
        </w:rPr>
      </w:pPr>
      <w:r>
        <w:rPr>
          <w:rFonts w:hint="eastAsia" w:ascii="宋体" w:hAnsi="宋体"/>
          <w:color w:val="auto"/>
          <w:highlight w:val="none"/>
        </w:rPr>
        <w:t>邮政编码：</w:t>
      </w:r>
      <w:r>
        <w:rPr>
          <w:rFonts w:ascii="宋体" w:hAnsi="宋体"/>
          <w:color w:val="auto"/>
          <w:highlight w:val="none"/>
          <w:u w:val="single"/>
        </w:rPr>
        <w:t xml:space="preserve"> </w:t>
      </w:r>
      <w:r>
        <w:rPr>
          <w:rFonts w:hint="eastAsia" w:ascii="宋体" w:hAnsi="宋体"/>
          <w:color w:val="auto"/>
          <w:highlight w:val="none"/>
          <w:u w:val="single"/>
          <w:lang w:val="en-US" w:eastAsia="zh-CN"/>
        </w:rPr>
        <w:t>102200</w:t>
      </w:r>
      <w:r>
        <w:rPr>
          <w:rFonts w:ascii="宋体" w:hAnsi="宋体"/>
          <w:color w:val="auto"/>
          <w:highlight w:val="none"/>
          <w:u w:val="single"/>
        </w:rPr>
        <w:t xml:space="preserve">               </w:t>
      </w:r>
      <w:r>
        <w:rPr>
          <w:rFonts w:ascii="宋体" w:hAnsi="宋体"/>
          <w:color w:val="auto"/>
          <w:highlight w:val="none"/>
        </w:rPr>
        <w:t xml:space="preserve">    </w:t>
      </w:r>
      <w:r>
        <w:rPr>
          <w:rFonts w:hint="eastAsia" w:ascii="宋体" w:hAnsi="宋体"/>
          <w:color w:val="auto"/>
          <w:highlight w:val="none"/>
        </w:rPr>
        <w:t>邮政编码：</w:t>
      </w:r>
      <w:r>
        <w:rPr>
          <w:rFonts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ascii="宋体" w:hAnsi="宋体"/>
          <w:color w:val="auto"/>
          <w:highlight w:val="none"/>
          <w:u w:val="single"/>
        </w:rPr>
        <w:t xml:space="preserve"> </w:t>
      </w:r>
    </w:p>
    <w:p w14:paraId="5711C98D">
      <w:pPr>
        <w:pStyle w:val="17"/>
        <w:rPr>
          <w:highlight w:val="none"/>
        </w:rPr>
        <w:sectPr>
          <w:headerReference r:id="rId13" w:type="default"/>
          <w:footerReference r:id="rId14" w:type="default"/>
          <w:pgSz w:w="11907" w:h="16839"/>
          <w:pgMar w:top="1418" w:right="1417" w:bottom="1418" w:left="1418" w:header="850" w:footer="992" w:gutter="0"/>
          <w:pgNumType w:fmt="decimal"/>
          <w:cols w:space="720" w:num="1"/>
          <w:docGrid w:linePitch="286" w:charSpace="0"/>
        </w:sectPr>
      </w:pPr>
    </w:p>
    <w:p w14:paraId="62DA439E">
      <w:pPr>
        <w:spacing w:line="360" w:lineRule="auto"/>
        <w:jc w:val="center"/>
        <w:outlineLvl w:val="0"/>
        <w:rPr>
          <w:rFonts w:hint="eastAsia" w:ascii="宋体" w:hAnsi="宋体" w:eastAsia="宋体" w:cs="宋体"/>
          <w:b/>
          <w:color w:val="auto"/>
          <w:sz w:val="36"/>
          <w:szCs w:val="36"/>
          <w:highlight w:val="none"/>
        </w:rPr>
      </w:pPr>
      <w:bookmarkStart w:id="2138" w:name="_bookmark269"/>
      <w:bookmarkEnd w:id="2138"/>
      <w:bookmarkStart w:id="2139" w:name="_Toc97371947"/>
      <w:bookmarkStart w:id="2140" w:name="_Toc9843"/>
      <w:r>
        <w:rPr>
          <w:rFonts w:hint="eastAsia" w:ascii="宋体" w:hAnsi="宋体" w:eastAsia="宋体" w:cs="宋体"/>
          <w:b/>
          <w:color w:val="auto"/>
          <w:sz w:val="36"/>
          <w:szCs w:val="36"/>
          <w:highlight w:val="none"/>
        </w:rPr>
        <w:t>第六章   响应文件格式</w:t>
      </w:r>
      <w:bookmarkEnd w:id="2139"/>
      <w:bookmarkEnd w:id="2140"/>
    </w:p>
    <w:p w14:paraId="56CD7E1A">
      <w:pPr>
        <w:widowControl/>
        <w:spacing w:line="360" w:lineRule="auto"/>
        <w:jc w:val="left"/>
        <w:rPr>
          <w:rFonts w:hint="eastAsia" w:ascii="宋体" w:hAnsi="宋体" w:eastAsia="宋体" w:cs="宋体"/>
          <w:b/>
          <w:color w:val="auto"/>
          <w:sz w:val="24"/>
          <w:highlight w:val="none"/>
        </w:rPr>
      </w:pPr>
    </w:p>
    <w:p w14:paraId="3DA95447">
      <w:pPr>
        <w:widowControl/>
        <w:spacing w:line="360" w:lineRule="auto"/>
        <w:jc w:val="left"/>
        <w:rPr>
          <w:rFonts w:hint="eastAsia" w:ascii="宋体" w:hAnsi="宋体" w:eastAsia="宋体" w:cs="宋体"/>
          <w:b/>
          <w:color w:val="auto"/>
          <w:sz w:val="24"/>
          <w:highlight w:val="none"/>
        </w:rPr>
      </w:pPr>
    </w:p>
    <w:p w14:paraId="2A135D79">
      <w:pPr>
        <w:tabs>
          <w:tab w:val="left" w:pos="900"/>
          <w:tab w:val="left" w:pos="1980"/>
        </w:tabs>
        <w:snapToGrid w:val="0"/>
        <w:spacing w:line="360" w:lineRule="auto"/>
        <w:ind w:left="142"/>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t>供应商编制文件须知</w:t>
      </w:r>
    </w:p>
    <w:p w14:paraId="5DEB1DEA">
      <w:pPr>
        <w:tabs>
          <w:tab w:val="left" w:pos="900"/>
          <w:tab w:val="left" w:pos="1980"/>
        </w:tabs>
        <w:snapToGrid w:val="0"/>
        <w:spacing w:line="360" w:lineRule="auto"/>
        <w:ind w:left="142"/>
        <w:rPr>
          <w:rFonts w:hint="eastAsia" w:ascii="宋体" w:hAnsi="宋体" w:eastAsia="宋体" w:cs="宋体"/>
          <w:color w:val="auto"/>
          <w:sz w:val="24"/>
          <w:highlight w:val="none"/>
        </w:rPr>
      </w:pPr>
      <w:r>
        <w:rPr>
          <w:rFonts w:hint="eastAsia" w:ascii="宋体" w:hAnsi="宋体" w:eastAsia="宋体" w:cs="宋体"/>
          <w:color w:val="auto"/>
          <w:sz w:val="24"/>
          <w:highlight w:val="none"/>
        </w:rPr>
        <w:t>1、供应商按照本部分的顺序编制响应文件，编制中涉及格式资料的，应按照本部分提供的内容和格式（所有表格的格式可扩展）填写提交。</w:t>
      </w:r>
    </w:p>
    <w:p w14:paraId="1C6CBD9A">
      <w:pPr>
        <w:tabs>
          <w:tab w:val="left" w:pos="900"/>
          <w:tab w:val="left" w:pos="1980"/>
        </w:tabs>
        <w:snapToGrid w:val="0"/>
        <w:spacing w:line="360" w:lineRule="auto"/>
        <w:ind w:left="142"/>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kern w:val="0"/>
          <w:sz w:val="24"/>
          <w:highlight w:val="none"/>
        </w:rPr>
        <w:t>对于竞争性磋商文件中标记了“实质性格式”文件的，供应商</w:t>
      </w:r>
      <w:r>
        <w:rPr>
          <w:rFonts w:hint="eastAsia" w:ascii="宋体" w:hAnsi="宋体" w:eastAsia="宋体" w:cs="宋体"/>
          <w:color w:val="auto"/>
          <w:sz w:val="24"/>
          <w:highlight w:val="none"/>
        </w:rPr>
        <w:t>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color w:val="auto"/>
          <w:kern w:val="0"/>
          <w:sz w:val="24"/>
          <w:highlight w:val="none"/>
        </w:rPr>
        <w:t>否则响应无效</w:t>
      </w:r>
      <w:r>
        <w:rPr>
          <w:rFonts w:hint="eastAsia" w:ascii="宋体" w:hAnsi="宋体" w:eastAsia="宋体" w:cs="宋体"/>
          <w:color w:val="auto"/>
          <w:kern w:val="0"/>
          <w:sz w:val="24"/>
          <w:highlight w:val="none"/>
        </w:rPr>
        <w:t>。未标记“实质性格式”的文件和竞争性磋商文件未提供格式的内容，可由供应商自行编写。</w:t>
      </w:r>
    </w:p>
    <w:p w14:paraId="05FD15E7">
      <w:pPr>
        <w:tabs>
          <w:tab w:val="left" w:pos="900"/>
          <w:tab w:val="left" w:pos="1980"/>
        </w:tabs>
        <w:snapToGrid w:val="0"/>
        <w:spacing w:line="360" w:lineRule="auto"/>
        <w:ind w:left="142"/>
        <w:rPr>
          <w:rFonts w:hint="eastAsia" w:ascii="宋体" w:hAnsi="宋体" w:eastAsia="宋体" w:cs="宋体"/>
          <w:color w:val="auto"/>
          <w:sz w:val="24"/>
          <w:highlight w:val="none"/>
        </w:rPr>
      </w:pPr>
      <w:r>
        <w:rPr>
          <w:rFonts w:hint="eastAsia" w:ascii="宋体" w:hAnsi="宋体" w:eastAsia="宋体" w:cs="宋体"/>
          <w:color w:val="auto"/>
          <w:sz w:val="24"/>
          <w:highlight w:val="none"/>
        </w:rPr>
        <w:t>3、全部声明和问题的回答及所附材料必须是真实的、准确的和完整的。</w:t>
      </w:r>
    </w:p>
    <w:p w14:paraId="744E8A49">
      <w:pPr>
        <w:tabs>
          <w:tab w:val="left" w:pos="900"/>
          <w:tab w:val="left" w:pos="1980"/>
        </w:tabs>
        <w:snapToGrid w:val="0"/>
        <w:spacing w:line="360" w:lineRule="auto"/>
        <w:ind w:left="142"/>
        <w:rPr>
          <w:rFonts w:hint="eastAsia" w:ascii="宋体" w:hAnsi="宋体" w:eastAsia="宋体" w:cs="宋体"/>
          <w:color w:val="auto"/>
          <w:sz w:val="24"/>
          <w:highlight w:val="none"/>
        </w:rPr>
      </w:pPr>
    </w:p>
    <w:p w14:paraId="51347242">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p w14:paraId="6F991A5C">
      <w:pPr>
        <w:rPr>
          <w:rFonts w:hint="eastAsia" w:ascii="宋体" w:hAnsi="宋体" w:eastAsia="宋体" w:cs="宋体"/>
          <w:b/>
          <w:color w:val="auto"/>
          <w:spacing w:val="20"/>
          <w:szCs w:val="21"/>
          <w:highlight w:val="none"/>
        </w:rPr>
      </w:pPr>
    </w:p>
    <w:p w14:paraId="5709946C">
      <w:pPr>
        <w:rPr>
          <w:rFonts w:hint="eastAsia" w:ascii="宋体" w:hAnsi="宋体" w:eastAsia="宋体" w:cs="宋体"/>
          <w:b/>
          <w:color w:val="auto"/>
          <w:sz w:val="24"/>
          <w:highlight w:val="none"/>
        </w:rPr>
      </w:pPr>
      <w:r>
        <w:rPr>
          <w:rFonts w:hint="eastAsia" w:ascii="宋体" w:hAnsi="宋体" w:eastAsia="宋体" w:cs="宋体"/>
          <w:b/>
          <w:color w:val="auto"/>
          <w:spacing w:val="20"/>
          <w:sz w:val="24"/>
          <w:highlight w:val="none"/>
        </w:rPr>
        <w:t>响应文件</w:t>
      </w:r>
      <w:r>
        <w:rPr>
          <w:rFonts w:hint="eastAsia" w:ascii="宋体" w:hAnsi="宋体" w:eastAsia="宋体" w:cs="宋体"/>
          <w:b/>
          <w:color w:val="auto"/>
          <w:sz w:val="24"/>
          <w:highlight w:val="none"/>
        </w:rPr>
        <w:t>封面（非实质性格式）</w:t>
      </w:r>
    </w:p>
    <w:p w14:paraId="17CBE43D">
      <w:pPr>
        <w:jc w:val="center"/>
        <w:rPr>
          <w:rFonts w:hint="eastAsia" w:ascii="宋体" w:hAnsi="宋体" w:eastAsia="宋体" w:cs="宋体"/>
          <w:color w:val="auto"/>
          <w:szCs w:val="21"/>
          <w:highlight w:val="none"/>
        </w:rPr>
      </w:pPr>
    </w:p>
    <w:p w14:paraId="40C0AADC">
      <w:pPr>
        <w:jc w:val="center"/>
        <w:rPr>
          <w:rFonts w:hint="eastAsia" w:ascii="宋体" w:hAnsi="宋体" w:eastAsia="宋体" w:cs="宋体"/>
          <w:b/>
          <w:color w:val="auto"/>
          <w:spacing w:val="60"/>
          <w:sz w:val="84"/>
          <w:szCs w:val="84"/>
          <w:highlight w:val="none"/>
        </w:rPr>
      </w:pPr>
      <w:r>
        <w:rPr>
          <w:rFonts w:hint="eastAsia" w:ascii="宋体" w:hAnsi="宋体" w:eastAsia="宋体" w:cs="宋体"/>
          <w:b/>
          <w:color w:val="auto"/>
          <w:spacing w:val="60"/>
          <w:sz w:val="84"/>
          <w:szCs w:val="84"/>
          <w:highlight w:val="none"/>
        </w:rPr>
        <w:t>响 应 文 件</w:t>
      </w:r>
    </w:p>
    <w:p w14:paraId="34925565">
      <w:pPr>
        <w:jc w:val="center"/>
        <w:rPr>
          <w:rFonts w:hint="eastAsia" w:ascii="宋体" w:hAnsi="宋体" w:eastAsia="宋体" w:cs="宋体"/>
          <w:b/>
          <w:color w:val="auto"/>
          <w:spacing w:val="60"/>
          <w:sz w:val="52"/>
          <w:szCs w:val="52"/>
          <w:highlight w:val="none"/>
        </w:rPr>
      </w:pPr>
    </w:p>
    <w:p w14:paraId="26019F63">
      <w:pPr>
        <w:ind w:firstLine="542" w:firstLineChars="150"/>
        <w:rPr>
          <w:rFonts w:hint="eastAsia" w:ascii="宋体" w:hAnsi="宋体" w:eastAsia="宋体" w:cs="宋体"/>
          <w:b/>
          <w:color w:val="auto"/>
          <w:spacing w:val="20"/>
          <w:sz w:val="32"/>
          <w:szCs w:val="32"/>
          <w:highlight w:val="none"/>
        </w:rPr>
      </w:pPr>
    </w:p>
    <w:p w14:paraId="784C0932">
      <w:pPr>
        <w:ind w:firstLine="542" w:firstLineChars="150"/>
        <w:rPr>
          <w:rFonts w:hint="eastAsia" w:ascii="宋体" w:hAnsi="宋体" w:eastAsia="宋体" w:cs="宋体"/>
          <w:b/>
          <w:color w:val="auto"/>
          <w:spacing w:val="20"/>
          <w:sz w:val="32"/>
          <w:szCs w:val="32"/>
          <w:highlight w:val="none"/>
        </w:rPr>
      </w:pPr>
    </w:p>
    <w:p w14:paraId="5EB54E6F">
      <w:pPr>
        <w:ind w:firstLine="542" w:firstLineChars="150"/>
        <w:rPr>
          <w:rFonts w:hint="eastAsia" w:ascii="宋体" w:hAnsi="宋体" w:eastAsia="宋体" w:cs="宋体"/>
          <w:b/>
          <w:color w:val="auto"/>
          <w:spacing w:val="20"/>
          <w:sz w:val="32"/>
          <w:szCs w:val="32"/>
          <w:highlight w:val="none"/>
        </w:rPr>
      </w:pPr>
      <w:r>
        <w:rPr>
          <w:rFonts w:hint="eastAsia" w:ascii="宋体" w:hAnsi="宋体" w:eastAsia="宋体" w:cs="宋体"/>
          <w:b/>
          <w:color w:val="auto"/>
          <w:spacing w:val="20"/>
          <w:sz w:val="32"/>
          <w:szCs w:val="32"/>
          <w:highlight w:val="none"/>
        </w:rPr>
        <w:t>项目名称:</w:t>
      </w:r>
    </w:p>
    <w:p w14:paraId="5ED4C56E">
      <w:pPr>
        <w:ind w:firstLine="542" w:firstLineChars="150"/>
        <w:rPr>
          <w:rFonts w:hint="eastAsia" w:ascii="宋体" w:hAnsi="宋体" w:eastAsia="宋体" w:cs="宋体"/>
          <w:b/>
          <w:color w:val="auto"/>
          <w:spacing w:val="20"/>
          <w:sz w:val="32"/>
          <w:szCs w:val="32"/>
          <w:highlight w:val="none"/>
        </w:rPr>
      </w:pPr>
      <w:r>
        <w:rPr>
          <w:rFonts w:hint="eastAsia" w:ascii="宋体" w:hAnsi="宋体" w:cs="宋体"/>
          <w:b/>
          <w:color w:val="auto"/>
          <w:spacing w:val="20"/>
          <w:sz w:val="32"/>
          <w:szCs w:val="32"/>
          <w:highlight w:val="none"/>
          <w:lang w:val="en-US" w:eastAsia="zh-CN"/>
        </w:rPr>
        <w:t>采购文件编号</w:t>
      </w:r>
      <w:r>
        <w:rPr>
          <w:rFonts w:hint="eastAsia" w:ascii="宋体" w:hAnsi="宋体" w:eastAsia="宋体" w:cs="宋体"/>
          <w:b/>
          <w:color w:val="auto"/>
          <w:spacing w:val="20"/>
          <w:sz w:val="32"/>
          <w:szCs w:val="32"/>
          <w:highlight w:val="none"/>
        </w:rPr>
        <w:t>：</w:t>
      </w:r>
    </w:p>
    <w:p w14:paraId="7CE84DF4">
      <w:pPr>
        <w:ind w:firstLine="542" w:firstLineChars="150"/>
        <w:rPr>
          <w:rFonts w:hint="eastAsia" w:ascii="宋体" w:hAnsi="宋体" w:eastAsia="宋体" w:cs="宋体"/>
          <w:b/>
          <w:color w:val="auto"/>
          <w:spacing w:val="20"/>
          <w:sz w:val="32"/>
          <w:szCs w:val="32"/>
          <w:highlight w:val="none"/>
        </w:rPr>
      </w:pPr>
    </w:p>
    <w:p w14:paraId="209EE0D0">
      <w:pPr>
        <w:ind w:firstLine="542" w:firstLineChars="150"/>
        <w:rPr>
          <w:rFonts w:hint="eastAsia" w:ascii="宋体" w:hAnsi="宋体" w:eastAsia="宋体" w:cs="宋体"/>
          <w:b/>
          <w:color w:val="auto"/>
          <w:spacing w:val="20"/>
          <w:sz w:val="32"/>
          <w:szCs w:val="32"/>
          <w:highlight w:val="none"/>
        </w:rPr>
      </w:pPr>
    </w:p>
    <w:p w14:paraId="61EBD551">
      <w:pPr>
        <w:jc w:val="center"/>
        <w:rPr>
          <w:rFonts w:hint="eastAsia" w:ascii="宋体" w:hAnsi="宋体" w:eastAsia="宋体" w:cs="宋体"/>
          <w:b/>
          <w:color w:val="auto"/>
          <w:sz w:val="32"/>
          <w:szCs w:val="32"/>
          <w:highlight w:val="none"/>
        </w:rPr>
      </w:pPr>
    </w:p>
    <w:p w14:paraId="36F67712">
      <w:pPr>
        <w:jc w:val="center"/>
        <w:rPr>
          <w:rFonts w:hint="eastAsia" w:ascii="宋体" w:hAnsi="宋体" w:eastAsia="宋体" w:cs="宋体"/>
          <w:b/>
          <w:color w:val="auto"/>
          <w:sz w:val="32"/>
          <w:szCs w:val="32"/>
          <w:highlight w:val="none"/>
        </w:rPr>
      </w:pPr>
    </w:p>
    <w:p w14:paraId="6A307EAC">
      <w:pPr>
        <w:jc w:val="center"/>
        <w:rPr>
          <w:rFonts w:hint="eastAsia" w:ascii="宋体" w:hAnsi="宋体" w:eastAsia="宋体" w:cs="宋体"/>
          <w:b/>
          <w:color w:val="auto"/>
          <w:sz w:val="32"/>
          <w:szCs w:val="32"/>
          <w:highlight w:val="none"/>
        </w:rPr>
      </w:pPr>
    </w:p>
    <w:p w14:paraId="20530AD1">
      <w:pPr>
        <w:jc w:val="center"/>
        <w:rPr>
          <w:rFonts w:hint="eastAsia" w:ascii="宋体" w:hAnsi="宋体" w:eastAsia="宋体" w:cs="宋体"/>
          <w:b/>
          <w:color w:val="auto"/>
          <w:spacing w:val="20"/>
          <w:sz w:val="32"/>
          <w:szCs w:val="32"/>
          <w:highlight w:val="none"/>
        </w:rPr>
      </w:pPr>
    </w:p>
    <w:p w14:paraId="5C008DA4">
      <w:pPr>
        <w:jc w:val="center"/>
        <w:rPr>
          <w:rFonts w:hint="eastAsia" w:ascii="宋体" w:hAnsi="宋体" w:eastAsia="宋体" w:cs="宋体"/>
          <w:b/>
          <w:color w:val="auto"/>
          <w:spacing w:val="20"/>
          <w:sz w:val="32"/>
          <w:szCs w:val="32"/>
          <w:highlight w:val="none"/>
        </w:rPr>
      </w:pPr>
    </w:p>
    <w:p w14:paraId="2B7EE045">
      <w:pPr>
        <w:jc w:val="center"/>
        <w:rPr>
          <w:rFonts w:hint="eastAsia" w:ascii="宋体" w:hAnsi="宋体" w:eastAsia="宋体" w:cs="宋体"/>
          <w:b/>
          <w:color w:val="auto"/>
          <w:spacing w:val="20"/>
          <w:sz w:val="32"/>
          <w:szCs w:val="32"/>
          <w:highlight w:val="none"/>
        </w:rPr>
      </w:pPr>
    </w:p>
    <w:p w14:paraId="43BBBF7E">
      <w:pPr>
        <w:spacing w:line="360" w:lineRule="auto"/>
        <w:ind w:firstLine="1445" w:firstLineChars="400"/>
        <w:jc w:val="left"/>
        <w:rPr>
          <w:rFonts w:hint="eastAsia" w:ascii="宋体" w:hAnsi="宋体" w:eastAsia="宋体" w:cs="宋体"/>
          <w:b/>
          <w:color w:val="auto"/>
          <w:spacing w:val="20"/>
          <w:sz w:val="32"/>
          <w:szCs w:val="32"/>
          <w:highlight w:val="none"/>
        </w:rPr>
      </w:pPr>
      <w:r>
        <w:rPr>
          <w:rFonts w:hint="eastAsia" w:ascii="宋体" w:hAnsi="宋体" w:eastAsia="宋体" w:cs="宋体"/>
          <w:b/>
          <w:color w:val="auto"/>
          <w:spacing w:val="20"/>
          <w:sz w:val="32"/>
          <w:szCs w:val="32"/>
          <w:highlight w:val="none"/>
        </w:rPr>
        <w:t>供应商名称：</w:t>
      </w:r>
    </w:p>
    <w:p w14:paraId="32E6181C">
      <w:pPr>
        <w:jc w:val="center"/>
        <w:rPr>
          <w:rFonts w:hint="eastAsia" w:ascii="宋体" w:hAnsi="宋体" w:eastAsia="宋体" w:cs="宋体"/>
          <w:b/>
          <w:color w:val="auto"/>
          <w:sz w:val="32"/>
          <w:szCs w:val="32"/>
          <w:highlight w:val="none"/>
        </w:rPr>
      </w:pPr>
    </w:p>
    <w:p w14:paraId="482027D6">
      <w:pPr>
        <w:rPr>
          <w:rFonts w:hint="eastAsia" w:ascii="宋体" w:hAnsi="宋体" w:eastAsia="宋体" w:cs="宋体"/>
          <w:b/>
          <w:color w:val="auto"/>
          <w:highlight w:val="none"/>
        </w:rPr>
      </w:pPr>
      <w:r>
        <w:rPr>
          <w:rFonts w:hint="eastAsia" w:ascii="宋体" w:hAnsi="宋体" w:eastAsia="宋体" w:cs="宋体"/>
          <w:b/>
          <w:color w:val="auto"/>
          <w:spacing w:val="20"/>
          <w:sz w:val="32"/>
          <w:szCs w:val="32"/>
          <w:highlight w:val="none"/>
        </w:rPr>
        <w:br w:type="page"/>
      </w:r>
    </w:p>
    <w:p w14:paraId="402C88B1">
      <w:pPr>
        <w:tabs>
          <w:tab w:val="left" w:pos="360"/>
        </w:tabs>
        <w:snapToGrid w:val="0"/>
        <w:spacing w:line="360" w:lineRule="auto"/>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1 满足《中华人民共和国政府采购法》第二十二条规定及法律法规的其他规定</w:t>
      </w:r>
    </w:p>
    <w:p w14:paraId="10542F1C">
      <w:pPr>
        <w:spacing w:line="360" w:lineRule="auto"/>
        <w:outlineLvl w:val="2"/>
        <w:rPr>
          <w:rFonts w:hint="eastAsia" w:ascii="宋体" w:hAnsi="宋体" w:eastAsia="宋体" w:cs="宋体"/>
          <w:color w:val="auto"/>
          <w:sz w:val="24"/>
          <w:highlight w:val="none"/>
        </w:rPr>
      </w:pPr>
      <w:r>
        <w:rPr>
          <w:rFonts w:hint="eastAsia" w:ascii="宋体" w:hAnsi="宋体" w:eastAsia="宋体" w:cs="宋体"/>
          <w:color w:val="auto"/>
          <w:sz w:val="24"/>
          <w:highlight w:val="none"/>
        </w:rPr>
        <w:t>1-1营业执照等证明文件</w:t>
      </w:r>
    </w:p>
    <w:p w14:paraId="58D7BC0E">
      <w:pPr>
        <w:tabs>
          <w:tab w:val="left" w:pos="1080"/>
        </w:tabs>
        <w:snapToGrid w:val="0"/>
        <w:rPr>
          <w:rFonts w:hint="eastAsia" w:ascii="宋体" w:hAnsi="宋体" w:eastAsia="宋体" w:cs="宋体"/>
          <w:color w:val="auto"/>
          <w:sz w:val="24"/>
          <w:highlight w:val="none"/>
        </w:rPr>
      </w:pPr>
    </w:p>
    <w:p w14:paraId="08461ECA">
      <w:pPr>
        <w:widowControl/>
        <w:jc w:val="left"/>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br w:type="page"/>
      </w:r>
    </w:p>
    <w:p w14:paraId="0E9B7CDA">
      <w:pPr>
        <w:pStyle w:val="4"/>
        <w:rPr>
          <w:rFonts w:hint="eastAsia" w:ascii="宋体" w:hAnsi="宋体" w:eastAsia="宋体" w:cs="宋体"/>
          <w:b w:val="0"/>
          <w:bCs/>
          <w:color w:val="auto"/>
          <w:szCs w:val="24"/>
          <w:highlight w:val="none"/>
          <w:u w:val="none"/>
        </w:rPr>
      </w:pPr>
      <w:r>
        <w:rPr>
          <w:rFonts w:hint="eastAsia" w:ascii="宋体" w:hAnsi="宋体" w:eastAsia="宋体" w:cs="宋体"/>
          <w:b w:val="0"/>
          <w:color w:val="auto"/>
          <w:szCs w:val="24"/>
          <w:highlight w:val="none"/>
          <w:u w:val="none"/>
        </w:rPr>
        <w:t>1-2 供应商资格声明书（实质性格式）</w:t>
      </w:r>
    </w:p>
    <w:p w14:paraId="5CC8CC75">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供应商资格声明书</w:t>
      </w:r>
    </w:p>
    <w:p w14:paraId="10FEB3E4">
      <w:pPr>
        <w:tabs>
          <w:tab w:val="left" w:pos="5580"/>
        </w:tabs>
        <w:spacing w:line="360" w:lineRule="auto"/>
        <w:rPr>
          <w:rFonts w:hint="eastAsia" w:ascii="宋体" w:hAnsi="宋体" w:eastAsia="宋体" w:cs="宋体"/>
          <w:color w:val="auto"/>
          <w:sz w:val="24"/>
          <w:highlight w:val="none"/>
        </w:rPr>
      </w:pPr>
    </w:p>
    <w:p w14:paraId="479F03B1">
      <w:pPr>
        <w:tabs>
          <w:tab w:val="left" w:pos="55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u w:val="single"/>
        </w:rPr>
        <w:t>采购人或采购代理机构</w:t>
      </w:r>
    </w:p>
    <w:p w14:paraId="44CAC45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在参与本次项目磋商中，我单位承诺：</w:t>
      </w:r>
    </w:p>
    <w:p w14:paraId="6D8D45D9">
      <w:pPr>
        <w:numPr>
          <w:ilvl w:val="0"/>
          <w:numId w:val="12"/>
        </w:numPr>
        <w:spacing w:line="360" w:lineRule="auto"/>
        <w:ind w:left="1134"/>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具有良好的商业信誉和健全的财务会计制度；</w:t>
      </w:r>
    </w:p>
    <w:p w14:paraId="6BF798CC">
      <w:pPr>
        <w:numPr>
          <w:ilvl w:val="0"/>
          <w:numId w:val="12"/>
        </w:numPr>
        <w:spacing w:line="360" w:lineRule="auto"/>
        <w:ind w:left="1134"/>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具有履行合同所必需的设备和专业技术能力；</w:t>
      </w:r>
    </w:p>
    <w:p w14:paraId="71C729C6">
      <w:pPr>
        <w:numPr>
          <w:ilvl w:val="0"/>
          <w:numId w:val="12"/>
        </w:numPr>
        <w:spacing w:line="360" w:lineRule="auto"/>
        <w:ind w:left="1134"/>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有依法缴纳税收和社会保障资金的良好记录；</w:t>
      </w:r>
    </w:p>
    <w:p w14:paraId="0BCC7A59">
      <w:pPr>
        <w:numPr>
          <w:ilvl w:val="0"/>
          <w:numId w:val="12"/>
        </w:numPr>
        <w:spacing w:line="360" w:lineRule="auto"/>
        <w:ind w:left="1134"/>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2499D4D1">
      <w:pPr>
        <w:numPr>
          <w:ilvl w:val="0"/>
          <w:numId w:val="12"/>
        </w:numPr>
        <w:spacing w:line="360" w:lineRule="auto"/>
        <w:ind w:left="1134"/>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我单位不属于政府采购法律、行政法规规定的公益一类事业单位、或使用事业编制且由财政拨款保障的群团组织（仅适用于政府购买服务项目）；</w:t>
      </w:r>
    </w:p>
    <w:p w14:paraId="71215353">
      <w:pPr>
        <w:numPr>
          <w:ilvl w:val="0"/>
          <w:numId w:val="12"/>
        </w:numPr>
        <w:spacing w:line="360" w:lineRule="auto"/>
        <w:ind w:left="1134"/>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我单位不存在为采购项目提供整体设计、规范编制或者项目管理、监理、检测等服务后，再参加该采购项目的其他采购活动的情形（单一来源采购项目除外）；</w:t>
      </w:r>
    </w:p>
    <w:p w14:paraId="3D55AF98">
      <w:pPr>
        <w:numPr>
          <w:ilvl w:val="0"/>
          <w:numId w:val="12"/>
        </w:numPr>
        <w:spacing w:line="360" w:lineRule="auto"/>
        <w:ind w:left="1134"/>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与我单位存在“单位负责人为同一人或者存在直接控股、管理关系”的其他法人单位信息如下（如有，不论其是否参加同一合同项下的政府采购活动均须填写）：</w:t>
      </w:r>
    </w:p>
    <w:tbl>
      <w:tblPr>
        <w:tblStyle w:val="1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1ED62A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604C41DF">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4574" w:type="dxa"/>
            <w:noWrap w:val="0"/>
            <w:vAlign w:val="center"/>
          </w:tcPr>
          <w:p w14:paraId="42C7C6BD">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单位名称</w:t>
            </w:r>
          </w:p>
        </w:tc>
        <w:tc>
          <w:tcPr>
            <w:tcW w:w="2976" w:type="dxa"/>
            <w:noWrap w:val="0"/>
            <w:vAlign w:val="center"/>
          </w:tcPr>
          <w:p w14:paraId="7CCEEBF9">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相互关系</w:t>
            </w:r>
          </w:p>
        </w:tc>
      </w:tr>
      <w:tr w14:paraId="552D27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0A7C23B9">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4574" w:type="dxa"/>
            <w:noWrap w:val="0"/>
            <w:vAlign w:val="center"/>
          </w:tcPr>
          <w:p w14:paraId="031BF9F9">
            <w:pPr>
              <w:jc w:val="center"/>
              <w:rPr>
                <w:rFonts w:hint="eastAsia" w:ascii="宋体" w:hAnsi="宋体" w:eastAsia="宋体" w:cs="宋体"/>
                <w:color w:val="auto"/>
                <w:sz w:val="24"/>
                <w:highlight w:val="none"/>
              </w:rPr>
            </w:pPr>
          </w:p>
        </w:tc>
        <w:tc>
          <w:tcPr>
            <w:tcW w:w="2976" w:type="dxa"/>
            <w:noWrap w:val="0"/>
            <w:vAlign w:val="center"/>
          </w:tcPr>
          <w:p w14:paraId="07ACEA66">
            <w:pPr>
              <w:jc w:val="center"/>
              <w:rPr>
                <w:rFonts w:hint="eastAsia" w:ascii="宋体" w:hAnsi="宋体" w:eastAsia="宋体" w:cs="宋体"/>
                <w:color w:val="auto"/>
                <w:sz w:val="24"/>
                <w:highlight w:val="none"/>
              </w:rPr>
            </w:pPr>
          </w:p>
        </w:tc>
      </w:tr>
      <w:tr w14:paraId="7589B3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3F6C83E3">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4574" w:type="dxa"/>
            <w:noWrap w:val="0"/>
            <w:vAlign w:val="center"/>
          </w:tcPr>
          <w:p w14:paraId="66839051">
            <w:pPr>
              <w:jc w:val="center"/>
              <w:rPr>
                <w:rFonts w:hint="eastAsia" w:ascii="宋体" w:hAnsi="宋体" w:eastAsia="宋体" w:cs="宋体"/>
                <w:color w:val="auto"/>
                <w:sz w:val="24"/>
                <w:highlight w:val="none"/>
              </w:rPr>
            </w:pPr>
          </w:p>
        </w:tc>
        <w:tc>
          <w:tcPr>
            <w:tcW w:w="2976" w:type="dxa"/>
            <w:noWrap w:val="0"/>
            <w:vAlign w:val="center"/>
          </w:tcPr>
          <w:p w14:paraId="20A67990">
            <w:pPr>
              <w:jc w:val="center"/>
              <w:rPr>
                <w:rFonts w:hint="eastAsia" w:ascii="宋体" w:hAnsi="宋体" w:eastAsia="宋体" w:cs="宋体"/>
                <w:color w:val="auto"/>
                <w:sz w:val="24"/>
                <w:highlight w:val="none"/>
              </w:rPr>
            </w:pPr>
          </w:p>
        </w:tc>
      </w:tr>
      <w:tr w14:paraId="30C8F4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54628FC1">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p>
        </w:tc>
        <w:tc>
          <w:tcPr>
            <w:tcW w:w="4574" w:type="dxa"/>
            <w:noWrap w:val="0"/>
            <w:vAlign w:val="center"/>
          </w:tcPr>
          <w:p w14:paraId="70146C07">
            <w:pPr>
              <w:jc w:val="center"/>
              <w:rPr>
                <w:rFonts w:hint="eastAsia" w:ascii="宋体" w:hAnsi="宋体" w:eastAsia="宋体" w:cs="宋体"/>
                <w:color w:val="auto"/>
                <w:sz w:val="24"/>
                <w:highlight w:val="none"/>
              </w:rPr>
            </w:pPr>
          </w:p>
        </w:tc>
        <w:tc>
          <w:tcPr>
            <w:tcW w:w="2976" w:type="dxa"/>
            <w:noWrap w:val="0"/>
            <w:vAlign w:val="center"/>
          </w:tcPr>
          <w:p w14:paraId="1F4BD416">
            <w:pPr>
              <w:jc w:val="center"/>
              <w:rPr>
                <w:rFonts w:hint="eastAsia" w:ascii="宋体" w:hAnsi="宋体" w:eastAsia="宋体" w:cs="宋体"/>
                <w:color w:val="auto"/>
                <w:sz w:val="24"/>
                <w:highlight w:val="none"/>
              </w:rPr>
            </w:pPr>
          </w:p>
        </w:tc>
      </w:tr>
    </w:tbl>
    <w:p w14:paraId="27D2C514">
      <w:pPr>
        <w:rPr>
          <w:rFonts w:hint="eastAsia" w:ascii="宋体" w:hAnsi="宋体" w:eastAsia="宋体" w:cs="宋体"/>
          <w:color w:val="auto"/>
          <w:highlight w:val="none"/>
        </w:rPr>
      </w:pPr>
    </w:p>
    <w:p w14:paraId="3DC4EE35">
      <w:pPr>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highlight w:val="none"/>
        </w:rPr>
        <w:t>上述声明真实有效，否则我方负全部责任。</w:t>
      </w:r>
    </w:p>
    <w:p w14:paraId="3974D64E">
      <w:pPr>
        <w:spacing w:line="360" w:lineRule="auto"/>
        <w:rPr>
          <w:rFonts w:hint="eastAsia" w:ascii="宋体" w:hAnsi="宋体" w:eastAsia="宋体" w:cs="宋体"/>
          <w:color w:val="auto"/>
          <w:sz w:val="24"/>
          <w:highlight w:val="none"/>
        </w:rPr>
      </w:pPr>
    </w:p>
    <w:p w14:paraId="2BFCD023">
      <w:pPr>
        <w:autoSpaceDE w:val="0"/>
        <w:autoSpaceDN w:val="0"/>
        <w:adjustRightInd w:val="0"/>
        <w:snapToGrid w:val="0"/>
        <w:spacing w:before="25" w:after="25" w:line="360" w:lineRule="auto"/>
        <w:ind w:right="360"/>
        <w:jc w:val="righ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供应商名称（加盖公章）</w:t>
      </w: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rPr>
        <w:t>______</w:t>
      </w:r>
    </w:p>
    <w:p w14:paraId="2687E76B">
      <w:pPr>
        <w:spacing w:line="360" w:lineRule="auto"/>
        <w:ind w:right="360" w:firstLine="480"/>
        <w:jc w:val="right"/>
        <w:rPr>
          <w:rFonts w:hint="eastAsia" w:ascii="宋体" w:hAnsi="宋体" w:eastAsia="宋体" w:cs="宋体"/>
          <w:color w:val="auto"/>
          <w:sz w:val="24"/>
          <w:highlight w:val="none"/>
        </w:rPr>
      </w:pPr>
      <w:r>
        <w:rPr>
          <w:rFonts w:hint="eastAsia" w:ascii="宋体" w:hAnsi="宋体" w:eastAsia="宋体" w:cs="宋体"/>
          <w:color w:val="auto"/>
          <w:sz w:val="24"/>
          <w:szCs w:val="20"/>
          <w:highlight w:val="none"/>
        </w:rPr>
        <w:t xml:space="preserve">日期：____年____月____日   </w:t>
      </w:r>
    </w:p>
    <w:p w14:paraId="433D5D3E">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说明：供应商承诺不实的，依据《政府采购法》第七十七条“提供虚假材料谋取中标、成交的”有关规定予以处理。</w:t>
      </w:r>
    </w:p>
    <w:p w14:paraId="7FA3C70B">
      <w:pPr>
        <w:tabs>
          <w:tab w:val="left" w:pos="5580"/>
        </w:tabs>
        <w:spacing w:line="360" w:lineRule="auto"/>
        <w:rPr>
          <w:rFonts w:hint="eastAsia" w:ascii="宋体" w:hAnsi="宋体" w:eastAsia="宋体" w:cs="宋体"/>
          <w:color w:val="auto"/>
          <w:sz w:val="24"/>
          <w:highlight w:val="none"/>
        </w:rPr>
        <w:sectPr>
          <w:headerReference r:id="rId15" w:type="default"/>
          <w:footerReference r:id="rId16" w:type="default"/>
          <w:pgSz w:w="11907" w:h="16840"/>
          <w:pgMar w:top="1418" w:right="1134" w:bottom="1418" w:left="1701" w:header="851" w:footer="851" w:gutter="0"/>
          <w:pgNumType w:fmt="decimal"/>
          <w:cols w:space="720" w:num="1"/>
          <w:docGrid w:linePitch="462" w:charSpace="0"/>
        </w:sectPr>
      </w:pPr>
    </w:p>
    <w:p w14:paraId="7E3AFC3B">
      <w:pPr>
        <w:tabs>
          <w:tab w:val="left" w:pos="360"/>
        </w:tabs>
        <w:snapToGrid w:val="0"/>
        <w:spacing w:line="360" w:lineRule="auto"/>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2 落实政府采购政策需满足的资格要求（如有）</w:t>
      </w:r>
    </w:p>
    <w:p w14:paraId="7FD40938">
      <w:pPr>
        <w:spacing w:line="360" w:lineRule="auto"/>
        <w:outlineLvl w:val="2"/>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2-1中小企业声明函</w:t>
      </w:r>
    </w:p>
    <w:p w14:paraId="1AB35D76">
      <w:pPr>
        <w:tabs>
          <w:tab w:val="left" w:pos="5580"/>
        </w:tabs>
        <w:spacing w:line="360" w:lineRule="auto"/>
        <w:rPr>
          <w:rFonts w:hint="eastAsia" w:ascii="宋体" w:hAnsi="宋体" w:eastAsia="宋体" w:cs="宋体"/>
          <w:color w:val="auto"/>
          <w:sz w:val="24"/>
          <w:highlight w:val="none"/>
        </w:rPr>
      </w:pPr>
    </w:p>
    <w:p w14:paraId="5CB575B3">
      <w:pPr>
        <w:tabs>
          <w:tab w:val="left" w:pos="55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说明：</w:t>
      </w:r>
    </w:p>
    <w:p w14:paraId="145A6760">
      <w:pPr>
        <w:tabs>
          <w:tab w:val="left" w:pos="55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（1）如本项目（包）不专门面向中小企业预留采购份额，供应商无须提供《中小企业</w:t>
      </w:r>
    </w:p>
    <w:p w14:paraId="07F1B0C4">
      <w:pPr>
        <w:tabs>
          <w:tab w:val="left" w:pos="55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声明函》或《残疾人福利性单位声明函》或由省级以上监狱管理局、戒毒管理局（含新</w:t>
      </w:r>
    </w:p>
    <w:p w14:paraId="6F443B95">
      <w:pPr>
        <w:tabs>
          <w:tab w:val="left" w:pos="55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疆生产建设兵团）出具的属于监狱企业的证明文件；当供应商拟享受中小企业扶持政策</w:t>
      </w:r>
    </w:p>
    <w:p w14:paraId="6AA9654C">
      <w:pPr>
        <w:tabs>
          <w:tab w:val="left" w:pos="55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时，仍应</w:t>
      </w:r>
      <w:r>
        <w:rPr>
          <w:rFonts w:hint="eastAsia" w:ascii="宋体" w:hAnsi="宋体" w:eastAsia="宋体" w:cs="宋体"/>
          <w:color w:val="auto"/>
          <w:sz w:val="24"/>
          <w:highlight w:val="none"/>
          <w:lang w:eastAsia="zh-CN"/>
        </w:rPr>
        <w:t>提</w:t>
      </w:r>
      <w:r>
        <w:rPr>
          <w:rFonts w:hint="eastAsia" w:ascii="宋体" w:hAnsi="宋体" w:eastAsia="宋体" w:cs="宋体"/>
          <w:color w:val="auto"/>
          <w:sz w:val="24"/>
          <w:highlight w:val="none"/>
        </w:rPr>
        <w:t>供上述证明文件，否则不享受相关中小企业扶持政策。</w:t>
      </w:r>
    </w:p>
    <w:p w14:paraId="4DE169EB">
      <w:pPr>
        <w:tabs>
          <w:tab w:val="left" w:pos="55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（2）如本项目（包）专门面向中小企业采购，响应文件中须</w:t>
      </w:r>
      <w:r>
        <w:rPr>
          <w:rFonts w:hint="eastAsia" w:ascii="宋体" w:hAnsi="宋体" w:eastAsia="宋体" w:cs="宋体"/>
          <w:color w:val="auto"/>
          <w:sz w:val="24"/>
          <w:highlight w:val="none"/>
          <w:lang w:eastAsia="zh-CN"/>
        </w:rPr>
        <w:t>提</w:t>
      </w:r>
      <w:r>
        <w:rPr>
          <w:rFonts w:hint="eastAsia" w:ascii="宋体" w:hAnsi="宋体" w:eastAsia="宋体" w:cs="宋体"/>
          <w:color w:val="auto"/>
          <w:sz w:val="24"/>
          <w:highlight w:val="none"/>
        </w:rPr>
        <w:t>供《中小企业声明函》或《残疾人福利性单位声明函》，或提供由省级以上监狱管理局、戒毒管理局（含新疆生产建设兵团）出具的属于监狱企业的证明文件。</w:t>
      </w:r>
    </w:p>
    <w:p w14:paraId="2E3B2D6E">
      <w:pPr>
        <w:tabs>
          <w:tab w:val="left" w:pos="55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（3）如本项目（包）预留部分采购项目预算专门面向中小企业采购，且要求获得采购合同的供应商将采购项目中的一定比例分包给一家或者多家中小企业或要求供应商以联合体形式参加采购活动，响应文件中须</w:t>
      </w:r>
      <w:r>
        <w:rPr>
          <w:rFonts w:hint="eastAsia" w:ascii="宋体" w:hAnsi="宋体" w:eastAsia="宋体" w:cs="宋体"/>
          <w:color w:val="auto"/>
          <w:sz w:val="24"/>
          <w:highlight w:val="none"/>
          <w:lang w:eastAsia="zh-CN"/>
        </w:rPr>
        <w:t>提</w:t>
      </w:r>
      <w:r>
        <w:rPr>
          <w:rFonts w:hint="eastAsia" w:ascii="宋体" w:hAnsi="宋体" w:eastAsia="宋体" w:cs="宋体"/>
          <w:color w:val="auto"/>
          <w:sz w:val="24"/>
          <w:highlight w:val="none"/>
        </w:rPr>
        <w:t>供《中小企业声明函》或《残疾人福利性单位声明函》或由省级以上监狱管理局、戒毒管理局（含新疆生产建设兵团）出具的属于监狱企业的证明文件。</w:t>
      </w:r>
    </w:p>
    <w:p w14:paraId="47BAD551">
      <w:pPr>
        <w:tabs>
          <w:tab w:val="left" w:pos="55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（4）中小企业声明函填写注意事项 1）《中小企业声明函》由参加政府采购活动的供应商出具。联合体参与的，《中小企业声明函》可由牵头人出具。</w:t>
      </w:r>
    </w:p>
    <w:p w14:paraId="2C4B985F">
      <w:pPr>
        <w:tabs>
          <w:tab w:val="left" w:pos="55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2）对于联合体中由中小企业承担的部分，或者分包给中小企业的部分，必须全部由中小企业制造、承建或者承接。供应商应当在声明函铭标的名称名部分标明联合体中中小企业承担的具体内容或者中小企业的具体分包内容。</w:t>
      </w:r>
    </w:p>
    <w:p w14:paraId="6B5B1FCB">
      <w:pPr>
        <w:tabs>
          <w:tab w:val="left" w:pos="55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3）对于多标的的采购项目，供应商应充分、准确地了解所投产品制造企业信息。对相关情况了解不清楚的，不建议填报本声明函。</w:t>
      </w:r>
    </w:p>
    <w:p w14:paraId="7F3E1310">
      <w:pPr>
        <w:widowControl/>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关于印发中小企业划型标准规定的通知（工信部联企业﹝2011﹞300 号）》及本项目文件规定的中小企业划分标准所属行业执行。</w:t>
      </w:r>
    </w:p>
    <w:p w14:paraId="073A300F">
      <w:pPr>
        <w:spacing w:before="240" w:beforeLines="100" w:after="240" w:afterLines="100" w:line="360" w:lineRule="auto"/>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r>
        <w:rPr>
          <w:rFonts w:hint="eastAsia" w:ascii="宋体" w:hAnsi="宋体" w:eastAsia="宋体" w:cs="宋体"/>
          <w:b/>
          <w:bCs/>
          <w:color w:val="auto"/>
          <w:sz w:val="24"/>
          <w:highlight w:val="none"/>
        </w:rPr>
        <w:t>2-1-1 中小企业声明函及残疾人福利性单位声明函格式</w:t>
      </w:r>
    </w:p>
    <w:p w14:paraId="58B7D73E">
      <w:pPr>
        <w:spacing w:before="240" w:beforeLines="100" w:after="240" w:afterLines="100" w:line="360" w:lineRule="auto"/>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中小企业声明函</w:t>
      </w:r>
    </w:p>
    <w:p w14:paraId="05CCC517">
      <w:pPr>
        <w:spacing w:line="360" w:lineRule="auto"/>
        <w:ind w:firstLine="504"/>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本公司（联合体）郑重声明，根据《政府采购促进中小企业发展管理办法》（财库 ﹝2020﹞46号）的规定，本公司（联合体）参加</w:t>
      </w:r>
      <w:r>
        <w:rPr>
          <w:rFonts w:hint="eastAsia" w:ascii="宋体" w:hAnsi="宋体" w:eastAsia="宋体" w:cs="宋体"/>
          <w:color w:val="auto"/>
          <w:spacing w:val="6"/>
          <w:sz w:val="24"/>
          <w:highlight w:val="none"/>
          <w:u w:val="single"/>
        </w:rPr>
        <w:t>（单位名称）</w:t>
      </w:r>
      <w:r>
        <w:rPr>
          <w:rFonts w:hint="eastAsia" w:ascii="宋体" w:hAnsi="宋体" w:eastAsia="宋体" w:cs="宋体"/>
          <w:color w:val="auto"/>
          <w:spacing w:val="6"/>
          <w:sz w:val="24"/>
          <w:highlight w:val="none"/>
        </w:rPr>
        <w:t>的</w:t>
      </w:r>
      <w:r>
        <w:rPr>
          <w:rFonts w:hint="eastAsia" w:ascii="宋体" w:hAnsi="宋体" w:eastAsia="宋体" w:cs="宋体"/>
          <w:color w:val="auto"/>
          <w:spacing w:val="6"/>
          <w:sz w:val="24"/>
          <w:highlight w:val="none"/>
          <w:u w:val="single"/>
        </w:rPr>
        <w:t>（项目名称）</w:t>
      </w:r>
      <w:r>
        <w:rPr>
          <w:rFonts w:hint="eastAsia" w:ascii="宋体" w:hAnsi="宋体" w:eastAsia="宋体" w:cs="宋体"/>
          <w:color w:val="auto"/>
          <w:spacing w:val="6"/>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 </w:t>
      </w:r>
    </w:p>
    <w:p w14:paraId="13440829">
      <w:pPr>
        <w:spacing w:line="360" w:lineRule="auto"/>
        <w:ind w:firstLine="504"/>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1.</w:t>
      </w:r>
      <w:r>
        <w:rPr>
          <w:rFonts w:hint="eastAsia" w:ascii="宋体" w:hAnsi="宋体" w:eastAsia="宋体" w:cs="宋体"/>
          <w:color w:val="auto"/>
          <w:spacing w:val="6"/>
          <w:sz w:val="24"/>
          <w:highlight w:val="none"/>
          <w:u w:val="single"/>
        </w:rPr>
        <w:t>（标的名称）</w:t>
      </w:r>
      <w:r>
        <w:rPr>
          <w:rFonts w:hint="eastAsia" w:ascii="宋体" w:hAnsi="宋体" w:eastAsia="宋体" w:cs="宋体"/>
          <w:color w:val="auto"/>
          <w:spacing w:val="6"/>
          <w:sz w:val="24"/>
          <w:highlight w:val="none"/>
        </w:rPr>
        <w:t>，属于</w:t>
      </w:r>
      <w:r>
        <w:rPr>
          <w:rFonts w:hint="eastAsia" w:ascii="宋体" w:hAnsi="宋体" w:eastAsia="宋体" w:cs="宋体"/>
          <w:color w:val="auto"/>
          <w:spacing w:val="6"/>
          <w:sz w:val="24"/>
          <w:highlight w:val="none"/>
          <w:u w:val="single"/>
        </w:rPr>
        <w:t>（采购文件中明确的所属行业）</w:t>
      </w:r>
      <w:r>
        <w:rPr>
          <w:rFonts w:hint="eastAsia" w:ascii="宋体" w:hAnsi="宋体" w:eastAsia="宋体" w:cs="宋体"/>
          <w:color w:val="auto"/>
          <w:spacing w:val="6"/>
          <w:sz w:val="24"/>
          <w:highlight w:val="none"/>
        </w:rPr>
        <w:t>；承建（承接）企业为</w:t>
      </w:r>
      <w:r>
        <w:rPr>
          <w:rFonts w:hint="eastAsia" w:ascii="宋体" w:hAnsi="宋体" w:eastAsia="宋体" w:cs="宋体"/>
          <w:color w:val="auto"/>
          <w:spacing w:val="6"/>
          <w:sz w:val="24"/>
          <w:highlight w:val="none"/>
          <w:u w:val="single"/>
        </w:rPr>
        <w:t>（企业名称）</w:t>
      </w:r>
      <w:r>
        <w:rPr>
          <w:rFonts w:hint="eastAsia" w:ascii="宋体" w:hAnsi="宋体" w:eastAsia="宋体" w:cs="宋体"/>
          <w:color w:val="auto"/>
          <w:spacing w:val="6"/>
          <w:sz w:val="24"/>
          <w:highlight w:val="none"/>
        </w:rPr>
        <w:t>，从业人员</w:t>
      </w:r>
      <w:r>
        <w:rPr>
          <w:rFonts w:hint="eastAsia" w:ascii="宋体" w:hAnsi="宋体" w:eastAsia="宋体" w:cs="宋体"/>
          <w:highlight w:val="none"/>
          <w:u w:val="single"/>
        </w:rPr>
        <w:t xml:space="preserve">   </w:t>
      </w:r>
      <w:r>
        <w:rPr>
          <w:rFonts w:hint="eastAsia" w:ascii="宋体" w:hAnsi="宋体" w:eastAsia="宋体" w:cs="宋体"/>
          <w:color w:val="auto"/>
          <w:spacing w:val="6"/>
          <w:sz w:val="24"/>
          <w:highlight w:val="none"/>
        </w:rPr>
        <w:t>人，营业收入为</w:t>
      </w:r>
      <w:r>
        <w:rPr>
          <w:rFonts w:hint="eastAsia" w:ascii="宋体" w:hAnsi="宋体" w:eastAsia="宋体" w:cs="宋体"/>
          <w:highlight w:val="none"/>
          <w:u w:val="single"/>
        </w:rPr>
        <w:t xml:space="preserve">   </w:t>
      </w:r>
      <w:r>
        <w:rPr>
          <w:rFonts w:hint="eastAsia" w:ascii="宋体" w:hAnsi="宋体" w:eastAsia="宋体" w:cs="宋体"/>
          <w:color w:val="auto"/>
          <w:spacing w:val="6"/>
          <w:sz w:val="24"/>
          <w:highlight w:val="none"/>
        </w:rPr>
        <w:t>万元，资产总额为</w:t>
      </w:r>
      <w:r>
        <w:rPr>
          <w:rFonts w:hint="eastAsia" w:ascii="宋体" w:hAnsi="宋体" w:eastAsia="宋体" w:cs="宋体"/>
          <w:highlight w:val="none"/>
          <w:u w:val="single"/>
        </w:rPr>
        <w:t xml:space="preserve">   </w:t>
      </w:r>
      <w:r>
        <w:rPr>
          <w:rFonts w:hint="eastAsia" w:ascii="宋体" w:hAnsi="宋体" w:eastAsia="宋体" w:cs="宋体"/>
          <w:color w:val="auto"/>
          <w:spacing w:val="6"/>
          <w:sz w:val="24"/>
          <w:highlight w:val="none"/>
        </w:rPr>
        <w:t>万元，属于</w:t>
      </w:r>
      <w:r>
        <w:rPr>
          <w:rFonts w:hint="eastAsia" w:ascii="宋体" w:hAnsi="宋体" w:eastAsia="宋体" w:cs="宋体"/>
          <w:color w:val="auto"/>
          <w:spacing w:val="6"/>
          <w:sz w:val="24"/>
          <w:highlight w:val="none"/>
          <w:u w:val="none"/>
        </w:rPr>
        <w:t>（中型企业、小型企业、微型企业）</w:t>
      </w:r>
      <w:r>
        <w:rPr>
          <w:rFonts w:hint="eastAsia" w:ascii="宋体" w:hAnsi="宋体" w:eastAsia="宋体" w:cs="宋体"/>
          <w:color w:val="auto"/>
          <w:spacing w:val="6"/>
          <w:sz w:val="24"/>
          <w:highlight w:val="none"/>
        </w:rPr>
        <w:t xml:space="preserve">； </w:t>
      </w:r>
    </w:p>
    <w:p w14:paraId="54EACC7F">
      <w:pPr>
        <w:spacing w:line="360" w:lineRule="auto"/>
        <w:ind w:firstLine="504"/>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2.</w:t>
      </w:r>
      <w:r>
        <w:rPr>
          <w:rFonts w:hint="eastAsia" w:ascii="宋体" w:hAnsi="宋体" w:eastAsia="宋体" w:cs="宋体"/>
          <w:color w:val="auto"/>
          <w:spacing w:val="6"/>
          <w:sz w:val="24"/>
          <w:highlight w:val="none"/>
          <w:u w:val="single"/>
        </w:rPr>
        <w:t>（标的名称）</w:t>
      </w:r>
      <w:r>
        <w:rPr>
          <w:rFonts w:hint="eastAsia" w:ascii="宋体" w:hAnsi="宋体" w:eastAsia="宋体" w:cs="宋体"/>
          <w:color w:val="auto"/>
          <w:spacing w:val="6"/>
          <w:sz w:val="24"/>
          <w:highlight w:val="none"/>
        </w:rPr>
        <w:t>，属于</w:t>
      </w:r>
      <w:r>
        <w:rPr>
          <w:rFonts w:hint="eastAsia" w:ascii="宋体" w:hAnsi="宋体" w:eastAsia="宋体" w:cs="宋体"/>
          <w:color w:val="auto"/>
          <w:spacing w:val="6"/>
          <w:sz w:val="24"/>
          <w:highlight w:val="none"/>
          <w:u w:val="single"/>
        </w:rPr>
        <w:t>（采购文件中明确的所属行业）</w:t>
      </w:r>
      <w:r>
        <w:rPr>
          <w:rFonts w:hint="eastAsia" w:ascii="宋体" w:hAnsi="宋体" w:eastAsia="宋体" w:cs="宋体"/>
          <w:color w:val="auto"/>
          <w:spacing w:val="6"/>
          <w:sz w:val="24"/>
          <w:highlight w:val="none"/>
        </w:rPr>
        <w:t>；承建（承接）企业为</w:t>
      </w:r>
      <w:r>
        <w:rPr>
          <w:rFonts w:hint="eastAsia" w:ascii="宋体" w:hAnsi="宋体" w:eastAsia="宋体" w:cs="宋体"/>
          <w:color w:val="auto"/>
          <w:spacing w:val="6"/>
          <w:sz w:val="24"/>
          <w:highlight w:val="none"/>
          <w:u w:val="single"/>
        </w:rPr>
        <w:t>（企业名称）</w:t>
      </w:r>
      <w:r>
        <w:rPr>
          <w:rFonts w:hint="eastAsia" w:ascii="宋体" w:hAnsi="宋体" w:eastAsia="宋体" w:cs="宋体"/>
          <w:color w:val="auto"/>
          <w:spacing w:val="6"/>
          <w:sz w:val="24"/>
          <w:highlight w:val="none"/>
        </w:rPr>
        <w:t>，从业人员</w:t>
      </w:r>
      <w:r>
        <w:rPr>
          <w:rFonts w:hint="eastAsia" w:ascii="宋体" w:hAnsi="宋体" w:eastAsia="宋体" w:cs="宋体"/>
          <w:highlight w:val="none"/>
          <w:u w:val="single"/>
        </w:rPr>
        <w:t xml:space="preserve">   </w:t>
      </w:r>
      <w:r>
        <w:rPr>
          <w:rFonts w:hint="eastAsia" w:ascii="宋体" w:hAnsi="宋体" w:eastAsia="宋体" w:cs="宋体"/>
          <w:color w:val="auto"/>
          <w:spacing w:val="6"/>
          <w:sz w:val="24"/>
          <w:highlight w:val="none"/>
        </w:rPr>
        <w:t>人，营业收入为</w:t>
      </w:r>
      <w:r>
        <w:rPr>
          <w:rFonts w:hint="eastAsia" w:ascii="宋体" w:hAnsi="宋体" w:eastAsia="宋体" w:cs="宋体"/>
          <w:highlight w:val="none"/>
          <w:u w:val="single"/>
        </w:rPr>
        <w:t xml:space="preserve">   </w:t>
      </w:r>
      <w:r>
        <w:rPr>
          <w:rFonts w:hint="eastAsia" w:ascii="宋体" w:hAnsi="宋体" w:eastAsia="宋体" w:cs="宋体"/>
          <w:color w:val="auto"/>
          <w:spacing w:val="6"/>
          <w:sz w:val="24"/>
          <w:highlight w:val="none"/>
        </w:rPr>
        <w:t>万元，资产总额为</w:t>
      </w:r>
      <w:r>
        <w:rPr>
          <w:rFonts w:hint="eastAsia" w:ascii="宋体" w:hAnsi="宋体" w:eastAsia="宋体" w:cs="宋体"/>
          <w:highlight w:val="none"/>
          <w:u w:val="single"/>
        </w:rPr>
        <w:t xml:space="preserve">   </w:t>
      </w:r>
      <w:r>
        <w:rPr>
          <w:rFonts w:hint="eastAsia" w:ascii="宋体" w:hAnsi="宋体" w:eastAsia="宋体" w:cs="宋体"/>
          <w:color w:val="auto"/>
          <w:spacing w:val="6"/>
          <w:sz w:val="24"/>
          <w:highlight w:val="none"/>
        </w:rPr>
        <w:t>万元，属于</w:t>
      </w:r>
      <w:r>
        <w:rPr>
          <w:rFonts w:hint="eastAsia" w:ascii="宋体" w:hAnsi="宋体" w:eastAsia="宋体" w:cs="宋体"/>
          <w:color w:val="auto"/>
          <w:spacing w:val="6"/>
          <w:sz w:val="24"/>
          <w:highlight w:val="none"/>
          <w:u w:val="none"/>
        </w:rPr>
        <w:t>（</w:t>
      </w:r>
      <w:r>
        <w:rPr>
          <w:rFonts w:hint="eastAsia" w:ascii="宋体" w:hAnsi="宋体" w:eastAsia="宋体" w:cs="宋体"/>
          <w:color w:val="auto"/>
          <w:spacing w:val="6"/>
          <w:sz w:val="24"/>
          <w:highlight w:val="none"/>
          <w:u w:val="single"/>
        </w:rPr>
        <w:t>中型企业、小型企业、微型企业</w:t>
      </w:r>
      <w:r>
        <w:rPr>
          <w:rFonts w:hint="eastAsia" w:ascii="宋体" w:hAnsi="宋体" w:eastAsia="宋体" w:cs="宋体"/>
          <w:color w:val="auto"/>
          <w:spacing w:val="6"/>
          <w:sz w:val="24"/>
          <w:highlight w:val="none"/>
          <w:u w:val="none"/>
        </w:rPr>
        <w:t xml:space="preserve">）； </w:t>
      </w:r>
    </w:p>
    <w:p w14:paraId="03767482">
      <w:pPr>
        <w:spacing w:line="360" w:lineRule="auto"/>
        <w:ind w:firstLine="504"/>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w:t>
      </w:r>
    </w:p>
    <w:p w14:paraId="3505AB00">
      <w:pPr>
        <w:spacing w:line="360" w:lineRule="auto"/>
        <w:ind w:firstLine="504"/>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以上企业，不属于大企业的分支机构，不存在控股股东为大企业的情形，也不存在与大企业的负责人为同一人的情形。</w:t>
      </w:r>
    </w:p>
    <w:p w14:paraId="1C70F1AF">
      <w:pPr>
        <w:spacing w:line="360" w:lineRule="auto"/>
        <w:ind w:firstLine="504"/>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本企业对上述声明内容的真实性负责。如有虚假，将依法承担相应责任。</w:t>
      </w:r>
    </w:p>
    <w:p w14:paraId="750666A9">
      <w:pPr>
        <w:spacing w:line="360" w:lineRule="auto"/>
        <w:ind w:right="360" w:firstLine="480"/>
        <w:jc w:val="right"/>
        <w:rPr>
          <w:rFonts w:hint="eastAsia" w:ascii="宋体" w:hAnsi="宋体" w:eastAsia="宋体" w:cs="宋体"/>
          <w:color w:val="auto"/>
          <w:sz w:val="24"/>
          <w:highlight w:val="none"/>
        </w:rPr>
      </w:pPr>
    </w:p>
    <w:p w14:paraId="067B082C">
      <w:pPr>
        <w:spacing w:line="360" w:lineRule="auto"/>
        <w:ind w:right="360" w:firstLine="48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企业名称（盖章）：______</w:t>
      </w:r>
    </w:p>
    <w:p w14:paraId="586BEA6C">
      <w:pPr>
        <w:spacing w:line="360" w:lineRule="auto"/>
        <w:ind w:right="360" w:firstLine="48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日 期：______</w:t>
      </w:r>
    </w:p>
    <w:p w14:paraId="3C7C8B8A">
      <w:pPr>
        <w:adjustRightInd w:val="0"/>
        <w:snapToGrid w:val="0"/>
        <w:jc w:val="left"/>
        <w:rPr>
          <w:rFonts w:hint="eastAsia" w:ascii="宋体" w:hAnsi="宋体" w:eastAsia="宋体" w:cs="宋体"/>
          <w:color w:val="auto"/>
          <w:sz w:val="24"/>
          <w:szCs w:val="21"/>
          <w:highlight w:val="none"/>
        </w:rPr>
      </w:pPr>
    </w:p>
    <w:p w14:paraId="4F88F0EA">
      <w:pPr>
        <w:adjustRightInd w:val="0"/>
        <w:snapToGrid w:val="0"/>
        <w:jc w:val="left"/>
        <w:rPr>
          <w:rFonts w:hint="eastAsia" w:ascii="宋体" w:hAnsi="宋体" w:eastAsia="宋体" w:cs="宋体"/>
          <w:color w:val="auto"/>
          <w:sz w:val="24"/>
          <w:szCs w:val="21"/>
          <w:highlight w:val="none"/>
        </w:rPr>
      </w:pPr>
    </w:p>
    <w:tbl>
      <w:tblPr>
        <w:tblStyle w:val="18"/>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2CA78196">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val="0"/>
            <w:vAlign w:val="top"/>
          </w:tcPr>
          <w:p w14:paraId="1BFE0C1D">
            <w:pPr>
              <w:adjustRightInd w:val="0"/>
              <w:snapToGrid w:val="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vertAlign w:val="superscript"/>
              </w:rPr>
              <w:t>1</w:t>
            </w:r>
            <w:r>
              <w:rPr>
                <w:rFonts w:hint="eastAsia" w:ascii="宋体" w:hAnsi="宋体" w:eastAsia="宋体" w:cs="宋体"/>
                <w:color w:val="auto"/>
                <w:szCs w:val="21"/>
                <w:highlight w:val="none"/>
              </w:rPr>
              <w:t>从业人员、营业收入、资产总额填报上一年度数据，无上一年度数据的新成立企业可不填报。</w:t>
            </w:r>
          </w:p>
        </w:tc>
      </w:tr>
    </w:tbl>
    <w:p w14:paraId="38C292A7">
      <w:pPr>
        <w:adjustRightInd w:val="0"/>
        <w:snapToGrid w:val="0"/>
        <w:jc w:val="left"/>
        <w:rPr>
          <w:rFonts w:hint="eastAsia" w:ascii="宋体" w:hAnsi="宋体" w:eastAsia="宋体" w:cs="宋体"/>
          <w:color w:val="auto"/>
          <w:szCs w:val="21"/>
          <w:highlight w:val="none"/>
          <w:vertAlign w:val="superscript"/>
        </w:rPr>
      </w:pPr>
    </w:p>
    <w:p w14:paraId="7AC3C071">
      <w:pPr>
        <w:spacing w:line="360" w:lineRule="auto"/>
        <w:ind w:right="360" w:firstLine="480"/>
        <w:jc w:val="right"/>
        <w:rPr>
          <w:rFonts w:hint="eastAsia" w:ascii="宋体" w:hAnsi="宋体" w:eastAsia="宋体" w:cs="宋体"/>
          <w:color w:val="auto"/>
          <w:sz w:val="24"/>
          <w:highlight w:val="none"/>
        </w:rPr>
      </w:pPr>
    </w:p>
    <w:p w14:paraId="35FDE5EB">
      <w:pPr>
        <w:spacing w:line="360" w:lineRule="auto"/>
        <w:ind w:right="360" w:firstLine="480"/>
        <w:jc w:val="right"/>
        <w:rPr>
          <w:rFonts w:hint="eastAsia" w:ascii="宋体" w:hAnsi="宋体" w:eastAsia="宋体" w:cs="宋体"/>
          <w:color w:val="auto"/>
          <w:sz w:val="24"/>
          <w:highlight w:val="none"/>
        </w:rPr>
      </w:pPr>
    </w:p>
    <w:p w14:paraId="533B166B">
      <w:pPr>
        <w:spacing w:line="360" w:lineRule="auto"/>
        <w:jc w:val="center"/>
        <w:outlineLvl w:val="2"/>
        <w:rPr>
          <w:rFonts w:hint="eastAsia" w:ascii="宋体" w:hAnsi="宋体" w:eastAsia="宋体" w:cs="宋体"/>
          <w:b/>
          <w:color w:val="auto"/>
          <w:sz w:val="36"/>
          <w:szCs w:val="36"/>
          <w:highlight w:val="none"/>
        </w:rPr>
      </w:pPr>
      <w:r>
        <w:rPr>
          <w:rFonts w:hint="eastAsia" w:ascii="宋体" w:hAnsi="宋体" w:eastAsia="宋体" w:cs="宋体"/>
          <w:color w:val="auto"/>
          <w:sz w:val="24"/>
          <w:szCs w:val="20"/>
          <w:highlight w:val="none"/>
        </w:rPr>
        <w:br w:type="page"/>
      </w:r>
      <w:r>
        <w:rPr>
          <w:rFonts w:hint="eastAsia" w:ascii="宋体" w:hAnsi="宋体" w:eastAsia="宋体" w:cs="宋体"/>
          <w:b/>
          <w:bCs/>
          <w:color w:val="auto"/>
          <w:sz w:val="36"/>
          <w:szCs w:val="36"/>
          <w:highlight w:val="none"/>
        </w:rPr>
        <w:t>残疾人福利性单位声明函格式</w:t>
      </w:r>
    </w:p>
    <w:p w14:paraId="69B26313">
      <w:pPr>
        <w:spacing w:line="588" w:lineRule="exact"/>
        <w:ind w:firstLine="504"/>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本单位郑重声明，根据《财政部 民政部 中国残疾人联合会关于促进残疾人就业政府采购政策的通知》（财库</w:t>
      </w:r>
      <w:r>
        <w:rPr>
          <w:rFonts w:hint="eastAsia" w:ascii="宋体" w:hAnsi="宋体" w:eastAsia="宋体" w:cs="宋体"/>
          <w:color w:val="auto"/>
          <w:sz w:val="24"/>
          <w:highlight w:val="none"/>
        </w:rPr>
        <w:t>〔2017〕 141</w:t>
      </w:r>
      <w:r>
        <w:rPr>
          <w:rFonts w:hint="eastAsia" w:ascii="宋体" w:hAnsi="宋体" w:eastAsia="宋体" w:cs="宋体"/>
          <w:color w:val="auto"/>
          <w:spacing w:val="6"/>
          <w:sz w:val="24"/>
          <w:highlight w:val="none"/>
        </w:rPr>
        <w:t>号）的规定，本单位</w:t>
      </w:r>
      <w:r>
        <w:rPr>
          <w:rFonts w:hint="eastAsia" w:ascii="宋体" w:hAnsi="宋体" w:eastAsia="宋体" w:cs="宋体"/>
          <w:b/>
          <w:color w:val="auto"/>
          <w:sz w:val="24"/>
          <w:highlight w:val="none"/>
        </w:rPr>
        <w:t>（请进行</w:t>
      </w:r>
      <w:r>
        <w:rPr>
          <w:rFonts w:hint="eastAsia" w:ascii="宋体" w:hAnsi="宋体" w:eastAsia="宋体" w:cs="宋体"/>
          <w:b/>
          <w:color w:val="auto"/>
          <w:sz w:val="24"/>
          <w:highlight w:val="none"/>
          <w:lang w:val="en-US" w:eastAsia="zh-CN"/>
        </w:rPr>
        <w:t>选择</w:t>
      </w:r>
      <w:r>
        <w:rPr>
          <w:rFonts w:hint="eastAsia" w:ascii="宋体" w:hAnsi="宋体" w:eastAsia="宋体" w:cs="宋体"/>
          <w:b/>
          <w:color w:val="auto"/>
          <w:sz w:val="24"/>
          <w:highlight w:val="none"/>
        </w:rPr>
        <w:t>）</w:t>
      </w:r>
      <w:r>
        <w:rPr>
          <w:rFonts w:hint="eastAsia" w:ascii="宋体" w:hAnsi="宋体" w:eastAsia="宋体" w:cs="宋体"/>
          <w:color w:val="auto"/>
          <w:spacing w:val="6"/>
          <w:sz w:val="24"/>
          <w:highlight w:val="none"/>
        </w:rPr>
        <w:t>：</w:t>
      </w:r>
    </w:p>
    <w:p w14:paraId="074C236D">
      <w:pPr>
        <w:spacing w:line="588" w:lineRule="exact"/>
        <w:ind w:firstLine="482"/>
        <w:rPr>
          <w:rFonts w:hint="eastAsia" w:ascii="宋体" w:hAnsi="宋体" w:eastAsia="宋体" w:cs="宋体"/>
          <w:b/>
          <w:color w:val="auto"/>
          <w:spacing w:val="6"/>
          <w:sz w:val="24"/>
          <w:highlight w:val="none"/>
        </w:rPr>
      </w:pPr>
      <w:r>
        <w:rPr>
          <w:rFonts w:hint="eastAsia" w:ascii="宋体" w:hAnsi="宋体" w:eastAsia="宋体" w:cs="宋体"/>
          <w:b/>
          <w:color w:val="auto"/>
          <w:sz w:val="24"/>
          <w:highlight w:val="none"/>
        </w:rPr>
        <w:t>□</w:t>
      </w:r>
      <w:r>
        <w:rPr>
          <w:rFonts w:hint="eastAsia" w:ascii="宋体" w:hAnsi="宋体" w:eastAsia="宋体" w:cs="宋体"/>
          <w:b/>
          <w:color w:val="auto"/>
          <w:spacing w:val="6"/>
          <w:sz w:val="24"/>
          <w:highlight w:val="none"/>
        </w:rPr>
        <w:t>不属于符合条件的残疾人福利性单位。</w:t>
      </w:r>
    </w:p>
    <w:p w14:paraId="72014684">
      <w:pPr>
        <w:spacing w:line="588" w:lineRule="exact"/>
        <w:ind w:firstLine="482"/>
        <w:rPr>
          <w:rFonts w:hint="eastAsia" w:ascii="宋体" w:hAnsi="宋体" w:eastAsia="宋体" w:cs="宋体"/>
          <w:color w:val="auto"/>
          <w:spacing w:val="6"/>
          <w:sz w:val="24"/>
          <w:highlight w:val="none"/>
        </w:rPr>
      </w:pPr>
      <w:r>
        <w:rPr>
          <w:rFonts w:hint="eastAsia" w:ascii="宋体" w:hAnsi="宋体" w:eastAsia="宋体" w:cs="宋体"/>
          <w:b/>
          <w:color w:val="auto"/>
          <w:sz w:val="24"/>
          <w:highlight w:val="none"/>
        </w:rPr>
        <w:t>□</w:t>
      </w:r>
      <w:r>
        <w:rPr>
          <w:rFonts w:hint="eastAsia" w:ascii="宋体" w:hAnsi="宋体" w:eastAsia="宋体" w:cs="宋体"/>
          <w:b/>
          <w:color w:val="auto"/>
          <w:spacing w:val="6"/>
          <w:sz w:val="24"/>
          <w:highlight w:val="none"/>
        </w:rPr>
        <w:t>属于符合条件的残疾人福利性单位，</w:t>
      </w:r>
      <w:r>
        <w:rPr>
          <w:rFonts w:hint="eastAsia" w:ascii="宋体" w:hAnsi="宋体" w:eastAsia="宋体" w:cs="宋体"/>
          <w:color w:val="auto"/>
          <w:spacing w:val="6"/>
          <w:sz w:val="24"/>
          <w:highlight w:val="none"/>
        </w:rPr>
        <w:t>且本单位参加</w:t>
      </w:r>
      <w:r>
        <w:rPr>
          <w:rFonts w:hint="eastAsia" w:ascii="宋体" w:hAnsi="宋体" w:eastAsia="宋体" w:cs="宋体"/>
          <w:color w:val="auto"/>
          <w:sz w:val="24"/>
          <w:highlight w:val="none"/>
        </w:rPr>
        <w:t>______</w:t>
      </w:r>
      <w:r>
        <w:rPr>
          <w:rFonts w:hint="eastAsia" w:ascii="宋体" w:hAnsi="宋体" w:eastAsia="宋体" w:cs="宋体"/>
          <w:color w:val="auto"/>
          <w:spacing w:val="6"/>
          <w:sz w:val="24"/>
          <w:highlight w:val="none"/>
        </w:rPr>
        <w:t>单位的</w:t>
      </w:r>
      <w:r>
        <w:rPr>
          <w:rFonts w:hint="eastAsia" w:ascii="宋体" w:hAnsi="宋体" w:eastAsia="宋体" w:cs="宋体"/>
          <w:color w:val="auto"/>
          <w:sz w:val="24"/>
          <w:highlight w:val="none"/>
        </w:rPr>
        <w:t>______</w:t>
      </w:r>
      <w:r>
        <w:rPr>
          <w:rFonts w:hint="eastAsia" w:ascii="宋体" w:hAnsi="宋体" w:eastAsia="宋体" w:cs="宋体"/>
          <w:color w:val="auto"/>
          <w:spacing w:val="6"/>
          <w:sz w:val="24"/>
          <w:highlight w:val="none"/>
        </w:rPr>
        <w:t>项目采购活动提供本单位制造的货物（由本单位承担工程/提供服务），或者提供其他残疾人福利性单位制造的货物（不包括使用非残疾人福利性单位注册商标的货物）。</w:t>
      </w:r>
    </w:p>
    <w:p w14:paraId="099DDF50">
      <w:pPr>
        <w:spacing w:line="588" w:lineRule="exact"/>
        <w:ind w:firstLine="506" w:firstLineChars="200"/>
        <w:rPr>
          <w:rFonts w:hint="eastAsia" w:ascii="宋体" w:hAnsi="宋体" w:eastAsia="宋体" w:cs="宋体"/>
          <w:color w:val="auto"/>
          <w:spacing w:val="6"/>
          <w:sz w:val="24"/>
          <w:highlight w:val="none"/>
        </w:rPr>
      </w:pPr>
      <w:r>
        <w:rPr>
          <w:rFonts w:hint="eastAsia" w:ascii="宋体" w:hAnsi="宋体" w:eastAsia="宋体" w:cs="宋体"/>
          <w:b/>
          <w:color w:val="auto"/>
          <w:spacing w:val="6"/>
          <w:sz w:val="24"/>
          <w:highlight w:val="none"/>
        </w:rPr>
        <w:t>本单位对上述声明的真实性负责。如有虚假，将依法承担相应责任。</w:t>
      </w:r>
    </w:p>
    <w:p w14:paraId="73479653">
      <w:pPr>
        <w:spacing w:line="588" w:lineRule="exact"/>
        <w:ind w:firstLine="504" w:firstLineChars="200"/>
        <w:rPr>
          <w:rFonts w:hint="eastAsia" w:ascii="宋体" w:hAnsi="宋体" w:eastAsia="宋体" w:cs="宋体"/>
          <w:color w:val="auto"/>
          <w:spacing w:val="6"/>
          <w:sz w:val="24"/>
          <w:highlight w:val="none"/>
        </w:rPr>
      </w:pPr>
    </w:p>
    <w:p w14:paraId="6F00DF73">
      <w:pPr>
        <w:spacing w:line="588" w:lineRule="exact"/>
        <w:ind w:firstLine="504" w:firstLineChars="200"/>
        <w:rPr>
          <w:rFonts w:hint="eastAsia" w:ascii="宋体" w:hAnsi="宋体" w:eastAsia="宋体" w:cs="宋体"/>
          <w:color w:val="auto"/>
          <w:spacing w:val="6"/>
          <w:sz w:val="24"/>
          <w:highlight w:val="none"/>
        </w:rPr>
      </w:pPr>
    </w:p>
    <w:p w14:paraId="4BF2E4DF">
      <w:pPr>
        <w:tabs>
          <w:tab w:val="left" w:pos="4860"/>
        </w:tabs>
        <w:spacing w:line="588" w:lineRule="exact"/>
        <w:ind w:right="1560" w:firstLine="504" w:firstLineChars="200"/>
        <w:jc w:val="righ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          单位名称（盖章）：</w:t>
      </w:r>
      <w:r>
        <w:rPr>
          <w:rFonts w:hint="eastAsia" w:ascii="宋体" w:hAnsi="宋体" w:eastAsia="宋体" w:cs="宋体"/>
          <w:color w:val="auto"/>
          <w:sz w:val="24"/>
          <w:highlight w:val="none"/>
        </w:rPr>
        <w:t>______</w:t>
      </w:r>
    </w:p>
    <w:p w14:paraId="64DEA729">
      <w:pPr>
        <w:tabs>
          <w:tab w:val="left" w:pos="4860"/>
        </w:tabs>
        <w:spacing w:line="588" w:lineRule="exact"/>
        <w:ind w:right="1560" w:firstLine="504" w:firstLineChars="200"/>
        <w:jc w:val="right"/>
        <w:rPr>
          <w:rFonts w:hint="eastAsia" w:ascii="宋体" w:hAnsi="宋体" w:eastAsia="宋体" w:cs="宋体"/>
          <w:color w:val="auto"/>
          <w:sz w:val="24"/>
          <w:highlight w:val="none"/>
        </w:rPr>
      </w:pPr>
      <w:r>
        <w:rPr>
          <w:rFonts w:hint="eastAsia" w:ascii="宋体" w:hAnsi="宋体" w:eastAsia="宋体" w:cs="宋体"/>
          <w:color w:val="auto"/>
          <w:spacing w:val="6"/>
          <w:sz w:val="24"/>
          <w:highlight w:val="none"/>
        </w:rPr>
        <w:t xml:space="preserve">       日  期：</w:t>
      </w:r>
      <w:r>
        <w:rPr>
          <w:rFonts w:hint="eastAsia" w:ascii="宋体" w:hAnsi="宋体" w:eastAsia="宋体" w:cs="宋体"/>
          <w:color w:val="auto"/>
          <w:sz w:val="24"/>
          <w:highlight w:val="none"/>
        </w:rPr>
        <w:t>______</w:t>
      </w:r>
    </w:p>
    <w:p w14:paraId="375D5B90">
      <w:pPr>
        <w:keepNext w:val="0"/>
        <w:keepLines w:val="0"/>
        <w:widowControl/>
        <w:suppressLineNumbers w:val="0"/>
        <w:spacing w:line="360" w:lineRule="auto"/>
        <w:jc w:val="left"/>
        <w:rPr>
          <w:rFonts w:hint="eastAsia" w:ascii="宋体" w:hAnsi="宋体" w:eastAsia="宋体" w:cs="宋体"/>
          <w:highlight w:val="none"/>
        </w:rPr>
      </w:pPr>
      <w:r>
        <w:rPr>
          <w:rFonts w:hint="eastAsia" w:ascii="宋体" w:hAnsi="宋体" w:eastAsia="宋体" w:cs="宋体"/>
          <w:color w:val="auto"/>
          <w:sz w:val="24"/>
          <w:highlight w:val="none"/>
        </w:rPr>
        <w:br w:type="page"/>
      </w:r>
      <w:r>
        <w:rPr>
          <w:rFonts w:hint="eastAsia" w:ascii="宋体" w:hAnsi="宋体" w:eastAsia="宋体" w:cs="宋体"/>
          <w:color w:val="000000"/>
          <w:kern w:val="0"/>
          <w:sz w:val="24"/>
          <w:szCs w:val="24"/>
          <w:highlight w:val="none"/>
          <w:lang w:val="en-US" w:eastAsia="zh-CN" w:bidi="ar"/>
        </w:rPr>
        <w:t xml:space="preserve">2-1-2 拟分包情况说明及分包意向协议 </w:t>
      </w:r>
    </w:p>
    <w:p w14:paraId="59941DD3">
      <w:pPr>
        <w:keepNext w:val="0"/>
        <w:keepLines w:val="0"/>
        <w:widowControl/>
        <w:suppressLineNumbers w:val="0"/>
        <w:spacing w:line="360" w:lineRule="auto"/>
        <w:jc w:val="left"/>
        <w:rPr>
          <w:rFonts w:hint="eastAsia" w:ascii="宋体" w:hAnsi="宋体" w:eastAsia="宋体" w:cs="宋体"/>
          <w:highlight w:val="none"/>
        </w:rPr>
      </w:pPr>
      <w:r>
        <w:rPr>
          <w:rFonts w:hint="eastAsia" w:ascii="宋体" w:hAnsi="宋体" w:eastAsia="宋体" w:cs="宋体"/>
          <w:color w:val="000000"/>
          <w:kern w:val="0"/>
          <w:sz w:val="24"/>
          <w:szCs w:val="24"/>
          <w:highlight w:val="none"/>
          <w:lang w:val="en-US" w:eastAsia="zh-CN" w:bidi="ar"/>
        </w:rPr>
        <w:t xml:space="preserve">说明： </w:t>
      </w:r>
    </w:p>
    <w:p w14:paraId="63D3820E">
      <w:pPr>
        <w:keepNext w:val="0"/>
        <w:keepLines w:val="0"/>
        <w:widowControl/>
        <w:suppressLineNumbers w:val="0"/>
        <w:spacing w:line="360" w:lineRule="auto"/>
        <w:jc w:val="left"/>
        <w:rPr>
          <w:rFonts w:hint="eastAsia" w:ascii="宋体" w:hAnsi="宋体" w:eastAsia="宋体" w:cs="宋体"/>
          <w:highlight w:val="none"/>
        </w:rPr>
      </w:pPr>
      <w:r>
        <w:rPr>
          <w:rFonts w:hint="eastAsia" w:ascii="宋体" w:hAnsi="宋体" w:eastAsia="宋体" w:cs="宋体"/>
          <w:color w:val="000000"/>
          <w:kern w:val="0"/>
          <w:sz w:val="24"/>
          <w:szCs w:val="24"/>
          <w:highlight w:val="none"/>
          <w:lang w:val="en-US" w:eastAsia="zh-CN" w:bidi="ar"/>
        </w:rPr>
        <w:t xml:space="preserve">如本项目（包）允许分包，且供应商拟进行分包时， </w:t>
      </w:r>
    </w:p>
    <w:p w14:paraId="2477FFA4">
      <w:pPr>
        <w:keepNext w:val="0"/>
        <w:keepLines w:val="0"/>
        <w:widowControl/>
        <w:suppressLineNumbers w:val="0"/>
        <w:spacing w:line="360" w:lineRule="auto"/>
        <w:jc w:val="left"/>
        <w:rPr>
          <w:rFonts w:hint="eastAsia" w:ascii="宋体" w:hAnsi="宋体" w:eastAsia="宋体" w:cs="宋体"/>
          <w:highlight w:val="none"/>
        </w:rPr>
      </w:pPr>
      <w:r>
        <w:rPr>
          <w:rFonts w:hint="eastAsia" w:ascii="宋体" w:hAnsi="宋体" w:eastAsia="宋体" w:cs="宋体"/>
          <w:color w:val="000000"/>
          <w:kern w:val="0"/>
          <w:sz w:val="24"/>
          <w:szCs w:val="24"/>
          <w:highlight w:val="none"/>
          <w:lang w:val="en-US" w:eastAsia="zh-CN" w:bidi="ar"/>
        </w:rPr>
        <w:t>（1）响应文件中须提供《拟分包情况说明》，否则</w:t>
      </w:r>
      <w:r>
        <w:rPr>
          <w:rFonts w:hint="eastAsia" w:ascii="宋体" w:hAnsi="宋体" w:eastAsia="宋体" w:cs="宋体"/>
          <w:b/>
          <w:bCs/>
          <w:color w:val="000000"/>
          <w:kern w:val="0"/>
          <w:sz w:val="24"/>
          <w:szCs w:val="24"/>
          <w:highlight w:val="none"/>
          <w:lang w:val="en-US" w:eastAsia="zh-CN" w:bidi="ar"/>
        </w:rPr>
        <w:t>响应无效</w:t>
      </w:r>
      <w:r>
        <w:rPr>
          <w:rFonts w:hint="eastAsia" w:ascii="宋体" w:hAnsi="宋体" w:eastAsia="宋体" w:cs="宋体"/>
          <w:color w:val="000000"/>
          <w:kern w:val="0"/>
          <w:sz w:val="24"/>
          <w:szCs w:val="24"/>
          <w:highlight w:val="none"/>
          <w:lang w:val="en-US" w:eastAsia="zh-CN" w:bidi="ar"/>
        </w:rPr>
        <w:t xml:space="preserve">； </w:t>
      </w:r>
    </w:p>
    <w:p w14:paraId="6F0B28BF">
      <w:pPr>
        <w:keepNext w:val="0"/>
        <w:keepLines w:val="0"/>
        <w:widowControl/>
        <w:suppressLineNumbers w:val="0"/>
        <w:spacing w:line="360" w:lineRule="auto"/>
        <w:jc w:val="left"/>
        <w:rPr>
          <w:rFonts w:hint="eastAsia" w:ascii="宋体" w:hAnsi="宋体" w:eastAsia="宋体" w:cs="宋体"/>
          <w:highlight w:val="none"/>
        </w:rPr>
      </w:pPr>
      <w:r>
        <w:rPr>
          <w:rFonts w:hint="eastAsia" w:ascii="宋体" w:hAnsi="宋体" w:eastAsia="宋体" w:cs="宋体"/>
          <w:color w:val="000000"/>
          <w:kern w:val="0"/>
          <w:sz w:val="24"/>
          <w:szCs w:val="24"/>
          <w:highlight w:val="none"/>
          <w:lang w:val="en-US" w:eastAsia="zh-CN" w:bidi="ar"/>
        </w:rPr>
        <w:t>（2）当同时符合下列情形时，响应文件还须提供《分包意向协议》，否则</w:t>
      </w:r>
      <w:r>
        <w:rPr>
          <w:rFonts w:hint="eastAsia" w:ascii="宋体" w:hAnsi="宋体" w:eastAsia="宋体" w:cs="宋体"/>
          <w:b/>
          <w:bCs/>
          <w:color w:val="000000"/>
          <w:kern w:val="0"/>
          <w:sz w:val="24"/>
          <w:szCs w:val="24"/>
          <w:highlight w:val="none"/>
          <w:lang w:val="en-US" w:eastAsia="zh-CN" w:bidi="ar"/>
        </w:rPr>
        <w:t>响应无效</w:t>
      </w:r>
      <w:r>
        <w:rPr>
          <w:rFonts w:hint="eastAsia" w:ascii="宋体" w:hAnsi="宋体" w:eastAsia="宋体" w:cs="宋体"/>
          <w:color w:val="000000"/>
          <w:kern w:val="0"/>
          <w:sz w:val="24"/>
          <w:szCs w:val="24"/>
          <w:highlight w:val="none"/>
          <w:lang w:val="en-US" w:eastAsia="zh-CN" w:bidi="ar"/>
        </w:rPr>
        <w:t xml:space="preserve">： </w:t>
      </w:r>
    </w:p>
    <w:p w14:paraId="49A55A03">
      <w:pPr>
        <w:keepNext w:val="0"/>
        <w:keepLines w:val="0"/>
        <w:widowControl/>
        <w:suppressLineNumbers w:val="0"/>
        <w:spacing w:line="360" w:lineRule="auto"/>
        <w:ind w:firstLine="480" w:firstLineChars="200"/>
        <w:jc w:val="left"/>
        <w:rPr>
          <w:rFonts w:hint="eastAsia" w:ascii="宋体" w:hAnsi="宋体" w:eastAsia="宋体" w:cs="宋体"/>
          <w:highlight w:val="none"/>
        </w:rPr>
      </w:pPr>
      <w:r>
        <w:rPr>
          <w:rFonts w:hint="eastAsia" w:ascii="宋体" w:hAnsi="宋体" w:eastAsia="宋体" w:cs="宋体"/>
          <w:color w:val="000000"/>
          <w:kern w:val="0"/>
          <w:sz w:val="24"/>
          <w:szCs w:val="24"/>
          <w:highlight w:val="none"/>
          <w:lang w:val="en-US" w:eastAsia="zh-CN" w:bidi="ar"/>
        </w:rPr>
        <w:t xml:space="preserve">A. 本项目（包）预留部分采购项目预算专门面向中小企业采购，且要求获得采购 </w:t>
      </w:r>
    </w:p>
    <w:p w14:paraId="3F6D50FC">
      <w:pPr>
        <w:keepNext w:val="0"/>
        <w:keepLines w:val="0"/>
        <w:widowControl/>
        <w:suppressLineNumbers w:val="0"/>
        <w:spacing w:line="360" w:lineRule="auto"/>
        <w:ind w:firstLine="480" w:firstLineChars="200"/>
        <w:jc w:val="left"/>
        <w:rPr>
          <w:rFonts w:hint="eastAsia" w:ascii="宋体" w:hAnsi="宋体" w:eastAsia="宋体" w:cs="宋体"/>
          <w:highlight w:val="none"/>
        </w:rPr>
      </w:pPr>
      <w:r>
        <w:rPr>
          <w:rFonts w:hint="eastAsia" w:ascii="宋体" w:hAnsi="宋体" w:eastAsia="宋体" w:cs="宋体"/>
          <w:color w:val="000000"/>
          <w:kern w:val="0"/>
          <w:sz w:val="24"/>
          <w:szCs w:val="24"/>
          <w:highlight w:val="none"/>
          <w:lang w:val="en-US" w:eastAsia="zh-CN" w:bidi="ar"/>
        </w:rPr>
        <w:t xml:space="preserve">合同的供应商将采购项目中的一定比例分包给一家或者多家中小企业的； </w:t>
      </w:r>
    </w:p>
    <w:p w14:paraId="5FA45AD8">
      <w:pPr>
        <w:keepNext w:val="0"/>
        <w:keepLines w:val="0"/>
        <w:widowControl/>
        <w:suppressLineNumbers w:val="0"/>
        <w:spacing w:line="360" w:lineRule="auto"/>
        <w:ind w:firstLine="480" w:firstLineChars="200"/>
        <w:jc w:val="left"/>
        <w:rPr>
          <w:rFonts w:hint="eastAsia" w:ascii="宋体" w:hAnsi="宋体" w:eastAsia="宋体" w:cs="宋体"/>
          <w:highlight w:val="none"/>
        </w:rPr>
      </w:pPr>
      <w:r>
        <w:rPr>
          <w:rFonts w:hint="eastAsia" w:ascii="宋体" w:hAnsi="宋体" w:eastAsia="宋体" w:cs="宋体"/>
          <w:color w:val="000000"/>
          <w:kern w:val="0"/>
          <w:sz w:val="24"/>
          <w:szCs w:val="24"/>
          <w:highlight w:val="none"/>
          <w:lang w:val="en-US" w:eastAsia="zh-CN" w:bidi="ar"/>
        </w:rPr>
        <w:t xml:space="preserve">B. 供应商通过分包方式满足中小企业政策要求的。 </w:t>
      </w:r>
    </w:p>
    <w:p w14:paraId="5CD270AD">
      <w:pPr>
        <w:keepNext w:val="0"/>
        <w:keepLines w:val="0"/>
        <w:widowControl/>
        <w:suppressLineNumbers w:val="0"/>
        <w:spacing w:line="360" w:lineRule="auto"/>
        <w:jc w:val="left"/>
        <w:rPr>
          <w:highlight w:val="none"/>
        </w:rPr>
      </w:pPr>
      <w:r>
        <w:rPr>
          <w:rFonts w:hint="eastAsia" w:ascii="宋体" w:hAnsi="宋体" w:eastAsia="宋体" w:cs="宋体"/>
          <w:color w:val="000000"/>
          <w:kern w:val="0"/>
          <w:sz w:val="24"/>
          <w:szCs w:val="24"/>
          <w:highlight w:val="none"/>
          <w:lang w:val="en-US" w:eastAsia="zh-CN" w:bidi="ar"/>
        </w:rPr>
        <w:t xml:space="preserve">（3）不属于上述情形时，无须提供《拟分包情况说明》及《分包意向协议》。 </w:t>
      </w:r>
    </w:p>
    <w:p w14:paraId="152A7200">
      <w:pPr>
        <w:tabs>
          <w:tab w:val="left" w:pos="4860"/>
        </w:tabs>
        <w:spacing w:line="588" w:lineRule="exact"/>
        <w:ind w:right="1560" w:firstLine="504" w:firstLineChars="200"/>
        <w:jc w:val="right"/>
        <w:rPr>
          <w:rFonts w:hint="eastAsia" w:ascii="宋体" w:hAnsi="宋体" w:eastAsia="宋体" w:cs="宋体"/>
          <w:color w:val="auto"/>
          <w:spacing w:val="6"/>
          <w:sz w:val="24"/>
          <w:highlight w:val="none"/>
        </w:rPr>
      </w:pPr>
    </w:p>
    <w:p w14:paraId="5DFC29B5">
      <w:pPr>
        <w:widowControl/>
        <w:jc w:val="left"/>
        <w:rPr>
          <w:rFonts w:hint="eastAsia" w:ascii="宋体" w:hAnsi="宋体" w:eastAsia="宋体" w:cs="宋体"/>
          <w:color w:val="auto"/>
          <w:sz w:val="30"/>
          <w:szCs w:val="30"/>
          <w:highlight w:val="none"/>
        </w:rPr>
      </w:pPr>
      <w:r>
        <w:rPr>
          <w:rFonts w:hint="eastAsia" w:ascii="宋体" w:hAnsi="宋体" w:eastAsia="宋体" w:cs="宋体"/>
          <w:color w:val="auto"/>
          <w:sz w:val="24"/>
          <w:szCs w:val="20"/>
          <w:highlight w:val="none"/>
        </w:rPr>
        <w:br w:type="page"/>
      </w:r>
    </w:p>
    <w:p w14:paraId="2379006A">
      <w:pPr>
        <w:autoSpaceDE w:val="0"/>
        <w:autoSpaceDN w:val="0"/>
        <w:adjustRightInd w:val="0"/>
        <w:spacing w:line="360" w:lineRule="auto"/>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拟分包情况说明</w:t>
      </w:r>
    </w:p>
    <w:p w14:paraId="50921CB7">
      <w:pPr>
        <w:tabs>
          <w:tab w:val="left" w:pos="55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u w:val="single"/>
        </w:rPr>
        <w:t>（采购人或采购代理机构）</w:t>
      </w:r>
    </w:p>
    <w:p w14:paraId="43F3EB85">
      <w:pPr>
        <w:adjustRightInd w:val="0"/>
        <w:snapToGrid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我单位参加贵单位组织采购的项目编号为______的______项目（填写采购项目名称）中______包（填写包号）的磋商。拟签订分包合同的单位情况如下表所示，我单位承诺一旦在该项目中获得采购合同将按下表所列情况进行分包，同时承诺分包承担主体不再次分包。</w:t>
      </w:r>
    </w:p>
    <w:tbl>
      <w:tblPr>
        <w:tblStyle w:val="18"/>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7"/>
        <w:gridCol w:w="1286"/>
        <w:gridCol w:w="1512"/>
        <w:gridCol w:w="1125"/>
        <w:gridCol w:w="1560"/>
        <w:gridCol w:w="1497"/>
        <w:gridCol w:w="1563"/>
      </w:tblGrid>
      <w:tr w14:paraId="2B9021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03A2DE83">
            <w:pPr>
              <w:pStyle w:val="3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1286" w:type="dxa"/>
            <w:tcBorders>
              <w:top w:val="single" w:color="000000" w:sz="4" w:space="0"/>
              <w:left w:val="single" w:color="000000" w:sz="4" w:space="0"/>
              <w:bottom w:val="single" w:color="000000" w:sz="4" w:space="0"/>
              <w:right w:val="single" w:color="000000" w:sz="4" w:space="0"/>
            </w:tcBorders>
            <w:noWrap w:val="0"/>
            <w:vAlign w:val="center"/>
          </w:tcPr>
          <w:p w14:paraId="73966B9A">
            <w:pPr>
              <w:pStyle w:val="3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分包承担</w:t>
            </w:r>
          </w:p>
          <w:p w14:paraId="7DA3BDE0">
            <w:pPr>
              <w:pStyle w:val="3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主体名称</w:t>
            </w:r>
          </w:p>
        </w:tc>
        <w:tc>
          <w:tcPr>
            <w:tcW w:w="1512" w:type="dxa"/>
            <w:tcBorders>
              <w:top w:val="single" w:color="000000" w:sz="4" w:space="0"/>
              <w:left w:val="single" w:color="000000" w:sz="4" w:space="0"/>
              <w:bottom w:val="single" w:color="000000" w:sz="4" w:space="0"/>
              <w:right w:val="single" w:color="000000" w:sz="4" w:space="0"/>
            </w:tcBorders>
            <w:noWrap w:val="0"/>
            <w:vAlign w:val="center"/>
          </w:tcPr>
          <w:p w14:paraId="3422F6D8">
            <w:pPr>
              <w:pStyle w:val="38"/>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分包承担</w:t>
            </w:r>
          </w:p>
          <w:p w14:paraId="38C7AD2F">
            <w:pPr>
              <w:pStyle w:val="38"/>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主体类型</w:t>
            </w:r>
          </w:p>
          <w:p w14:paraId="5AC07554">
            <w:pPr>
              <w:pStyle w:val="38"/>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（勾选）</w:t>
            </w: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7023739B">
            <w:pPr>
              <w:pStyle w:val="3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资质等级</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684887A0">
            <w:pPr>
              <w:pStyle w:val="3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拟分包</w:t>
            </w:r>
          </w:p>
          <w:p w14:paraId="4CE2C71E">
            <w:pPr>
              <w:pStyle w:val="3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合同内容</w:t>
            </w:r>
          </w:p>
        </w:tc>
        <w:tc>
          <w:tcPr>
            <w:tcW w:w="1497" w:type="dxa"/>
            <w:tcBorders>
              <w:top w:val="single" w:color="000000" w:sz="4" w:space="0"/>
              <w:left w:val="single" w:color="000000" w:sz="4" w:space="0"/>
              <w:bottom w:val="single" w:color="000000" w:sz="4" w:space="0"/>
              <w:right w:val="single" w:color="000000" w:sz="4" w:space="0"/>
            </w:tcBorders>
            <w:noWrap w:val="0"/>
            <w:vAlign w:val="center"/>
          </w:tcPr>
          <w:p w14:paraId="36F05A0A">
            <w:pPr>
              <w:pStyle w:val="38"/>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拟分包</w:t>
            </w:r>
          </w:p>
          <w:p w14:paraId="21B825D9">
            <w:pPr>
              <w:pStyle w:val="38"/>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合同金额</w:t>
            </w:r>
          </w:p>
          <w:p w14:paraId="360272A7">
            <w:pPr>
              <w:pStyle w:val="38"/>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（人民币元）</w:t>
            </w:r>
          </w:p>
        </w:tc>
        <w:tc>
          <w:tcPr>
            <w:tcW w:w="1563" w:type="dxa"/>
            <w:tcBorders>
              <w:top w:val="single" w:color="000000" w:sz="4" w:space="0"/>
              <w:left w:val="single" w:color="000000" w:sz="4" w:space="0"/>
              <w:bottom w:val="single" w:color="000000" w:sz="4" w:space="0"/>
              <w:right w:val="single" w:color="000000" w:sz="4" w:space="0"/>
            </w:tcBorders>
            <w:noWrap w:val="0"/>
            <w:vAlign w:val="center"/>
          </w:tcPr>
          <w:p w14:paraId="210D8F0B">
            <w:pPr>
              <w:pStyle w:val="38"/>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占该采购包</w:t>
            </w:r>
          </w:p>
          <w:p w14:paraId="5053D04B">
            <w:pPr>
              <w:pStyle w:val="38"/>
              <w:jc w:val="center"/>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t>响应报价的</w:t>
            </w:r>
          </w:p>
          <w:p w14:paraId="3B63E370">
            <w:pPr>
              <w:pStyle w:val="38"/>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比例（%）</w:t>
            </w:r>
          </w:p>
        </w:tc>
      </w:tr>
      <w:tr w14:paraId="4686DE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1BCA07BA">
            <w:pPr>
              <w:pStyle w:val="3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1286" w:type="dxa"/>
            <w:tcBorders>
              <w:top w:val="single" w:color="000000" w:sz="4" w:space="0"/>
              <w:left w:val="single" w:color="000000" w:sz="4" w:space="0"/>
              <w:bottom w:val="single" w:color="000000" w:sz="4" w:space="0"/>
              <w:right w:val="single" w:color="000000" w:sz="4" w:space="0"/>
            </w:tcBorders>
            <w:noWrap w:val="0"/>
            <w:vAlign w:val="center"/>
          </w:tcPr>
          <w:p w14:paraId="63EC1926">
            <w:pPr>
              <w:pStyle w:val="38"/>
              <w:jc w:val="center"/>
              <w:rPr>
                <w:rFonts w:hint="eastAsia" w:ascii="宋体" w:hAnsi="宋体" w:eastAsia="宋体" w:cs="宋体"/>
                <w:color w:val="auto"/>
                <w:sz w:val="30"/>
                <w:highlight w:val="none"/>
              </w:rPr>
            </w:pPr>
          </w:p>
        </w:tc>
        <w:tc>
          <w:tcPr>
            <w:tcW w:w="1512" w:type="dxa"/>
            <w:tcBorders>
              <w:top w:val="single" w:color="000000" w:sz="4" w:space="0"/>
              <w:left w:val="single" w:color="000000" w:sz="4" w:space="0"/>
              <w:bottom w:val="single" w:color="000000" w:sz="4" w:space="0"/>
              <w:right w:val="single" w:color="000000" w:sz="4" w:space="0"/>
            </w:tcBorders>
            <w:noWrap w:val="0"/>
            <w:vAlign w:val="center"/>
          </w:tcPr>
          <w:p w14:paraId="11B74DF2">
            <w:pPr>
              <w:pStyle w:val="38"/>
              <w:tabs>
                <w:tab w:val="left" w:pos="235"/>
              </w:tabs>
              <w:ind w:left="1" w:leftChars="-43" w:hanging="91" w:hangingChars="38"/>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□中型企业</w:t>
            </w:r>
          </w:p>
          <w:p w14:paraId="002F8078">
            <w:pPr>
              <w:pStyle w:val="38"/>
              <w:tabs>
                <w:tab w:val="left" w:pos="235"/>
              </w:tabs>
              <w:ind w:left="1" w:leftChars="-43" w:hanging="91" w:hangingChars="38"/>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□小微企业</w:t>
            </w: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763C9200">
            <w:pPr>
              <w:pStyle w:val="38"/>
              <w:jc w:val="center"/>
              <w:rPr>
                <w:rFonts w:hint="eastAsia" w:ascii="宋体" w:hAnsi="宋体" w:eastAsia="宋体" w:cs="宋体"/>
                <w:color w:val="auto"/>
                <w:sz w:val="30"/>
                <w:highlight w:val="none"/>
                <w:lang w:eastAsia="zh-CN"/>
              </w:rPr>
            </w:pP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7FD3388C">
            <w:pPr>
              <w:pStyle w:val="38"/>
              <w:jc w:val="center"/>
              <w:rPr>
                <w:rFonts w:hint="eastAsia" w:ascii="宋体" w:hAnsi="宋体" w:eastAsia="宋体" w:cs="宋体"/>
                <w:color w:val="auto"/>
                <w:sz w:val="30"/>
                <w:highlight w:val="none"/>
                <w:lang w:eastAsia="zh-CN"/>
              </w:rPr>
            </w:pPr>
          </w:p>
        </w:tc>
        <w:tc>
          <w:tcPr>
            <w:tcW w:w="1497" w:type="dxa"/>
            <w:tcBorders>
              <w:top w:val="single" w:color="000000" w:sz="4" w:space="0"/>
              <w:left w:val="single" w:color="000000" w:sz="4" w:space="0"/>
              <w:bottom w:val="single" w:color="000000" w:sz="4" w:space="0"/>
              <w:right w:val="single" w:color="000000" w:sz="4" w:space="0"/>
            </w:tcBorders>
            <w:noWrap w:val="0"/>
            <w:vAlign w:val="center"/>
          </w:tcPr>
          <w:p w14:paraId="6F0BB872">
            <w:pPr>
              <w:pStyle w:val="38"/>
              <w:jc w:val="center"/>
              <w:rPr>
                <w:rFonts w:hint="eastAsia" w:ascii="宋体" w:hAnsi="宋体" w:eastAsia="宋体" w:cs="宋体"/>
                <w:color w:val="auto"/>
                <w:sz w:val="30"/>
                <w:highlight w:val="none"/>
                <w:lang w:eastAsia="zh-CN"/>
              </w:rPr>
            </w:pPr>
          </w:p>
        </w:tc>
        <w:tc>
          <w:tcPr>
            <w:tcW w:w="1563" w:type="dxa"/>
            <w:tcBorders>
              <w:top w:val="single" w:color="000000" w:sz="4" w:space="0"/>
              <w:left w:val="single" w:color="000000" w:sz="4" w:space="0"/>
              <w:bottom w:val="single" w:color="000000" w:sz="4" w:space="0"/>
              <w:right w:val="single" w:color="000000" w:sz="4" w:space="0"/>
            </w:tcBorders>
            <w:noWrap w:val="0"/>
            <w:vAlign w:val="center"/>
          </w:tcPr>
          <w:p w14:paraId="2532BBA9">
            <w:pPr>
              <w:pStyle w:val="38"/>
              <w:jc w:val="center"/>
              <w:rPr>
                <w:rFonts w:hint="eastAsia" w:ascii="宋体" w:hAnsi="宋体" w:eastAsia="宋体" w:cs="宋体"/>
                <w:color w:val="auto"/>
                <w:sz w:val="30"/>
                <w:highlight w:val="none"/>
                <w:lang w:eastAsia="zh-CN"/>
              </w:rPr>
            </w:pPr>
          </w:p>
        </w:tc>
      </w:tr>
      <w:tr w14:paraId="44A904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164FC436">
            <w:pPr>
              <w:pStyle w:val="38"/>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2</w:t>
            </w:r>
          </w:p>
        </w:tc>
        <w:tc>
          <w:tcPr>
            <w:tcW w:w="1286" w:type="dxa"/>
            <w:tcBorders>
              <w:top w:val="single" w:color="000000" w:sz="4" w:space="0"/>
              <w:left w:val="single" w:color="000000" w:sz="4" w:space="0"/>
              <w:bottom w:val="single" w:color="000000" w:sz="4" w:space="0"/>
              <w:right w:val="single" w:color="000000" w:sz="4" w:space="0"/>
            </w:tcBorders>
            <w:noWrap w:val="0"/>
            <w:vAlign w:val="center"/>
          </w:tcPr>
          <w:p w14:paraId="2F0A0016">
            <w:pPr>
              <w:pStyle w:val="38"/>
              <w:jc w:val="center"/>
              <w:rPr>
                <w:rFonts w:hint="eastAsia" w:ascii="宋体" w:hAnsi="宋体" w:eastAsia="宋体" w:cs="宋体"/>
                <w:color w:val="auto"/>
                <w:sz w:val="30"/>
                <w:highlight w:val="none"/>
              </w:rPr>
            </w:pPr>
          </w:p>
        </w:tc>
        <w:tc>
          <w:tcPr>
            <w:tcW w:w="1512" w:type="dxa"/>
            <w:tcBorders>
              <w:top w:val="single" w:color="000000" w:sz="4" w:space="0"/>
              <w:left w:val="single" w:color="000000" w:sz="4" w:space="0"/>
              <w:bottom w:val="single" w:color="000000" w:sz="4" w:space="0"/>
              <w:right w:val="single" w:color="000000" w:sz="4" w:space="0"/>
            </w:tcBorders>
            <w:noWrap w:val="0"/>
            <w:vAlign w:val="center"/>
          </w:tcPr>
          <w:p w14:paraId="73AD0287">
            <w:pPr>
              <w:pStyle w:val="38"/>
              <w:tabs>
                <w:tab w:val="left" w:pos="235"/>
              </w:tabs>
              <w:ind w:left="1" w:leftChars="-43" w:hanging="91" w:hangingChars="38"/>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□中型企业</w:t>
            </w:r>
          </w:p>
          <w:p w14:paraId="52CDAB78">
            <w:pPr>
              <w:pStyle w:val="38"/>
              <w:tabs>
                <w:tab w:val="left" w:pos="235"/>
              </w:tabs>
              <w:ind w:left="1" w:leftChars="-43" w:hanging="91" w:hangingChars="38"/>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□小微企业</w:t>
            </w: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7F514C35">
            <w:pPr>
              <w:pStyle w:val="38"/>
              <w:jc w:val="center"/>
              <w:rPr>
                <w:rFonts w:hint="eastAsia" w:ascii="宋体" w:hAnsi="宋体" w:eastAsia="宋体" w:cs="宋体"/>
                <w:color w:val="auto"/>
                <w:sz w:val="30"/>
                <w:highlight w:val="none"/>
                <w:lang w:eastAsia="zh-CN"/>
              </w:rPr>
            </w:pP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563A49F1">
            <w:pPr>
              <w:pStyle w:val="38"/>
              <w:jc w:val="center"/>
              <w:rPr>
                <w:rFonts w:hint="eastAsia" w:ascii="宋体" w:hAnsi="宋体" w:eastAsia="宋体" w:cs="宋体"/>
                <w:color w:val="auto"/>
                <w:sz w:val="30"/>
                <w:highlight w:val="none"/>
                <w:lang w:eastAsia="zh-CN"/>
              </w:rPr>
            </w:pPr>
          </w:p>
        </w:tc>
        <w:tc>
          <w:tcPr>
            <w:tcW w:w="1497" w:type="dxa"/>
            <w:tcBorders>
              <w:top w:val="single" w:color="000000" w:sz="4" w:space="0"/>
              <w:left w:val="single" w:color="000000" w:sz="4" w:space="0"/>
              <w:bottom w:val="single" w:color="000000" w:sz="4" w:space="0"/>
              <w:right w:val="single" w:color="000000" w:sz="4" w:space="0"/>
            </w:tcBorders>
            <w:noWrap w:val="0"/>
            <w:vAlign w:val="center"/>
          </w:tcPr>
          <w:p w14:paraId="68DFD4E4">
            <w:pPr>
              <w:pStyle w:val="38"/>
              <w:jc w:val="center"/>
              <w:rPr>
                <w:rFonts w:hint="eastAsia" w:ascii="宋体" w:hAnsi="宋体" w:eastAsia="宋体" w:cs="宋体"/>
                <w:color w:val="auto"/>
                <w:sz w:val="30"/>
                <w:highlight w:val="none"/>
                <w:lang w:eastAsia="zh-CN"/>
              </w:rPr>
            </w:pPr>
          </w:p>
        </w:tc>
        <w:tc>
          <w:tcPr>
            <w:tcW w:w="1563" w:type="dxa"/>
            <w:tcBorders>
              <w:top w:val="single" w:color="000000" w:sz="4" w:space="0"/>
              <w:left w:val="single" w:color="000000" w:sz="4" w:space="0"/>
              <w:bottom w:val="single" w:color="000000" w:sz="4" w:space="0"/>
              <w:right w:val="single" w:color="000000" w:sz="4" w:space="0"/>
            </w:tcBorders>
            <w:noWrap w:val="0"/>
            <w:vAlign w:val="center"/>
          </w:tcPr>
          <w:p w14:paraId="52B597D2">
            <w:pPr>
              <w:pStyle w:val="38"/>
              <w:jc w:val="center"/>
              <w:rPr>
                <w:rFonts w:hint="eastAsia" w:ascii="宋体" w:hAnsi="宋体" w:eastAsia="宋体" w:cs="宋体"/>
                <w:color w:val="auto"/>
                <w:sz w:val="30"/>
                <w:highlight w:val="none"/>
                <w:lang w:eastAsia="zh-CN"/>
              </w:rPr>
            </w:pPr>
          </w:p>
        </w:tc>
      </w:tr>
      <w:tr w14:paraId="096BDF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377F8D49">
            <w:pPr>
              <w:pStyle w:val="38"/>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p>
        </w:tc>
        <w:tc>
          <w:tcPr>
            <w:tcW w:w="1286" w:type="dxa"/>
            <w:tcBorders>
              <w:top w:val="single" w:color="000000" w:sz="4" w:space="0"/>
              <w:left w:val="single" w:color="000000" w:sz="4" w:space="0"/>
              <w:bottom w:val="single" w:color="000000" w:sz="4" w:space="0"/>
              <w:right w:val="single" w:color="000000" w:sz="4" w:space="0"/>
            </w:tcBorders>
            <w:noWrap w:val="0"/>
            <w:vAlign w:val="center"/>
          </w:tcPr>
          <w:p w14:paraId="3B8D8728">
            <w:pPr>
              <w:pStyle w:val="38"/>
              <w:jc w:val="center"/>
              <w:rPr>
                <w:rFonts w:hint="eastAsia" w:ascii="宋体" w:hAnsi="宋体" w:eastAsia="宋体" w:cs="宋体"/>
                <w:color w:val="auto"/>
                <w:sz w:val="30"/>
                <w:highlight w:val="none"/>
              </w:rPr>
            </w:pPr>
          </w:p>
        </w:tc>
        <w:tc>
          <w:tcPr>
            <w:tcW w:w="1512" w:type="dxa"/>
            <w:tcBorders>
              <w:top w:val="single" w:color="000000" w:sz="4" w:space="0"/>
              <w:left w:val="single" w:color="000000" w:sz="4" w:space="0"/>
              <w:bottom w:val="single" w:color="000000" w:sz="4" w:space="0"/>
              <w:right w:val="single" w:color="000000" w:sz="4" w:space="0"/>
            </w:tcBorders>
            <w:noWrap w:val="0"/>
            <w:vAlign w:val="center"/>
          </w:tcPr>
          <w:p w14:paraId="07B2029E">
            <w:pPr>
              <w:pStyle w:val="38"/>
              <w:tabs>
                <w:tab w:val="left" w:pos="235"/>
              </w:tabs>
              <w:jc w:val="center"/>
              <w:rPr>
                <w:rFonts w:hint="eastAsia" w:ascii="宋体" w:hAnsi="宋体" w:eastAsia="宋体" w:cs="宋体"/>
                <w:color w:val="auto"/>
                <w:sz w:val="24"/>
                <w:highlight w:val="none"/>
              </w:rPr>
            </w:pP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49B167A1">
            <w:pPr>
              <w:pStyle w:val="38"/>
              <w:jc w:val="center"/>
              <w:rPr>
                <w:rFonts w:hint="eastAsia" w:ascii="宋体" w:hAnsi="宋体" w:eastAsia="宋体" w:cs="宋体"/>
                <w:color w:val="auto"/>
                <w:sz w:val="30"/>
                <w:highlight w:val="none"/>
              </w:rPr>
            </w:pP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0C2DFD6F">
            <w:pPr>
              <w:pStyle w:val="38"/>
              <w:jc w:val="center"/>
              <w:rPr>
                <w:rFonts w:hint="eastAsia" w:ascii="宋体" w:hAnsi="宋体" w:eastAsia="宋体" w:cs="宋体"/>
                <w:color w:val="auto"/>
                <w:sz w:val="30"/>
                <w:highlight w:val="none"/>
              </w:rPr>
            </w:pPr>
          </w:p>
        </w:tc>
        <w:tc>
          <w:tcPr>
            <w:tcW w:w="1497" w:type="dxa"/>
            <w:tcBorders>
              <w:top w:val="single" w:color="000000" w:sz="4" w:space="0"/>
              <w:left w:val="single" w:color="000000" w:sz="4" w:space="0"/>
              <w:bottom w:val="single" w:color="000000" w:sz="4" w:space="0"/>
              <w:right w:val="single" w:color="000000" w:sz="4" w:space="0"/>
            </w:tcBorders>
            <w:noWrap w:val="0"/>
            <w:vAlign w:val="center"/>
          </w:tcPr>
          <w:p w14:paraId="5DFE380E">
            <w:pPr>
              <w:pStyle w:val="38"/>
              <w:jc w:val="center"/>
              <w:rPr>
                <w:rFonts w:hint="eastAsia" w:ascii="宋体" w:hAnsi="宋体" w:eastAsia="宋体" w:cs="宋体"/>
                <w:color w:val="auto"/>
                <w:sz w:val="30"/>
                <w:highlight w:val="none"/>
              </w:rPr>
            </w:pPr>
          </w:p>
        </w:tc>
        <w:tc>
          <w:tcPr>
            <w:tcW w:w="1563" w:type="dxa"/>
            <w:tcBorders>
              <w:top w:val="single" w:color="000000" w:sz="4" w:space="0"/>
              <w:left w:val="single" w:color="000000" w:sz="4" w:space="0"/>
              <w:bottom w:val="single" w:color="000000" w:sz="4" w:space="0"/>
              <w:right w:val="single" w:color="000000" w:sz="4" w:space="0"/>
            </w:tcBorders>
            <w:noWrap w:val="0"/>
            <w:vAlign w:val="center"/>
          </w:tcPr>
          <w:p w14:paraId="18155098">
            <w:pPr>
              <w:pStyle w:val="38"/>
              <w:jc w:val="center"/>
              <w:rPr>
                <w:rFonts w:hint="eastAsia" w:ascii="宋体" w:hAnsi="宋体" w:eastAsia="宋体" w:cs="宋体"/>
                <w:color w:val="auto"/>
                <w:sz w:val="30"/>
                <w:highlight w:val="none"/>
              </w:rPr>
            </w:pPr>
          </w:p>
        </w:tc>
      </w:tr>
      <w:tr w14:paraId="7559B2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0" w:type="dxa"/>
            <w:gridSpan w:val="5"/>
            <w:tcBorders>
              <w:top w:val="single" w:color="000000" w:sz="4" w:space="0"/>
              <w:left w:val="single" w:color="000000" w:sz="4" w:space="0"/>
              <w:bottom w:val="single" w:color="000000" w:sz="4" w:space="0"/>
              <w:right w:val="single" w:color="000000" w:sz="4" w:space="0"/>
            </w:tcBorders>
            <w:noWrap w:val="0"/>
            <w:vAlign w:val="center"/>
          </w:tcPr>
          <w:p w14:paraId="1CDE1020">
            <w:pPr>
              <w:pStyle w:val="38"/>
              <w:ind w:right="57" w:rightChars="27"/>
              <w:jc w:val="righ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合计：</w:t>
            </w:r>
          </w:p>
        </w:tc>
        <w:tc>
          <w:tcPr>
            <w:tcW w:w="1497" w:type="dxa"/>
            <w:tcBorders>
              <w:top w:val="single" w:color="000000" w:sz="4" w:space="0"/>
              <w:left w:val="single" w:color="000000" w:sz="4" w:space="0"/>
              <w:bottom w:val="single" w:color="000000" w:sz="4" w:space="0"/>
              <w:right w:val="single" w:color="000000" w:sz="4" w:space="0"/>
            </w:tcBorders>
            <w:noWrap w:val="0"/>
            <w:vAlign w:val="center"/>
          </w:tcPr>
          <w:p w14:paraId="642D53F9">
            <w:pPr>
              <w:pStyle w:val="38"/>
              <w:jc w:val="center"/>
              <w:rPr>
                <w:rFonts w:hint="eastAsia" w:ascii="宋体" w:hAnsi="宋体" w:eastAsia="宋体" w:cs="宋体"/>
                <w:color w:val="auto"/>
                <w:sz w:val="30"/>
                <w:highlight w:val="none"/>
              </w:rPr>
            </w:pPr>
          </w:p>
        </w:tc>
        <w:tc>
          <w:tcPr>
            <w:tcW w:w="1563" w:type="dxa"/>
            <w:tcBorders>
              <w:top w:val="single" w:color="000000" w:sz="4" w:space="0"/>
              <w:left w:val="single" w:color="000000" w:sz="4" w:space="0"/>
              <w:bottom w:val="single" w:color="000000" w:sz="4" w:space="0"/>
              <w:right w:val="single" w:color="000000" w:sz="4" w:space="0"/>
            </w:tcBorders>
            <w:noWrap w:val="0"/>
            <w:vAlign w:val="center"/>
          </w:tcPr>
          <w:p w14:paraId="78997AE4">
            <w:pPr>
              <w:pStyle w:val="38"/>
              <w:jc w:val="center"/>
              <w:rPr>
                <w:rFonts w:hint="eastAsia" w:ascii="宋体" w:hAnsi="宋体" w:eastAsia="宋体" w:cs="宋体"/>
                <w:color w:val="auto"/>
                <w:sz w:val="30"/>
                <w:highlight w:val="none"/>
              </w:rPr>
            </w:pPr>
          </w:p>
        </w:tc>
      </w:tr>
    </w:tbl>
    <w:p w14:paraId="6E4CC78E">
      <w:pPr>
        <w:adjustRightInd w:val="0"/>
        <w:snapToGrid w:val="0"/>
        <w:spacing w:line="360" w:lineRule="auto"/>
        <w:jc w:val="left"/>
        <w:rPr>
          <w:rFonts w:hint="eastAsia" w:ascii="宋体" w:hAnsi="宋体" w:eastAsia="宋体" w:cs="宋体"/>
          <w:color w:val="auto"/>
          <w:sz w:val="24"/>
          <w:highlight w:val="none"/>
        </w:rPr>
      </w:pPr>
    </w:p>
    <w:p w14:paraId="7EE201D2">
      <w:pPr>
        <w:autoSpaceDE w:val="0"/>
        <w:autoSpaceDN w:val="0"/>
        <w:adjustRightInd w:val="0"/>
        <w:snapToGrid w:val="0"/>
        <w:spacing w:before="25" w:after="25" w:line="360" w:lineRule="auto"/>
        <w:jc w:val="righ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供应商名称（加盖公章）</w:t>
      </w: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rPr>
        <w:t>______</w:t>
      </w:r>
    </w:p>
    <w:p w14:paraId="3B1F2E35">
      <w:pPr>
        <w:spacing w:line="360" w:lineRule="auto"/>
        <w:ind w:right="-57" w:firstLine="480"/>
        <w:jc w:val="right"/>
        <w:rPr>
          <w:rFonts w:hint="eastAsia" w:ascii="宋体" w:hAnsi="宋体" w:eastAsia="宋体" w:cs="宋体"/>
          <w:color w:val="auto"/>
          <w:sz w:val="24"/>
          <w:highlight w:val="none"/>
        </w:rPr>
      </w:pPr>
      <w:r>
        <w:rPr>
          <w:rFonts w:hint="eastAsia" w:ascii="宋体" w:hAnsi="宋体" w:eastAsia="宋体" w:cs="宋体"/>
          <w:color w:val="auto"/>
          <w:sz w:val="24"/>
          <w:szCs w:val="20"/>
          <w:highlight w:val="none"/>
        </w:rPr>
        <w:t>日期：</w:t>
      </w:r>
      <w:r>
        <w:rPr>
          <w:rFonts w:hint="eastAsia" w:ascii="宋体" w:hAnsi="宋体" w:eastAsia="宋体" w:cs="宋体"/>
          <w:color w:val="auto"/>
          <w:sz w:val="24"/>
          <w:highlight w:val="none"/>
        </w:rPr>
        <w:t>___</w:t>
      </w:r>
      <w:r>
        <w:rPr>
          <w:rFonts w:hint="eastAsia" w:ascii="宋体" w:hAnsi="宋体" w:eastAsia="宋体" w:cs="宋体"/>
          <w:color w:val="auto"/>
          <w:sz w:val="24"/>
          <w:szCs w:val="20"/>
          <w:highlight w:val="none"/>
        </w:rPr>
        <w:t>年</w:t>
      </w:r>
      <w:r>
        <w:rPr>
          <w:rFonts w:hint="eastAsia" w:ascii="宋体" w:hAnsi="宋体" w:eastAsia="宋体" w:cs="宋体"/>
          <w:color w:val="auto"/>
          <w:sz w:val="24"/>
          <w:highlight w:val="none"/>
        </w:rPr>
        <w:t>___</w:t>
      </w:r>
      <w:r>
        <w:rPr>
          <w:rFonts w:hint="eastAsia" w:ascii="宋体" w:hAnsi="宋体" w:eastAsia="宋体" w:cs="宋体"/>
          <w:color w:val="auto"/>
          <w:sz w:val="24"/>
          <w:szCs w:val="20"/>
          <w:highlight w:val="none"/>
        </w:rPr>
        <w:t>月</w:t>
      </w:r>
      <w:r>
        <w:rPr>
          <w:rFonts w:hint="eastAsia" w:ascii="宋体" w:hAnsi="宋体" w:eastAsia="宋体" w:cs="宋体"/>
          <w:color w:val="auto"/>
          <w:sz w:val="24"/>
          <w:highlight w:val="none"/>
        </w:rPr>
        <w:t>___</w:t>
      </w:r>
      <w:r>
        <w:rPr>
          <w:rFonts w:hint="eastAsia" w:ascii="宋体" w:hAnsi="宋体" w:eastAsia="宋体" w:cs="宋体"/>
          <w:color w:val="auto"/>
          <w:sz w:val="24"/>
          <w:szCs w:val="20"/>
          <w:highlight w:val="none"/>
        </w:rPr>
        <w:t>日</w:t>
      </w:r>
    </w:p>
    <w:p w14:paraId="436C4775">
      <w:pPr>
        <w:adjustRightInd w:val="0"/>
        <w:snapToGrid w:val="0"/>
        <w:spacing w:line="360" w:lineRule="auto"/>
        <w:jc w:val="left"/>
        <w:rPr>
          <w:rFonts w:hint="eastAsia" w:ascii="宋体" w:hAnsi="宋体" w:eastAsia="宋体" w:cs="宋体"/>
          <w:color w:val="auto"/>
          <w:sz w:val="24"/>
          <w:highlight w:val="none"/>
        </w:rPr>
      </w:pPr>
    </w:p>
    <w:p w14:paraId="0659EE6E">
      <w:pPr>
        <w:adjustRightInd w:val="0"/>
        <w:snapToGrid w:val="0"/>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说明：</w:t>
      </w:r>
    </w:p>
    <w:p w14:paraId="7B81AD88">
      <w:pPr>
        <w:keepNext w:val="0"/>
        <w:keepLines w:val="0"/>
        <w:widowControl/>
        <w:suppressLineNumbers w:val="0"/>
        <w:spacing w:line="360" w:lineRule="auto"/>
        <w:jc w:val="left"/>
        <w:rPr>
          <w:rFonts w:hint="eastAsia" w:ascii="宋体" w:hAnsi="宋体" w:eastAsia="宋体" w:cs="宋体"/>
          <w:highlight w:val="none"/>
        </w:rPr>
      </w:pPr>
      <w:r>
        <w:rPr>
          <w:rFonts w:hint="eastAsia" w:ascii="宋体" w:hAnsi="宋体" w:eastAsia="宋体" w:cs="宋体"/>
          <w:color w:val="000000"/>
          <w:kern w:val="0"/>
          <w:sz w:val="24"/>
          <w:szCs w:val="24"/>
          <w:highlight w:val="none"/>
          <w:lang w:val="en-US" w:eastAsia="zh-CN" w:bidi="ar"/>
        </w:rPr>
        <w:t xml:space="preserve">（1）当供应商属于本部分说明中第（1）类情形，如未提供《拟分包情况说明》，或提 </w:t>
      </w:r>
    </w:p>
    <w:p w14:paraId="6AD662AD">
      <w:pPr>
        <w:keepNext w:val="0"/>
        <w:keepLines w:val="0"/>
        <w:widowControl/>
        <w:suppressLineNumbers w:val="0"/>
        <w:spacing w:line="360" w:lineRule="auto"/>
        <w:jc w:val="left"/>
        <w:rPr>
          <w:rFonts w:hint="eastAsia" w:ascii="宋体" w:hAnsi="宋体" w:eastAsia="宋体" w:cs="宋体"/>
          <w:highlight w:val="none"/>
        </w:rPr>
      </w:pPr>
      <w:r>
        <w:rPr>
          <w:rFonts w:hint="eastAsia" w:ascii="宋体" w:hAnsi="宋体" w:eastAsia="宋体" w:cs="宋体"/>
          <w:color w:val="000000"/>
          <w:kern w:val="0"/>
          <w:sz w:val="24"/>
          <w:szCs w:val="24"/>
          <w:highlight w:val="none"/>
          <w:lang w:val="en-US" w:eastAsia="zh-CN" w:bidi="ar"/>
        </w:rPr>
        <w:t xml:space="preserve">供了《拟分包情况说明》但未填写分包承担主体名称、拟分包合同内容、拟分包合同金 </w:t>
      </w:r>
    </w:p>
    <w:p w14:paraId="59CF20B6">
      <w:pPr>
        <w:keepNext w:val="0"/>
        <w:keepLines w:val="0"/>
        <w:widowControl/>
        <w:suppressLineNumbers w:val="0"/>
        <w:spacing w:line="360" w:lineRule="auto"/>
        <w:jc w:val="left"/>
        <w:rPr>
          <w:rFonts w:hint="eastAsia" w:ascii="宋体" w:hAnsi="宋体" w:eastAsia="宋体" w:cs="宋体"/>
          <w:highlight w:val="none"/>
        </w:rPr>
      </w:pPr>
      <w:r>
        <w:rPr>
          <w:rFonts w:hint="eastAsia" w:ascii="宋体" w:hAnsi="宋体" w:eastAsia="宋体" w:cs="宋体"/>
          <w:color w:val="000000"/>
          <w:kern w:val="0"/>
          <w:sz w:val="24"/>
          <w:szCs w:val="24"/>
          <w:highlight w:val="none"/>
          <w:lang w:val="en-US" w:eastAsia="zh-CN" w:bidi="ar"/>
        </w:rPr>
        <w:t>额，其</w:t>
      </w:r>
      <w:r>
        <w:rPr>
          <w:rFonts w:hint="eastAsia" w:ascii="宋体" w:hAnsi="宋体" w:eastAsia="宋体" w:cs="宋体"/>
          <w:b/>
          <w:bCs/>
          <w:color w:val="000000"/>
          <w:kern w:val="0"/>
          <w:sz w:val="24"/>
          <w:szCs w:val="24"/>
          <w:highlight w:val="none"/>
          <w:lang w:val="en-US" w:eastAsia="zh-CN" w:bidi="ar"/>
        </w:rPr>
        <w:t>响应无效</w:t>
      </w:r>
      <w:r>
        <w:rPr>
          <w:rFonts w:hint="eastAsia" w:ascii="宋体" w:hAnsi="宋体" w:eastAsia="宋体" w:cs="宋体"/>
          <w:color w:val="000000"/>
          <w:kern w:val="0"/>
          <w:sz w:val="24"/>
          <w:szCs w:val="24"/>
          <w:highlight w:val="none"/>
          <w:lang w:val="en-US" w:eastAsia="zh-CN" w:bidi="ar"/>
        </w:rPr>
        <w:t xml:space="preserve">； </w:t>
      </w:r>
    </w:p>
    <w:p w14:paraId="3E123BB6">
      <w:pPr>
        <w:keepNext w:val="0"/>
        <w:keepLines w:val="0"/>
        <w:widowControl/>
        <w:suppressLineNumbers w:val="0"/>
        <w:spacing w:line="360" w:lineRule="auto"/>
        <w:jc w:val="left"/>
        <w:rPr>
          <w:rFonts w:hint="eastAsia" w:ascii="宋体" w:hAnsi="宋体" w:eastAsia="宋体" w:cs="宋体"/>
          <w:highlight w:val="none"/>
        </w:rPr>
      </w:pPr>
      <w:r>
        <w:rPr>
          <w:rFonts w:hint="eastAsia" w:ascii="宋体" w:hAnsi="宋体" w:eastAsia="宋体" w:cs="宋体"/>
          <w:color w:val="000000"/>
          <w:kern w:val="0"/>
          <w:sz w:val="24"/>
          <w:szCs w:val="24"/>
          <w:highlight w:val="none"/>
          <w:lang w:val="en-US" w:eastAsia="zh-CN" w:bidi="ar"/>
        </w:rPr>
        <w:t xml:space="preserve">（2）当供应商属于本部分说明中第（2）类情形，如未提供《拟分包情况说明》，或提 </w:t>
      </w:r>
    </w:p>
    <w:p w14:paraId="0C560F8D">
      <w:pPr>
        <w:keepNext w:val="0"/>
        <w:keepLines w:val="0"/>
        <w:widowControl/>
        <w:suppressLineNumbers w:val="0"/>
        <w:spacing w:line="360" w:lineRule="auto"/>
        <w:jc w:val="left"/>
        <w:rPr>
          <w:rFonts w:hint="eastAsia" w:ascii="宋体" w:hAnsi="宋体" w:eastAsia="宋体" w:cs="宋体"/>
          <w:highlight w:val="none"/>
        </w:rPr>
      </w:pPr>
      <w:r>
        <w:rPr>
          <w:rFonts w:hint="eastAsia" w:ascii="宋体" w:hAnsi="宋体" w:eastAsia="宋体" w:cs="宋体"/>
          <w:color w:val="000000"/>
          <w:kern w:val="0"/>
          <w:sz w:val="24"/>
          <w:szCs w:val="24"/>
          <w:highlight w:val="none"/>
          <w:lang w:val="en-US" w:eastAsia="zh-CN" w:bidi="ar"/>
        </w:rPr>
        <w:t xml:space="preserve">供了《拟分包情况说明》但未填写分包承担主体名称、分包承担主体类型、拟分包合同 </w:t>
      </w:r>
    </w:p>
    <w:p w14:paraId="34411FB3">
      <w:pPr>
        <w:keepNext w:val="0"/>
        <w:keepLines w:val="0"/>
        <w:widowControl/>
        <w:suppressLineNumbers w:val="0"/>
        <w:spacing w:line="360" w:lineRule="auto"/>
        <w:jc w:val="left"/>
        <w:rPr>
          <w:rFonts w:hint="eastAsia" w:ascii="宋体" w:hAnsi="宋体" w:eastAsia="宋体" w:cs="宋体"/>
          <w:highlight w:val="none"/>
        </w:rPr>
      </w:pPr>
      <w:r>
        <w:rPr>
          <w:rFonts w:hint="eastAsia" w:ascii="宋体" w:hAnsi="宋体" w:eastAsia="宋体" w:cs="宋体"/>
          <w:color w:val="000000"/>
          <w:kern w:val="0"/>
          <w:sz w:val="24"/>
          <w:szCs w:val="24"/>
          <w:highlight w:val="none"/>
          <w:lang w:val="en-US" w:eastAsia="zh-CN" w:bidi="ar"/>
        </w:rPr>
        <w:t>内容、拟分包合同金额，其</w:t>
      </w:r>
      <w:r>
        <w:rPr>
          <w:rFonts w:hint="eastAsia" w:ascii="宋体" w:hAnsi="宋体" w:eastAsia="宋体" w:cs="宋体"/>
          <w:b/>
          <w:bCs/>
          <w:color w:val="000000"/>
          <w:kern w:val="0"/>
          <w:sz w:val="24"/>
          <w:szCs w:val="24"/>
          <w:highlight w:val="none"/>
          <w:lang w:val="en-US" w:eastAsia="zh-CN" w:bidi="ar"/>
        </w:rPr>
        <w:t>响应无效</w:t>
      </w:r>
      <w:r>
        <w:rPr>
          <w:rFonts w:hint="eastAsia" w:ascii="宋体" w:hAnsi="宋体" w:eastAsia="宋体" w:cs="宋体"/>
          <w:color w:val="000000"/>
          <w:kern w:val="0"/>
          <w:sz w:val="24"/>
          <w:szCs w:val="24"/>
          <w:highlight w:val="none"/>
          <w:lang w:val="en-US" w:eastAsia="zh-CN" w:bidi="ar"/>
        </w:rPr>
        <w:t xml:space="preserve">； </w:t>
      </w:r>
    </w:p>
    <w:p w14:paraId="1F3F4088">
      <w:pPr>
        <w:keepNext w:val="0"/>
        <w:keepLines w:val="0"/>
        <w:widowControl/>
        <w:suppressLineNumbers w:val="0"/>
        <w:spacing w:line="360" w:lineRule="auto"/>
        <w:jc w:val="left"/>
        <w:rPr>
          <w:rFonts w:hint="eastAsia" w:ascii="宋体" w:hAnsi="宋体" w:eastAsia="宋体" w:cs="宋体"/>
          <w:highlight w:val="none"/>
        </w:rPr>
      </w:pPr>
      <w:r>
        <w:rPr>
          <w:rFonts w:hint="eastAsia" w:ascii="宋体" w:hAnsi="宋体" w:eastAsia="宋体" w:cs="宋体"/>
          <w:color w:val="000000"/>
          <w:kern w:val="0"/>
          <w:sz w:val="24"/>
          <w:szCs w:val="24"/>
          <w:highlight w:val="none"/>
          <w:lang w:val="en-US" w:eastAsia="zh-CN" w:bidi="ar"/>
        </w:rPr>
        <w:t xml:space="preserve">（3）如本采购文件《供应商须知资料表》载明本项目分包承担主体应具备的相应资质 </w:t>
      </w:r>
    </w:p>
    <w:p w14:paraId="08107515">
      <w:pPr>
        <w:keepNext w:val="0"/>
        <w:keepLines w:val="0"/>
        <w:widowControl/>
        <w:suppressLineNumbers w:val="0"/>
        <w:spacing w:line="360" w:lineRule="auto"/>
        <w:jc w:val="left"/>
        <w:rPr>
          <w:rFonts w:hint="eastAsia" w:ascii="宋体" w:hAnsi="宋体" w:eastAsia="宋体" w:cs="宋体"/>
          <w:highlight w:val="none"/>
        </w:rPr>
      </w:pPr>
      <w:r>
        <w:rPr>
          <w:rFonts w:hint="eastAsia" w:ascii="宋体" w:hAnsi="宋体" w:eastAsia="宋体" w:cs="宋体"/>
          <w:color w:val="000000"/>
          <w:kern w:val="0"/>
          <w:sz w:val="24"/>
          <w:szCs w:val="24"/>
          <w:highlight w:val="none"/>
          <w:lang w:val="en-US" w:eastAsia="zh-CN" w:bidi="ar"/>
        </w:rPr>
        <w:t xml:space="preserve">条件，则供应商须在本表中列明分包承担主体的资质等级，并后附资质证书电子件，否 </w:t>
      </w:r>
    </w:p>
    <w:p w14:paraId="7160F930">
      <w:pPr>
        <w:keepNext w:val="0"/>
        <w:keepLines w:val="0"/>
        <w:widowControl/>
        <w:suppressLineNumbers w:val="0"/>
        <w:spacing w:line="360" w:lineRule="auto"/>
        <w:jc w:val="left"/>
        <w:rPr>
          <w:rFonts w:hint="eastAsia" w:ascii="宋体" w:hAnsi="宋体" w:eastAsia="宋体" w:cs="宋体"/>
          <w:highlight w:val="none"/>
        </w:rPr>
      </w:pPr>
      <w:r>
        <w:rPr>
          <w:rFonts w:hint="eastAsia" w:ascii="宋体" w:hAnsi="宋体" w:eastAsia="宋体" w:cs="宋体"/>
          <w:color w:val="000000"/>
          <w:kern w:val="0"/>
          <w:sz w:val="24"/>
          <w:szCs w:val="24"/>
          <w:highlight w:val="none"/>
          <w:lang w:val="en-US" w:eastAsia="zh-CN" w:bidi="ar"/>
        </w:rPr>
        <w:t>则</w:t>
      </w:r>
      <w:r>
        <w:rPr>
          <w:rFonts w:hint="eastAsia" w:ascii="宋体" w:hAnsi="宋体" w:eastAsia="宋体" w:cs="宋体"/>
          <w:b/>
          <w:bCs/>
          <w:color w:val="000000"/>
          <w:kern w:val="0"/>
          <w:sz w:val="24"/>
          <w:szCs w:val="24"/>
          <w:highlight w:val="none"/>
          <w:lang w:val="en-US" w:eastAsia="zh-CN" w:bidi="ar"/>
        </w:rPr>
        <w:t>响应无效</w:t>
      </w:r>
      <w:r>
        <w:rPr>
          <w:rFonts w:hint="eastAsia" w:ascii="宋体" w:hAnsi="宋体" w:eastAsia="宋体" w:cs="宋体"/>
          <w:color w:val="000000"/>
          <w:kern w:val="0"/>
          <w:sz w:val="24"/>
          <w:szCs w:val="24"/>
          <w:highlight w:val="none"/>
          <w:lang w:val="en-US" w:eastAsia="zh-CN" w:bidi="ar"/>
        </w:rPr>
        <w:t>。</w:t>
      </w:r>
    </w:p>
    <w:p w14:paraId="5E2AD854">
      <w:pPr>
        <w:autoSpaceDE w:val="0"/>
        <w:autoSpaceDN w:val="0"/>
        <w:adjustRightInd w:val="0"/>
        <w:spacing w:line="360" w:lineRule="auto"/>
        <w:jc w:val="center"/>
        <w:rPr>
          <w:rFonts w:hint="eastAsia" w:ascii="宋体" w:hAnsi="宋体" w:eastAsia="宋体" w:cs="宋体"/>
          <w:b/>
          <w:color w:val="auto"/>
          <w:sz w:val="36"/>
          <w:szCs w:val="36"/>
          <w:highlight w:val="none"/>
        </w:rPr>
      </w:pPr>
      <w:r>
        <w:rPr>
          <w:rFonts w:hint="eastAsia" w:ascii="宋体" w:hAnsi="宋体" w:eastAsia="宋体" w:cs="宋体"/>
          <w:color w:val="auto"/>
          <w:sz w:val="30"/>
          <w:szCs w:val="30"/>
          <w:highlight w:val="none"/>
        </w:rPr>
        <w:br w:type="page"/>
      </w:r>
      <w:r>
        <w:rPr>
          <w:rFonts w:hint="eastAsia" w:ascii="宋体" w:hAnsi="宋体" w:eastAsia="宋体" w:cs="宋体"/>
          <w:b/>
          <w:color w:val="auto"/>
          <w:sz w:val="36"/>
          <w:szCs w:val="36"/>
          <w:highlight w:val="none"/>
        </w:rPr>
        <w:t>附：分包意向协议（实质性格式）</w:t>
      </w:r>
    </w:p>
    <w:p w14:paraId="0717054E">
      <w:pPr>
        <w:adjustRightInd w:val="0"/>
        <w:snapToGrid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甲方（供应商）：______</w:t>
      </w:r>
    </w:p>
    <w:p w14:paraId="16486C7F">
      <w:pPr>
        <w:adjustRightInd w:val="0"/>
        <w:snapToGrid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乙方（拟分包单位）：______</w:t>
      </w:r>
    </w:p>
    <w:p w14:paraId="6925A680">
      <w:pPr>
        <w:adjustRightInd w:val="0"/>
        <w:snapToGrid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甲方承诺，一旦在______（采购项目名称）（</w:t>
      </w:r>
      <w:r>
        <w:rPr>
          <w:rFonts w:hint="eastAsia" w:ascii="宋体" w:hAnsi="宋体" w:cs="宋体"/>
          <w:color w:val="auto"/>
          <w:sz w:val="24"/>
          <w:szCs w:val="20"/>
          <w:highlight w:val="none"/>
          <w:lang w:val="en-US" w:eastAsia="zh-CN"/>
        </w:rPr>
        <w:t>采购文件编号</w:t>
      </w:r>
      <w:r>
        <w:rPr>
          <w:rFonts w:hint="eastAsia" w:ascii="宋体" w:hAnsi="宋体" w:eastAsia="宋体" w:cs="宋体"/>
          <w:color w:val="auto"/>
          <w:sz w:val="24"/>
          <w:highlight w:val="none"/>
        </w:rPr>
        <w:t>为：______）采购项目中获得采购合同，将按照下述约定将合同项下部分内容分包给乙方：</w:t>
      </w:r>
    </w:p>
    <w:p w14:paraId="661341C7">
      <w:pPr>
        <w:adjustRightInd w:val="0"/>
        <w:snapToGrid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1.分包内容：______。</w:t>
      </w:r>
    </w:p>
    <w:p w14:paraId="0E5B388A">
      <w:pPr>
        <w:adjustRightInd w:val="0"/>
        <w:snapToGrid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2.分包金额：______，该金额占该采购包响应报价的比例为______%。</w:t>
      </w:r>
    </w:p>
    <w:p w14:paraId="782AAF1A">
      <w:pPr>
        <w:adjustRightInd w:val="0"/>
        <w:snapToGrid w:val="0"/>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color w:val="auto"/>
          <w:sz w:val="24"/>
          <w:highlight w:val="none"/>
        </w:rPr>
        <w:t>乙方承诺将在上述情况下与甲方签订分包合同。</w:t>
      </w:r>
    </w:p>
    <w:p w14:paraId="1489FC65">
      <w:pPr>
        <w:adjustRightInd w:val="0"/>
        <w:snapToGrid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本协议自各方盖章之日起生效，如甲方未在该项目（采购包）成交，本协议自动终止。</w:t>
      </w:r>
    </w:p>
    <w:p w14:paraId="2F123254">
      <w:pPr>
        <w:spacing w:line="360" w:lineRule="auto"/>
        <w:ind w:firstLine="471"/>
        <w:rPr>
          <w:rFonts w:hint="eastAsia" w:ascii="宋体" w:hAnsi="宋体" w:eastAsia="宋体" w:cs="宋体"/>
          <w:b/>
          <w:color w:val="auto"/>
          <w:sz w:val="24"/>
          <w:highlight w:val="none"/>
        </w:rPr>
      </w:pPr>
    </w:p>
    <w:p w14:paraId="15606329">
      <w:pPr>
        <w:spacing w:line="360" w:lineRule="auto"/>
        <w:ind w:firstLine="471"/>
        <w:rPr>
          <w:rFonts w:hint="eastAsia" w:ascii="宋体" w:hAnsi="宋体" w:eastAsia="宋体" w:cs="宋体"/>
          <w:b/>
          <w:color w:val="auto"/>
          <w:sz w:val="24"/>
          <w:highlight w:val="none"/>
        </w:rPr>
      </w:pPr>
      <w:r>
        <w:rPr>
          <w:rFonts w:hint="eastAsia" w:ascii="宋体" w:hAnsi="宋体" w:eastAsia="宋体" w:cs="宋体"/>
          <w:color w:val="auto"/>
          <w:sz w:val="24"/>
          <w:highlight w:val="none"/>
        </w:rPr>
        <w:t>甲方（盖章）：______                     乙方（盖章）：______</w:t>
      </w:r>
    </w:p>
    <w:p w14:paraId="6F93F79B">
      <w:pPr>
        <w:spacing w:line="360" w:lineRule="auto"/>
        <w:ind w:left="480"/>
        <w:jc w:val="right"/>
        <w:rPr>
          <w:rFonts w:hint="eastAsia" w:ascii="宋体" w:hAnsi="宋体" w:eastAsia="宋体" w:cs="宋体"/>
          <w:color w:val="auto"/>
          <w:sz w:val="24"/>
          <w:highlight w:val="none"/>
        </w:rPr>
      </w:pPr>
    </w:p>
    <w:p w14:paraId="5E56F8F5">
      <w:pPr>
        <w:wordWrap w:val="0"/>
        <w:spacing w:line="360" w:lineRule="auto"/>
        <w:ind w:left="480"/>
        <w:jc w:val="right"/>
        <w:rPr>
          <w:rFonts w:hint="eastAsia" w:ascii="宋体" w:hAnsi="宋体" w:eastAsia="宋体" w:cs="宋体"/>
          <w:b/>
          <w:color w:val="auto"/>
          <w:sz w:val="24"/>
          <w:highlight w:val="none"/>
        </w:rPr>
      </w:pPr>
      <w:r>
        <w:rPr>
          <w:rFonts w:hint="eastAsia" w:ascii="宋体" w:hAnsi="宋体" w:eastAsia="宋体" w:cs="宋体"/>
          <w:color w:val="auto"/>
          <w:sz w:val="24"/>
          <w:szCs w:val="20"/>
          <w:highlight w:val="none"/>
        </w:rPr>
        <w:t>日期：</w:t>
      </w:r>
      <w:r>
        <w:rPr>
          <w:rFonts w:hint="eastAsia" w:ascii="宋体" w:hAnsi="宋体" w:eastAsia="宋体" w:cs="宋体"/>
          <w:color w:val="auto"/>
          <w:sz w:val="24"/>
          <w:highlight w:val="none"/>
        </w:rPr>
        <w:t>______</w:t>
      </w:r>
      <w:r>
        <w:rPr>
          <w:rFonts w:hint="eastAsia" w:ascii="宋体" w:hAnsi="宋体" w:eastAsia="宋体" w:cs="宋体"/>
          <w:color w:val="auto"/>
          <w:sz w:val="24"/>
          <w:szCs w:val="20"/>
          <w:highlight w:val="none"/>
        </w:rPr>
        <w:t>年</w:t>
      </w:r>
      <w:r>
        <w:rPr>
          <w:rFonts w:hint="eastAsia" w:ascii="宋体" w:hAnsi="宋体" w:eastAsia="宋体" w:cs="宋体"/>
          <w:color w:val="auto"/>
          <w:sz w:val="24"/>
          <w:highlight w:val="none"/>
        </w:rPr>
        <w:t>______</w:t>
      </w:r>
      <w:r>
        <w:rPr>
          <w:rFonts w:hint="eastAsia" w:ascii="宋体" w:hAnsi="宋体" w:eastAsia="宋体" w:cs="宋体"/>
          <w:color w:val="auto"/>
          <w:sz w:val="24"/>
          <w:szCs w:val="20"/>
          <w:highlight w:val="none"/>
        </w:rPr>
        <w:t>月</w:t>
      </w:r>
      <w:r>
        <w:rPr>
          <w:rFonts w:hint="eastAsia" w:ascii="宋体" w:hAnsi="宋体" w:eastAsia="宋体" w:cs="宋体"/>
          <w:color w:val="auto"/>
          <w:sz w:val="24"/>
          <w:highlight w:val="none"/>
        </w:rPr>
        <w:t>______</w:t>
      </w:r>
      <w:r>
        <w:rPr>
          <w:rFonts w:hint="eastAsia" w:ascii="宋体" w:hAnsi="宋体" w:eastAsia="宋体" w:cs="宋体"/>
          <w:color w:val="auto"/>
          <w:sz w:val="24"/>
          <w:szCs w:val="20"/>
          <w:highlight w:val="none"/>
        </w:rPr>
        <w:t xml:space="preserve">日   </w:t>
      </w:r>
    </w:p>
    <w:p w14:paraId="596B3E5A">
      <w:pPr>
        <w:tabs>
          <w:tab w:val="left" w:pos="8280"/>
        </w:tabs>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注：</w:t>
      </w:r>
    </w:p>
    <w:p w14:paraId="15799F07">
      <w:pPr>
        <w:keepNext w:val="0"/>
        <w:keepLines w:val="0"/>
        <w:widowControl/>
        <w:suppressLineNumbers w:val="0"/>
        <w:spacing w:line="360" w:lineRule="auto"/>
        <w:jc w:val="left"/>
        <w:rPr>
          <w:rFonts w:hint="eastAsia" w:ascii="宋体" w:hAnsi="宋体" w:eastAsia="宋体" w:cs="宋体"/>
          <w:highlight w:val="none"/>
        </w:rPr>
      </w:pPr>
      <w:r>
        <w:rPr>
          <w:rFonts w:hint="eastAsia" w:ascii="宋体" w:hAnsi="宋体" w:eastAsia="宋体" w:cs="宋体"/>
          <w:color w:val="000000"/>
          <w:kern w:val="0"/>
          <w:sz w:val="24"/>
          <w:szCs w:val="24"/>
          <w:highlight w:val="none"/>
          <w:lang w:val="en-US" w:eastAsia="zh-CN" w:bidi="ar"/>
        </w:rPr>
        <w:t>（1）当供应商属于本部分说明中第（2）类情形，必须提供，否则</w:t>
      </w:r>
      <w:r>
        <w:rPr>
          <w:rFonts w:hint="eastAsia" w:ascii="宋体" w:hAnsi="宋体" w:eastAsia="宋体" w:cs="宋体"/>
          <w:b/>
          <w:bCs/>
          <w:color w:val="000000"/>
          <w:kern w:val="0"/>
          <w:sz w:val="24"/>
          <w:szCs w:val="24"/>
          <w:highlight w:val="none"/>
          <w:lang w:val="en-US" w:eastAsia="zh-CN" w:bidi="ar"/>
        </w:rPr>
        <w:t>响应无效；</w:t>
      </w:r>
      <w:r>
        <w:rPr>
          <w:rFonts w:hint="eastAsia" w:ascii="宋体" w:hAnsi="宋体" w:eastAsia="宋体" w:cs="宋体"/>
          <w:color w:val="000000"/>
          <w:kern w:val="0"/>
          <w:sz w:val="24"/>
          <w:szCs w:val="24"/>
          <w:highlight w:val="none"/>
          <w:lang w:val="en-US" w:eastAsia="zh-CN" w:bidi="ar"/>
        </w:rPr>
        <w:t xml:space="preserve">其他情形 </w:t>
      </w:r>
    </w:p>
    <w:p w14:paraId="4327ECBB">
      <w:pPr>
        <w:keepNext w:val="0"/>
        <w:keepLines w:val="0"/>
        <w:widowControl/>
        <w:suppressLineNumbers w:val="0"/>
        <w:spacing w:line="360" w:lineRule="auto"/>
        <w:jc w:val="left"/>
        <w:rPr>
          <w:rFonts w:hint="eastAsia" w:ascii="宋体" w:hAnsi="宋体" w:eastAsia="宋体" w:cs="宋体"/>
          <w:highlight w:val="none"/>
        </w:rPr>
      </w:pPr>
      <w:r>
        <w:rPr>
          <w:rFonts w:hint="eastAsia" w:ascii="宋体" w:hAnsi="宋体" w:eastAsia="宋体" w:cs="宋体"/>
          <w:color w:val="000000"/>
          <w:kern w:val="0"/>
          <w:sz w:val="24"/>
          <w:szCs w:val="24"/>
          <w:highlight w:val="none"/>
          <w:lang w:val="en-US" w:eastAsia="zh-CN" w:bidi="ar"/>
        </w:rPr>
        <w:t xml:space="preserve">无须提供； </w:t>
      </w:r>
    </w:p>
    <w:p w14:paraId="5A75CBA5">
      <w:pPr>
        <w:keepNext w:val="0"/>
        <w:keepLines w:val="0"/>
        <w:widowControl/>
        <w:suppressLineNumbers w:val="0"/>
        <w:spacing w:line="360" w:lineRule="auto"/>
        <w:jc w:val="left"/>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（2）供应商须与所有拟分包单位分别签订《分包意向协议》，每单位签订一份，并在响应文件中提交全部协议原件的电子件，否则</w:t>
      </w:r>
      <w:r>
        <w:rPr>
          <w:rFonts w:hint="eastAsia" w:ascii="宋体" w:hAnsi="宋体" w:eastAsia="宋体" w:cs="宋体"/>
          <w:b/>
          <w:bCs/>
          <w:color w:val="000000"/>
          <w:kern w:val="0"/>
          <w:sz w:val="24"/>
          <w:szCs w:val="24"/>
          <w:highlight w:val="none"/>
          <w:lang w:val="en-US" w:eastAsia="zh-CN" w:bidi="ar"/>
        </w:rPr>
        <w:t>响应无效</w:t>
      </w:r>
      <w:r>
        <w:rPr>
          <w:rFonts w:hint="eastAsia" w:ascii="宋体" w:hAnsi="宋体" w:eastAsia="宋体" w:cs="宋体"/>
          <w:color w:val="000000"/>
          <w:kern w:val="0"/>
          <w:sz w:val="24"/>
          <w:szCs w:val="24"/>
          <w:highlight w:val="none"/>
          <w:lang w:val="en-US" w:eastAsia="zh-CN" w:bidi="ar"/>
        </w:rPr>
        <w:t>。</w:t>
      </w:r>
    </w:p>
    <w:p w14:paraId="11624A3B">
      <w:pPr>
        <w:keepNext w:val="0"/>
        <w:keepLines w:val="0"/>
        <w:widowControl/>
        <w:suppressLineNumbers w:val="0"/>
        <w:spacing w:line="360" w:lineRule="auto"/>
        <w:jc w:val="left"/>
        <w:rPr>
          <w:rFonts w:hint="eastAsia" w:ascii="宋体" w:hAnsi="宋体" w:eastAsia="宋体" w:cs="宋体"/>
          <w:color w:val="auto"/>
          <w:sz w:val="24"/>
          <w:szCs w:val="20"/>
          <w:highlight w:val="none"/>
        </w:rPr>
      </w:pPr>
      <w:r>
        <w:rPr>
          <w:rFonts w:hint="eastAsia" w:ascii="宋体" w:hAnsi="宋体" w:eastAsia="宋体" w:cs="宋体"/>
          <w:highlight w:val="none"/>
        </w:rPr>
        <w:br w:type="page"/>
      </w:r>
      <w:r>
        <w:rPr>
          <w:rFonts w:hint="eastAsia" w:ascii="宋体" w:hAnsi="宋体" w:eastAsia="宋体" w:cs="宋体"/>
          <w:color w:val="auto"/>
          <w:sz w:val="24"/>
          <w:szCs w:val="20"/>
          <w:highlight w:val="none"/>
        </w:rPr>
        <w:t xml:space="preserve">2-2 </w:t>
      </w:r>
      <w:r>
        <w:rPr>
          <w:rFonts w:hint="eastAsia" w:ascii="宋体" w:hAnsi="宋体" w:eastAsia="宋体" w:cs="宋体"/>
          <w:color w:val="auto"/>
          <w:sz w:val="24"/>
          <w:highlight w:val="none"/>
        </w:rPr>
        <w:t>其它落实政府采购政策的资格要求</w:t>
      </w:r>
      <w:r>
        <w:rPr>
          <w:rFonts w:hint="eastAsia" w:ascii="宋体" w:hAnsi="宋体" w:eastAsia="宋体" w:cs="宋体"/>
          <w:color w:val="auto"/>
          <w:sz w:val="24"/>
          <w:szCs w:val="20"/>
          <w:highlight w:val="none"/>
        </w:rPr>
        <w:t>（如有）</w:t>
      </w:r>
    </w:p>
    <w:p w14:paraId="05FF6B09">
      <w:pPr>
        <w:widowControl/>
        <w:jc w:val="left"/>
        <w:rPr>
          <w:rFonts w:hint="eastAsia" w:ascii="宋体" w:hAnsi="宋体" w:eastAsia="宋体" w:cs="宋体"/>
          <w:color w:val="auto"/>
          <w:sz w:val="24"/>
          <w:highlight w:val="none"/>
        </w:rPr>
      </w:pPr>
    </w:p>
    <w:p w14:paraId="5200C21B">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p w14:paraId="40D21E72">
      <w:pPr>
        <w:tabs>
          <w:tab w:val="left" w:pos="360"/>
        </w:tabs>
        <w:snapToGrid w:val="0"/>
        <w:spacing w:line="360" w:lineRule="auto"/>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3 本项目的特定资格要求（如有）</w:t>
      </w:r>
    </w:p>
    <w:p w14:paraId="330AF743">
      <w:pPr>
        <w:spacing w:line="360" w:lineRule="auto"/>
        <w:outlineLvl w:val="2"/>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3-1联合协议（如有）</w:t>
      </w:r>
    </w:p>
    <w:p w14:paraId="242CFC9F">
      <w:pPr>
        <w:autoSpaceDE w:val="0"/>
        <w:autoSpaceDN w:val="0"/>
        <w:adjustRightInd w:val="0"/>
        <w:spacing w:line="360" w:lineRule="auto"/>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联合协议</w:t>
      </w:r>
    </w:p>
    <w:p w14:paraId="6AD14A5E">
      <w:pPr>
        <w:spacing w:line="360" w:lineRule="auto"/>
        <w:ind w:firstLine="828" w:firstLineChars="345"/>
        <w:rPr>
          <w:rFonts w:hint="eastAsia" w:ascii="宋体" w:hAnsi="宋体" w:eastAsia="宋体" w:cs="宋体"/>
          <w:bCs/>
          <w:color w:val="auto"/>
          <w:highlight w:val="none"/>
        </w:rPr>
      </w:pPr>
      <w:r>
        <w:rPr>
          <w:rFonts w:hint="eastAsia" w:ascii="宋体" w:hAnsi="宋体" w:eastAsia="宋体" w:cs="宋体"/>
          <w:color w:val="auto"/>
          <w:sz w:val="24"/>
          <w:highlight w:val="none"/>
        </w:rPr>
        <w:t>______</w:t>
      </w:r>
      <w:r>
        <w:rPr>
          <w:rFonts w:hint="eastAsia" w:ascii="宋体" w:hAnsi="宋体" w:eastAsia="宋体" w:cs="宋体"/>
          <w:bCs/>
          <w:color w:val="auto"/>
          <w:sz w:val="24"/>
          <w:highlight w:val="none"/>
        </w:rPr>
        <w:t xml:space="preserve"> 、</w:t>
      </w:r>
      <w:r>
        <w:rPr>
          <w:rFonts w:hint="eastAsia" w:ascii="宋体" w:hAnsi="宋体" w:eastAsia="宋体" w:cs="宋体"/>
          <w:color w:val="auto"/>
          <w:sz w:val="24"/>
          <w:highlight w:val="none"/>
        </w:rPr>
        <w:t>______</w:t>
      </w:r>
      <w:r>
        <w:rPr>
          <w:rFonts w:hint="eastAsia" w:ascii="宋体" w:hAnsi="宋体" w:eastAsia="宋体" w:cs="宋体"/>
          <w:bCs/>
          <w:color w:val="auto"/>
          <w:sz w:val="24"/>
          <w:highlight w:val="none"/>
        </w:rPr>
        <w:t>及</w:t>
      </w:r>
      <w:r>
        <w:rPr>
          <w:rFonts w:hint="eastAsia" w:ascii="宋体" w:hAnsi="宋体" w:eastAsia="宋体" w:cs="宋体"/>
          <w:color w:val="auto"/>
          <w:sz w:val="24"/>
          <w:highlight w:val="none"/>
        </w:rPr>
        <w:t>______</w:t>
      </w:r>
      <w:r>
        <w:rPr>
          <w:rFonts w:hint="eastAsia" w:ascii="宋体" w:hAnsi="宋体" w:eastAsia="宋体" w:cs="宋体"/>
          <w:bCs/>
          <w:color w:val="auto"/>
          <w:sz w:val="24"/>
          <w:highlight w:val="none"/>
        </w:rPr>
        <w:t>就“</w:t>
      </w:r>
      <w:r>
        <w:rPr>
          <w:rFonts w:hint="eastAsia" w:ascii="宋体" w:hAnsi="宋体" w:eastAsia="宋体" w:cs="宋体"/>
          <w:color w:val="auto"/>
          <w:sz w:val="24"/>
          <w:highlight w:val="none"/>
        </w:rPr>
        <w:t>______</w:t>
      </w:r>
      <w:r>
        <w:rPr>
          <w:rFonts w:hint="eastAsia" w:ascii="宋体" w:hAnsi="宋体" w:eastAsia="宋体" w:cs="宋体"/>
          <w:bCs/>
          <w:color w:val="auto"/>
          <w:sz w:val="24"/>
          <w:highlight w:val="none"/>
        </w:rPr>
        <w:t>（项目名称）</w:t>
      </w:r>
      <w:r>
        <w:rPr>
          <w:rFonts w:hint="eastAsia" w:ascii="宋体" w:hAnsi="宋体" w:eastAsia="宋体" w:cs="宋体"/>
          <w:color w:val="auto"/>
          <w:sz w:val="24"/>
          <w:highlight w:val="none"/>
        </w:rPr>
        <w:t>” ______包</w:t>
      </w:r>
      <w:r>
        <w:rPr>
          <w:rFonts w:hint="eastAsia" w:ascii="宋体" w:hAnsi="宋体" w:eastAsia="宋体" w:cs="宋体"/>
          <w:bCs/>
          <w:color w:val="auto"/>
          <w:sz w:val="24"/>
          <w:highlight w:val="none"/>
        </w:rPr>
        <w:t>采购项目的磋商事宜，经各方充分协商一致，达成如下协议：</w:t>
      </w:r>
    </w:p>
    <w:p w14:paraId="0803AA2F">
      <w:pPr>
        <w:numPr>
          <w:ilvl w:val="0"/>
          <w:numId w:val="13"/>
        </w:num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由</w:t>
      </w:r>
      <w:r>
        <w:rPr>
          <w:rFonts w:hint="eastAsia" w:ascii="宋体" w:hAnsi="宋体" w:eastAsia="宋体" w:cs="宋体"/>
          <w:color w:val="auto"/>
          <w:sz w:val="24"/>
          <w:highlight w:val="none"/>
        </w:rPr>
        <w:t>____</w:t>
      </w:r>
      <w:r>
        <w:rPr>
          <w:rFonts w:hint="eastAsia" w:ascii="宋体" w:hAnsi="宋体" w:eastAsia="宋体" w:cs="宋体"/>
          <w:bCs/>
          <w:color w:val="auto"/>
          <w:sz w:val="24"/>
          <w:highlight w:val="none"/>
        </w:rPr>
        <w:t>__</w:t>
      </w:r>
      <w:r>
        <w:rPr>
          <w:rFonts w:hint="eastAsia" w:ascii="宋体" w:hAnsi="宋体" w:eastAsia="宋体" w:cs="宋体"/>
          <w:color w:val="auto"/>
          <w:sz w:val="24"/>
          <w:highlight w:val="none"/>
        </w:rPr>
        <w:t>__</w:t>
      </w:r>
      <w:r>
        <w:rPr>
          <w:rFonts w:hint="eastAsia" w:ascii="宋体" w:hAnsi="宋体" w:eastAsia="宋体" w:cs="宋体"/>
          <w:bCs/>
          <w:color w:val="auto"/>
          <w:sz w:val="24"/>
          <w:highlight w:val="none"/>
        </w:rPr>
        <w:t>牵头，</w:t>
      </w:r>
      <w:r>
        <w:rPr>
          <w:rFonts w:hint="eastAsia" w:ascii="宋体" w:hAnsi="宋体" w:eastAsia="宋体" w:cs="宋体"/>
          <w:color w:val="auto"/>
          <w:sz w:val="24"/>
          <w:highlight w:val="none"/>
        </w:rPr>
        <w:t>___</w:t>
      </w:r>
      <w:r>
        <w:rPr>
          <w:rFonts w:hint="eastAsia" w:ascii="宋体" w:hAnsi="宋体" w:eastAsia="宋体" w:cs="宋体"/>
          <w:bCs/>
          <w:color w:val="auto"/>
          <w:sz w:val="24"/>
          <w:highlight w:val="none"/>
        </w:rPr>
        <w:t>__</w:t>
      </w:r>
      <w:r>
        <w:rPr>
          <w:rFonts w:hint="eastAsia" w:ascii="宋体" w:hAnsi="宋体" w:eastAsia="宋体" w:cs="宋体"/>
          <w:color w:val="auto"/>
          <w:sz w:val="24"/>
          <w:highlight w:val="none"/>
        </w:rPr>
        <w:t>___</w:t>
      </w:r>
      <w:r>
        <w:rPr>
          <w:rFonts w:hint="eastAsia" w:ascii="宋体" w:hAnsi="宋体" w:eastAsia="宋体" w:cs="宋体"/>
          <w:bCs/>
          <w:color w:val="auto"/>
          <w:sz w:val="24"/>
          <w:highlight w:val="none"/>
        </w:rPr>
        <w:t>、</w:t>
      </w:r>
      <w:r>
        <w:rPr>
          <w:rFonts w:hint="eastAsia" w:ascii="宋体" w:hAnsi="宋体" w:eastAsia="宋体" w:cs="宋体"/>
          <w:color w:val="auto"/>
          <w:sz w:val="24"/>
          <w:highlight w:val="none"/>
        </w:rPr>
        <w:t>___</w:t>
      </w:r>
      <w:r>
        <w:rPr>
          <w:rFonts w:hint="eastAsia" w:ascii="宋体" w:hAnsi="宋体" w:eastAsia="宋体" w:cs="宋体"/>
          <w:bCs/>
          <w:color w:val="auto"/>
          <w:sz w:val="24"/>
          <w:highlight w:val="none"/>
        </w:rPr>
        <w:t>__</w:t>
      </w:r>
      <w:r>
        <w:rPr>
          <w:rFonts w:hint="eastAsia" w:ascii="宋体" w:hAnsi="宋体" w:eastAsia="宋体" w:cs="宋体"/>
          <w:color w:val="auto"/>
          <w:sz w:val="24"/>
          <w:highlight w:val="none"/>
        </w:rPr>
        <w:t>___</w:t>
      </w:r>
      <w:r>
        <w:rPr>
          <w:rFonts w:hint="eastAsia" w:ascii="宋体" w:hAnsi="宋体" w:eastAsia="宋体" w:cs="宋体"/>
          <w:bCs/>
          <w:color w:val="auto"/>
          <w:sz w:val="24"/>
          <w:highlight w:val="none"/>
        </w:rPr>
        <w:t>参加，组成联合体共同进行采购项目的磋商工作。</w:t>
      </w:r>
    </w:p>
    <w:p w14:paraId="6041CEC5">
      <w:pPr>
        <w:numPr>
          <w:ilvl w:val="0"/>
          <w:numId w:val="13"/>
        </w:num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联合体成交后，联合体各方共同与采购人签订合同，就</w:t>
      </w:r>
      <w:r>
        <w:rPr>
          <w:rFonts w:hint="eastAsia" w:ascii="宋体" w:hAnsi="宋体" w:eastAsia="宋体" w:cs="宋体"/>
          <w:color w:val="auto"/>
          <w:sz w:val="24"/>
          <w:szCs w:val="20"/>
          <w:highlight w:val="none"/>
        </w:rPr>
        <w:t>采购合同约定的事项</w:t>
      </w:r>
      <w:r>
        <w:rPr>
          <w:rFonts w:hint="eastAsia" w:ascii="宋体" w:hAnsi="宋体" w:eastAsia="宋体" w:cs="宋体"/>
          <w:bCs/>
          <w:color w:val="auto"/>
          <w:sz w:val="24"/>
          <w:highlight w:val="none"/>
        </w:rPr>
        <w:t>对采购人承担连带责任。</w:t>
      </w:r>
    </w:p>
    <w:p w14:paraId="14FBEAFA">
      <w:pPr>
        <w:numPr>
          <w:ilvl w:val="0"/>
          <w:numId w:val="13"/>
        </w:num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联合体各方均同意由牵头人代表其他联合体成员单位按竞争性磋商文件要求出具《授权委托书》。</w:t>
      </w:r>
    </w:p>
    <w:p w14:paraId="66B1C203">
      <w:pPr>
        <w:numPr>
          <w:ilvl w:val="0"/>
          <w:numId w:val="13"/>
        </w:num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牵头人为项目的总负责单位；组织各参加方进行项目实施工作。</w:t>
      </w:r>
    </w:p>
    <w:p w14:paraId="3D9F20E5">
      <w:pPr>
        <w:numPr>
          <w:ilvl w:val="0"/>
          <w:numId w:val="13"/>
        </w:numPr>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______</w:t>
      </w:r>
      <w:r>
        <w:rPr>
          <w:rFonts w:hint="eastAsia" w:ascii="宋体" w:hAnsi="宋体" w:eastAsia="宋体" w:cs="宋体"/>
          <w:bCs/>
          <w:color w:val="auto"/>
          <w:sz w:val="24"/>
          <w:highlight w:val="none"/>
        </w:rPr>
        <w:t>负责</w:t>
      </w:r>
      <w:r>
        <w:rPr>
          <w:rFonts w:hint="eastAsia" w:ascii="宋体" w:hAnsi="宋体" w:eastAsia="宋体" w:cs="宋体"/>
          <w:color w:val="auto"/>
          <w:sz w:val="24"/>
          <w:highlight w:val="none"/>
        </w:rPr>
        <w:t>______</w:t>
      </w:r>
      <w:r>
        <w:rPr>
          <w:rFonts w:hint="eastAsia" w:ascii="宋体" w:hAnsi="宋体" w:eastAsia="宋体" w:cs="宋体"/>
          <w:bCs/>
          <w:color w:val="auto"/>
          <w:sz w:val="24"/>
          <w:highlight w:val="none"/>
        </w:rPr>
        <w:t>，具体工作范围、内容以响应文件及合同为准。</w:t>
      </w:r>
    </w:p>
    <w:p w14:paraId="4ED486CF">
      <w:pPr>
        <w:numPr>
          <w:ilvl w:val="0"/>
          <w:numId w:val="13"/>
        </w:numPr>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______</w:t>
      </w:r>
      <w:r>
        <w:rPr>
          <w:rFonts w:hint="eastAsia" w:ascii="宋体" w:hAnsi="宋体" w:eastAsia="宋体" w:cs="宋体"/>
          <w:bCs/>
          <w:color w:val="auto"/>
          <w:sz w:val="24"/>
          <w:highlight w:val="none"/>
        </w:rPr>
        <w:t>负责</w:t>
      </w:r>
      <w:r>
        <w:rPr>
          <w:rFonts w:hint="eastAsia" w:ascii="宋体" w:hAnsi="宋体" w:eastAsia="宋体" w:cs="宋体"/>
          <w:color w:val="auto"/>
          <w:sz w:val="24"/>
          <w:highlight w:val="none"/>
        </w:rPr>
        <w:t>______</w:t>
      </w:r>
      <w:r>
        <w:rPr>
          <w:rFonts w:hint="eastAsia" w:ascii="宋体" w:hAnsi="宋体" w:eastAsia="宋体" w:cs="宋体"/>
          <w:bCs/>
          <w:color w:val="auto"/>
          <w:sz w:val="24"/>
          <w:highlight w:val="none"/>
        </w:rPr>
        <w:t>，具体工作范围、内容以响应文件及合同为准。</w:t>
      </w:r>
    </w:p>
    <w:p w14:paraId="212F11C8">
      <w:pPr>
        <w:numPr>
          <w:ilvl w:val="0"/>
          <w:numId w:val="13"/>
        </w:numPr>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______</w:t>
      </w:r>
      <w:r>
        <w:rPr>
          <w:rFonts w:hint="eastAsia" w:ascii="宋体" w:hAnsi="宋体" w:eastAsia="宋体" w:cs="宋体"/>
          <w:bCs/>
          <w:color w:val="auto"/>
          <w:sz w:val="24"/>
          <w:highlight w:val="none"/>
        </w:rPr>
        <w:t>负责</w:t>
      </w:r>
      <w:r>
        <w:rPr>
          <w:rFonts w:hint="eastAsia" w:ascii="宋体" w:hAnsi="宋体" w:eastAsia="宋体" w:cs="宋体"/>
          <w:color w:val="auto"/>
          <w:sz w:val="24"/>
          <w:highlight w:val="none"/>
        </w:rPr>
        <w:t>______</w:t>
      </w:r>
      <w:r>
        <w:rPr>
          <w:rFonts w:hint="eastAsia" w:ascii="宋体" w:hAnsi="宋体" w:eastAsia="宋体" w:cs="宋体"/>
          <w:bCs/>
          <w:color w:val="auto"/>
          <w:sz w:val="24"/>
          <w:highlight w:val="none"/>
        </w:rPr>
        <w:t>（如有），具体工作范围、内容以响应文件及合同为准。</w:t>
      </w:r>
    </w:p>
    <w:p w14:paraId="0485CA6A">
      <w:pPr>
        <w:numPr>
          <w:ilvl w:val="0"/>
          <w:numId w:val="13"/>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本项目联合协议合同总额为______元，联合体各成员按照如下比例分摊（按联合体成员分别列明）：</w:t>
      </w:r>
    </w:p>
    <w:p w14:paraId="6BF9EED0">
      <w:pPr>
        <w:tabs>
          <w:tab w:val="left" w:pos="720"/>
          <w:tab w:val="left" w:pos="900"/>
        </w:tabs>
        <w:spacing w:line="360" w:lineRule="auto"/>
        <w:ind w:left="851"/>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w:t>
      </w:r>
      <w:r>
        <w:rPr>
          <w:rFonts w:hint="eastAsia" w:ascii="宋体" w:hAnsi="宋体" w:eastAsia="宋体" w:cs="宋体"/>
          <w:color w:val="auto"/>
          <w:sz w:val="24"/>
          <w:highlight w:val="none"/>
        </w:rPr>
        <w:t>______</w:t>
      </w:r>
      <w:r>
        <w:rPr>
          <w:rFonts w:hint="eastAsia" w:ascii="宋体" w:hAnsi="宋体" w:eastAsia="宋体" w:cs="宋体"/>
          <w:color w:val="auto"/>
          <w:sz w:val="24"/>
          <w:szCs w:val="20"/>
          <w:highlight w:val="none"/>
        </w:rPr>
        <w:t>为□大型企业□中型企业、□小微企业（包含监狱企业、残疾人福利性单位）、□其他，合同金额为</w:t>
      </w:r>
      <w:r>
        <w:rPr>
          <w:rFonts w:hint="eastAsia" w:ascii="宋体" w:hAnsi="宋体" w:eastAsia="宋体" w:cs="宋体"/>
          <w:color w:val="auto"/>
          <w:sz w:val="24"/>
          <w:highlight w:val="none"/>
        </w:rPr>
        <w:t>______</w:t>
      </w:r>
      <w:r>
        <w:rPr>
          <w:rFonts w:hint="eastAsia" w:ascii="宋体" w:hAnsi="宋体" w:eastAsia="宋体" w:cs="宋体"/>
          <w:color w:val="auto"/>
          <w:sz w:val="24"/>
          <w:szCs w:val="20"/>
          <w:highlight w:val="none"/>
        </w:rPr>
        <w:t>元；</w:t>
      </w:r>
    </w:p>
    <w:p w14:paraId="743DFA35">
      <w:pPr>
        <w:tabs>
          <w:tab w:val="left" w:pos="720"/>
          <w:tab w:val="left" w:pos="900"/>
        </w:tabs>
        <w:spacing w:line="360" w:lineRule="auto"/>
        <w:ind w:left="851"/>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（2）</w:t>
      </w:r>
      <w:r>
        <w:rPr>
          <w:rFonts w:hint="eastAsia" w:ascii="宋体" w:hAnsi="宋体" w:eastAsia="宋体" w:cs="宋体"/>
          <w:color w:val="auto"/>
          <w:sz w:val="24"/>
          <w:highlight w:val="none"/>
        </w:rPr>
        <w:t>______</w:t>
      </w:r>
      <w:r>
        <w:rPr>
          <w:rFonts w:hint="eastAsia" w:ascii="宋体" w:hAnsi="宋体" w:eastAsia="宋体" w:cs="宋体"/>
          <w:color w:val="auto"/>
          <w:sz w:val="24"/>
          <w:szCs w:val="20"/>
          <w:highlight w:val="none"/>
        </w:rPr>
        <w:t>为□大型企业□中型企业、□小微企业（包含监狱企业、残疾人福利性单位）、□其他，合同金额为</w:t>
      </w:r>
      <w:r>
        <w:rPr>
          <w:rFonts w:hint="eastAsia" w:ascii="宋体" w:hAnsi="宋体" w:eastAsia="宋体" w:cs="宋体"/>
          <w:color w:val="auto"/>
          <w:sz w:val="24"/>
          <w:highlight w:val="none"/>
        </w:rPr>
        <w:t>______</w:t>
      </w:r>
      <w:r>
        <w:rPr>
          <w:rFonts w:hint="eastAsia" w:ascii="宋体" w:hAnsi="宋体" w:eastAsia="宋体" w:cs="宋体"/>
          <w:color w:val="auto"/>
          <w:sz w:val="24"/>
          <w:szCs w:val="20"/>
          <w:highlight w:val="none"/>
        </w:rPr>
        <w:t>元；</w:t>
      </w:r>
    </w:p>
    <w:p w14:paraId="3B8202FC">
      <w:pPr>
        <w:tabs>
          <w:tab w:val="left" w:pos="720"/>
          <w:tab w:val="left" w:pos="900"/>
        </w:tabs>
        <w:spacing w:line="360" w:lineRule="auto"/>
        <w:ind w:left="851"/>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w:t>
      </w:r>
      <w:r>
        <w:rPr>
          <w:rFonts w:hint="eastAsia" w:ascii="宋体" w:hAnsi="宋体" w:eastAsia="宋体" w:cs="宋体"/>
          <w:color w:val="auto"/>
          <w:sz w:val="24"/>
          <w:highlight w:val="none"/>
        </w:rPr>
        <w:t>______</w:t>
      </w:r>
      <w:r>
        <w:rPr>
          <w:rFonts w:hint="eastAsia" w:ascii="宋体" w:hAnsi="宋体" w:eastAsia="宋体" w:cs="宋体"/>
          <w:color w:val="auto"/>
          <w:sz w:val="24"/>
          <w:szCs w:val="20"/>
          <w:highlight w:val="none"/>
        </w:rPr>
        <w:t>为□大型企业□中型企业、□小微企业（包含监狱企业、残疾人福利性单位）、□其他，合同金额为</w:t>
      </w:r>
      <w:r>
        <w:rPr>
          <w:rFonts w:hint="eastAsia" w:ascii="宋体" w:hAnsi="宋体" w:eastAsia="宋体" w:cs="宋体"/>
          <w:color w:val="auto"/>
          <w:sz w:val="24"/>
          <w:highlight w:val="none"/>
        </w:rPr>
        <w:t>______</w:t>
      </w:r>
      <w:r>
        <w:rPr>
          <w:rFonts w:hint="eastAsia" w:ascii="宋体" w:hAnsi="宋体" w:eastAsia="宋体" w:cs="宋体"/>
          <w:color w:val="auto"/>
          <w:sz w:val="24"/>
          <w:szCs w:val="20"/>
          <w:highlight w:val="none"/>
        </w:rPr>
        <w:t>元。</w:t>
      </w:r>
    </w:p>
    <w:p w14:paraId="0BDBB09B">
      <w:pPr>
        <w:numPr>
          <w:ilvl w:val="0"/>
          <w:numId w:val="13"/>
        </w:numPr>
        <w:tabs>
          <w:tab w:val="left" w:pos="993"/>
        </w:tabs>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szCs w:val="20"/>
          <w:highlight w:val="none"/>
        </w:rPr>
        <w:t>以联合体形式参加政府采购活动的，联合体各方不得再单独参加或者与其他供应商另外组成联合体参加同一合同项下的政府采购活动。</w:t>
      </w:r>
    </w:p>
    <w:p w14:paraId="015D2F50">
      <w:pPr>
        <w:numPr>
          <w:ilvl w:val="0"/>
          <w:numId w:val="13"/>
        </w:num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其他约定（如有）：</w:t>
      </w:r>
      <w:r>
        <w:rPr>
          <w:rFonts w:hint="eastAsia" w:ascii="宋体" w:hAnsi="宋体" w:eastAsia="宋体" w:cs="宋体"/>
          <w:color w:val="auto"/>
          <w:sz w:val="24"/>
          <w:highlight w:val="none"/>
        </w:rPr>
        <w:t>______。</w:t>
      </w:r>
    </w:p>
    <w:p w14:paraId="7F8F6EE0">
      <w:pPr>
        <w:tabs>
          <w:tab w:val="left" w:pos="780"/>
        </w:tabs>
        <w:spacing w:line="360" w:lineRule="auto"/>
        <w:ind w:left="180" w:firstLine="480" w:firstLineChars="200"/>
        <w:rPr>
          <w:rFonts w:hint="eastAsia" w:ascii="宋体" w:hAnsi="宋体" w:eastAsia="宋体" w:cs="宋体"/>
          <w:color w:val="auto"/>
          <w:sz w:val="24"/>
          <w:highlight w:val="none"/>
        </w:rPr>
      </w:pPr>
      <w:r>
        <w:rPr>
          <w:rFonts w:hint="eastAsia" w:ascii="宋体" w:hAnsi="宋体" w:eastAsia="宋体" w:cs="宋体"/>
          <w:bCs/>
          <w:color w:val="auto"/>
          <w:sz w:val="24"/>
          <w:highlight w:val="none"/>
        </w:rPr>
        <w:t>本协议自各方盖章后生效，采购合同履行完毕后自动失效。如未成交，本协议自动终止。</w:t>
      </w:r>
      <w:r>
        <w:rPr>
          <w:rFonts w:hint="eastAsia" w:ascii="宋体" w:hAnsi="宋体" w:eastAsia="宋体" w:cs="宋体"/>
          <w:color w:val="auto"/>
          <w:sz w:val="24"/>
          <w:highlight w:val="none"/>
        </w:rPr>
        <w:br w:type="page"/>
      </w:r>
    </w:p>
    <w:p w14:paraId="0A704D8D">
      <w:pPr>
        <w:spacing w:line="360" w:lineRule="auto"/>
        <w:ind w:firstLine="471"/>
        <w:rPr>
          <w:rFonts w:hint="eastAsia" w:ascii="宋体" w:hAnsi="宋体" w:eastAsia="宋体" w:cs="宋体"/>
          <w:color w:val="auto"/>
          <w:sz w:val="24"/>
          <w:highlight w:val="none"/>
        </w:rPr>
      </w:pPr>
      <w:r>
        <w:rPr>
          <w:rFonts w:hint="eastAsia" w:ascii="宋体" w:hAnsi="宋体" w:eastAsia="宋体" w:cs="宋体"/>
          <w:color w:val="auto"/>
          <w:sz w:val="24"/>
          <w:highlight w:val="none"/>
        </w:rPr>
        <w:t>联合体牵头人名称：</w:t>
      </w:r>
      <w:r>
        <w:rPr>
          <w:rFonts w:hint="eastAsia" w:ascii="宋体" w:hAnsi="宋体" w:eastAsia="宋体" w:cs="宋体"/>
          <w:color w:val="auto"/>
          <w:sz w:val="24"/>
          <w:szCs w:val="20"/>
          <w:highlight w:val="none"/>
        </w:rPr>
        <w:t>______</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 联合体成员名称：</w:t>
      </w:r>
      <w:r>
        <w:rPr>
          <w:rFonts w:hint="eastAsia" w:ascii="宋体" w:hAnsi="宋体" w:eastAsia="宋体" w:cs="宋体"/>
          <w:color w:val="auto"/>
          <w:sz w:val="24"/>
          <w:szCs w:val="20"/>
          <w:highlight w:val="none"/>
        </w:rPr>
        <w:t>______</w:t>
      </w:r>
    </w:p>
    <w:p w14:paraId="7019546B">
      <w:pPr>
        <w:spacing w:line="360" w:lineRule="auto"/>
        <w:ind w:firstLine="471"/>
        <w:rPr>
          <w:rFonts w:hint="eastAsia" w:ascii="宋体" w:hAnsi="宋体" w:eastAsia="宋体" w:cs="宋体"/>
          <w:color w:val="auto"/>
          <w:sz w:val="24"/>
          <w:highlight w:val="none"/>
        </w:rPr>
      </w:pPr>
      <w:r>
        <w:rPr>
          <w:rFonts w:hint="eastAsia" w:ascii="宋体" w:hAnsi="宋体" w:eastAsia="宋体" w:cs="宋体"/>
          <w:color w:val="auto"/>
          <w:sz w:val="24"/>
          <w:highlight w:val="none"/>
        </w:rPr>
        <w:t>盖章：</w:t>
      </w:r>
      <w:r>
        <w:rPr>
          <w:rFonts w:hint="eastAsia" w:ascii="宋体" w:hAnsi="宋体" w:eastAsia="宋体" w:cs="宋体"/>
          <w:color w:val="auto"/>
          <w:sz w:val="24"/>
          <w:szCs w:val="20"/>
          <w:highlight w:val="none"/>
        </w:rPr>
        <w:t>______</w:t>
      </w:r>
      <w:r>
        <w:rPr>
          <w:rFonts w:hint="eastAsia" w:ascii="宋体" w:hAnsi="宋体" w:eastAsia="宋体" w:cs="宋体"/>
          <w:color w:val="auto"/>
          <w:sz w:val="24"/>
          <w:highlight w:val="none"/>
        </w:rPr>
        <w:t xml:space="preserve">                           盖章：</w:t>
      </w:r>
      <w:r>
        <w:rPr>
          <w:rFonts w:hint="eastAsia" w:ascii="宋体" w:hAnsi="宋体" w:eastAsia="宋体" w:cs="宋体"/>
          <w:color w:val="auto"/>
          <w:sz w:val="24"/>
          <w:szCs w:val="20"/>
          <w:highlight w:val="none"/>
        </w:rPr>
        <w:t>______</w:t>
      </w:r>
    </w:p>
    <w:p w14:paraId="2CD38596">
      <w:pPr>
        <w:spacing w:line="360" w:lineRule="auto"/>
        <w:ind w:firstLine="471"/>
        <w:rPr>
          <w:rFonts w:hint="eastAsia" w:ascii="宋体" w:hAnsi="宋体" w:eastAsia="宋体" w:cs="宋体"/>
          <w:color w:val="auto"/>
          <w:sz w:val="24"/>
          <w:highlight w:val="none"/>
        </w:rPr>
      </w:pPr>
    </w:p>
    <w:p w14:paraId="25746262">
      <w:pPr>
        <w:spacing w:line="360" w:lineRule="auto"/>
        <w:ind w:firstLine="471"/>
        <w:rPr>
          <w:rFonts w:hint="eastAsia" w:ascii="宋体" w:hAnsi="宋体" w:eastAsia="宋体" w:cs="宋体"/>
          <w:color w:val="auto"/>
          <w:sz w:val="24"/>
          <w:highlight w:val="none"/>
        </w:rPr>
      </w:pPr>
    </w:p>
    <w:p w14:paraId="73078BB8">
      <w:pPr>
        <w:spacing w:line="360" w:lineRule="auto"/>
        <w:ind w:firstLine="471"/>
        <w:rPr>
          <w:rFonts w:hint="eastAsia" w:ascii="宋体" w:hAnsi="宋体" w:eastAsia="宋体" w:cs="宋体"/>
          <w:color w:val="auto"/>
          <w:sz w:val="24"/>
          <w:highlight w:val="none"/>
        </w:rPr>
      </w:pPr>
      <w:r>
        <w:rPr>
          <w:rFonts w:hint="eastAsia" w:ascii="宋体" w:hAnsi="宋体" w:eastAsia="宋体" w:cs="宋体"/>
          <w:color w:val="auto"/>
          <w:sz w:val="24"/>
          <w:highlight w:val="none"/>
        </w:rPr>
        <w:t>联合体成员名称：</w:t>
      </w:r>
      <w:r>
        <w:rPr>
          <w:rFonts w:hint="eastAsia" w:ascii="宋体" w:hAnsi="宋体" w:eastAsia="宋体" w:cs="宋体"/>
          <w:color w:val="auto"/>
          <w:sz w:val="24"/>
          <w:szCs w:val="20"/>
          <w:highlight w:val="none"/>
        </w:rPr>
        <w:t>______</w:t>
      </w:r>
    </w:p>
    <w:p w14:paraId="5BCC1667">
      <w:pPr>
        <w:widowControl/>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盖章：</w:t>
      </w:r>
      <w:r>
        <w:rPr>
          <w:rFonts w:hint="eastAsia" w:ascii="宋体" w:hAnsi="宋体" w:eastAsia="宋体" w:cs="宋体"/>
          <w:color w:val="auto"/>
          <w:sz w:val="24"/>
          <w:szCs w:val="20"/>
          <w:highlight w:val="none"/>
        </w:rPr>
        <w:t>______</w:t>
      </w:r>
      <w:r>
        <w:rPr>
          <w:rFonts w:hint="eastAsia" w:ascii="宋体" w:hAnsi="宋体" w:eastAsia="宋体" w:cs="宋体"/>
          <w:color w:val="auto"/>
          <w:sz w:val="24"/>
          <w:highlight w:val="none"/>
        </w:rPr>
        <w:t xml:space="preserve">         </w:t>
      </w:r>
    </w:p>
    <w:p w14:paraId="0C09ACAA">
      <w:pPr>
        <w:spacing w:line="360" w:lineRule="auto"/>
        <w:ind w:left="480"/>
        <w:jc w:val="right"/>
        <w:rPr>
          <w:rFonts w:hint="eastAsia" w:ascii="宋体" w:hAnsi="宋体" w:eastAsia="宋体" w:cs="宋体"/>
          <w:color w:val="auto"/>
          <w:sz w:val="24"/>
          <w:highlight w:val="none"/>
        </w:rPr>
      </w:pPr>
    </w:p>
    <w:p w14:paraId="72336C75">
      <w:pPr>
        <w:spacing w:line="360" w:lineRule="auto"/>
        <w:ind w:left="480"/>
        <w:jc w:val="right"/>
        <w:rPr>
          <w:rFonts w:hint="eastAsia" w:ascii="宋体" w:hAnsi="宋体" w:eastAsia="宋体" w:cs="宋体"/>
          <w:color w:val="auto"/>
          <w:sz w:val="24"/>
          <w:highlight w:val="none"/>
        </w:rPr>
      </w:pPr>
      <w:r>
        <w:rPr>
          <w:rFonts w:hint="eastAsia" w:ascii="宋体" w:hAnsi="宋体" w:eastAsia="宋体" w:cs="宋体"/>
          <w:color w:val="auto"/>
          <w:sz w:val="24"/>
          <w:szCs w:val="20"/>
          <w:highlight w:val="none"/>
        </w:rPr>
        <w:t>日期：</w:t>
      </w:r>
      <w:r>
        <w:rPr>
          <w:rFonts w:hint="eastAsia" w:ascii="宋体" w:hAnsi="宋体" w:eastAsia="宋体" w:cs="宋体"/>
          <w:color w:val="auto"/>
          <w:sz w:val="24"/>
          <w:highlight w:val="none"/>
        </w:rPr>
        <w:t>______</w:t>
      </w:r>
      <w:r>
        <w:rPr>
          <w:rFonts w:hint="eastAsia" w:ascii="宋体" w:hAnsi="宋体" w:eastAsia="宋体" w:cs="宋体"/>
          <w:color w:val="auto"/>
          <w:sz w:val="24"/>
          <w:szCs w:val="20"/>
          <w:highlight w:val="none"/>
        </w:rPr>
        <w:t>年</w:t>
      </w:r>
      <w:r>
        <w:rPr>
          <w:rFonts w:hint="eastAsia" w:ascii="宋体" w:hAnsi="宋体" w:eastAsia="宋体" w:cs="宋体"/>
          <w:color w:val="auto"/>
          <w:sz w:val="24"/>
          <w:highlight w:val="none"/>
        </w:rPr>
        <w:t>______</w:t>
      </w:r>
      <w:r>
        <w:rPr>
          <w:rFonts w:hint="eastAsia" w:ascii="宋体" w:hAnsi="宋体" w:eastAsia="宋体" w:cs="宋体"/>
          <w:color w:val="auto"/>
          <w:sz w:val="24"/>
          <w:szCs w:val="20"/>
          <w:highlight w:val="none"/>
        </w:rPr>
        <w:t>月</w:t>
      </w:r>
      <w:r>
        <w:rPr>
          <w:rFonts w:hint="eastAsia" w:ascii="宋体" w:hAnsi="宋体" w:eastAsia="宋体" w:cs="宋体"/>
          <w:color w:val="auto"/>
          <w:sz w:val="24"/>
          <w:highlight w:val="none"/>
        </w:rPr>
        <w:t>______</w:t>
      </w:r>
      <w:r>
        <w:rPr>
          <w:rFonts w:hint="eastAsia" w:ascii="宋体" w:hAnsi="宋体" w:eastAsia="宋体" w:cs="宋体"/>
          <w:color w:val="auto"/>
          <w:sz w:val="24"/>
          <w:szCs w:val="20"/>
          <w:highlight w:val="none"/>
        </w:rPr>
        <w:t>日</w:t>
      </w:r>
    </w:p>
    <w:p w14:paraId="70DE7F2D">
      <w:pPr>
        <w:spacing w:line="360" w:lineRule="auto"/>
        <w:ind w:left="480"/>
        <w:jc w:val="right"/>
        <w:rPr>
          <w:rFonts w:hint="eastAsia" w:ascii="宋体" w:hAnsi="宋体" w:eastAsia="宋体" w:cs="宋体"/>
          <w:b/>
          <w:color w:val="auto"/>
          <w:sz w:val="24"/>
          <w:highlight w:val="none"/>
        </w:rPr>
      </w:pPr>
    </w:p>
    <w:p w14:paraId="2DC2BD7B">
      <w:pPr>
        <w:tabs>
          <w:tab w:val="left" w:pos="8280"/>
        </w:tabs>
        <w:spacing w:line="360" w:lineRule="auto"/>
        <w:ind w:firstLine="480"/>
        <w:rPr>
          <w:rFonts w:hint="eastAsia" w:ascii="宋体" w:hAnsi="宋体" w:eastAsia="宋体" w:cs="宋体"/>
          <w:color w:val="auto"/>
          <w:sz w:val="24"/>
          <w:highlight w:val="none"/>
        </w:rPr>
      </w:pPr>
    </w:p>
    <w:p w14:paraId="54376EA2">
      <w:pPr>
        <w:tabs>
          <w:tab w:val="left" w:pos="8280"/>
        </w:tabs>
        <w:spacing w:line="360" w:lineRule="auto"/>
        <w:ind w:firstLine="480"/>
        <w:rPr>
          <w:rFonts w:hint="eastAsia" w:ascii="宋体" w:hAnsi="宋体" w:eastAsia="宋体" w:cs="宋体"/>
          <w:color w:val="auto"/>
          <w:sz w:val="24"/>
          <w:highlight w:val="none"/>
        </w:rPr>
      </w:pPr>
    </w:p>
    <w:p w14:paraId="3D8CF5EC">
      <w:pPr>
        <w:spacing w:line="360" w:lineRule="auto"/>
        <w:ind w:left="719" w:leftChars="228" w:hanging="240" w:hangingChars="100"/>
        <w:rPr>
          <w:rFonts w:hint="eastAsia" w:ascii="宋体" w:hAnsi="宋体" w:eastAsia="宋体" w:cs="宋体"/>
          <w:color w:val="auto"/>
          <w:sz w:val="24"/>
          <w:highlight w:val="none"/>
        </w:rPr>
      </w:pPr>
      <w:r>
        <w:rPr>
          <w:rFonts w:hint="eastAsia" w:ascii="宋体" w:hAnsi="宋体" w:eastAsia="宋体" w:cs="宋体"/>
          <w:color w:val="auto"/>
          <w:sz w:val="24"/>
          <w:highlight w:val="none"/>
        </w:rPr>
        <w:t>注：</w:t>
      </w:r>
    </w:p>
    <w:p w14:paraId="4D4835BE">
      <w:pPr>
        <w:spacing w:line="360" w:lineRule="auto"/>
        <w:ind w:left="719" w:leftChars="228" w:hanging="240" w:hangingChars="100"/>
        <w:rPr>
          <w:rFonts w:hint="eastAsia" w:ascii="宋体" w:hAnsi="宋体" w:eastAsia="宋体" w:cs="宋体"/>
          <w:color w:val="auto"/>
          <w:sz w:val="24"/>
          <w:highlight w:val="none"/>
        </w:rPr>
      </w:pPr>
      <w:r>
        <w:rPr>
          <w:rFonts w:hint="eastAsia" w:ascii="宋体" w:hAnsi="宋体" w:eastAsia="宋体" w:cs="宋体"/>
          <w:color w:val="auto"/>
          <w:sz w:val="24"/>
          <w:highlight w:val="none"/>
        </w:rPr>
        <w:t>1. 如本项目（包）接受供应商以联合体形式参加采购活动，且供应商以联合体形式参与时，须</w:t>
      </w:r>
      <w:r>
        <w:rPr>
          <w:rFonts w:hint="eastAsia" w:ascii="宋体" w:hAnsi="宋体" w:eastAsia="宋体" w:cs="宋体"/>
          <w:color w:val="auto"/>
          <w:sz w:val="24"/>
          <w:highlight w:val="none"/>
          <w:lang w:eastAsia="zh-CN"/>
        </w:rPr>
        <w:t>提</w:t>
      </w:r>
      <w:r>
        <w:rPr>
          <w:rFonts w:hint="eastAsia" w:ascii="宋体" w:hAnsi="宋体" w:eastAsia="宋体" w:cs="宋体"/>
          <w:color w:val="auto"/>
          <w:sz w:val="24"/>
          <w:highlight w:val="none"/>
        </w:rPr>
        <w:t>供《联合协议》，否则响应无效。</w:t>
      </w:r>
    </w:p>
    <w:p w14:paraId="3FD0A5B0">
      <w:pPr>
        <w:spacing w:line="360" w:lineRule="auto"/>
        <w:ind w:left="719" w:leftChars="228" w:hanging="240" w:hangingChars="100"/>
        <w:rPr>
          <w:rFonts w:hint="eastAsia" w:ascii="宋体" w:hAnsi="宋体" w:eastAsia="宋体" w:cs="宋体"/>
          <w:color w:val="auto"/>
          <w:sz w:val="24"/>
          <w:highlight w:val="none"/>
        </w:rPr>
      </w:pPr>
      <w:r>
        <w:rPr>
          <w:rFonts w:hint="eastAsia" w:ascii="宋体" w:hAnsi="宋体" w:eastAsia="宋体" w:cs="宋体"/>
          <w:color w:val="auto"/>
          <w:sz w:val="24"/>
          <w:highlight w:val="none"/>
        </w:rPr>
        <w:t>2. 联合体各方成员需在本协议上共同盖章。。</w:t>
      </w:r>
    </w:p>
    <w:p w14:paraId="7EF4B994">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p w14:paraId="771CAB70">
      <w:pPr>
        <w:spacing w:line="360" w:lineRule="auto"/>
        <w:outlineLvl w:val="2"/>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3-2其他特定资格要求</w:t>
      </w:r>
    </w:p>
    <w:p w14:paraId="7CAF2585">
      <w:pPr>
        <w:spacing w:line="360" w:lineRule="auto"/>
        <w:jc w:val="left"/>
        <w:rPr>
          <w:rFonts w:hint="eastAsia" w:ascii="宋体" w:hAnsi="宋体" w:eastAsia="宋体" w:cs="宋体"/>
          <w:bCs/>
          <w:color w:val="auto"/>
          <w:sz w:val="24"/>
          <w:highlight w:val="none"/>
        </w:rPr>
      </w:pPr>
      <w:r>
        <w:rPr>
          <w:rFonts w:hint="eastAsia" w:ascii="宋体" w:hAnsi="宋体" w:eastAsia="宋体" w:cs="宋体"/>
          <w:color w:val="auto"/>
          <w:sz w:val="24"/>
          <w:highlight w:val="none"/>
        </w:rPr>
        <w:t>3-2-1企业资质证书及安全生产许可证（</w:t>
      </w:r>
      <w:r>
        <w:rPr>
          <w:rFonts w:hint="eastAsia" w:ascii="宋体" w:hAnsi="宋体" w:eastAsia="宋体" w:cs="宋体"/>
          <w:bCs/>
          <w:color w:val="auto"/>
          <w:sz w:val="24"/>
          <w:highlight w:val="none"/>
        </w:rPr>
        <w:t>须提供有效的资质证明文件，外阜单位还须提供有效的进京备案许可证</w:t>
      </w:r>
      <w:r>
        <w:rPr>
          <w:rFonts w:hint="eastAsia" w:ascii="宋体" w:hAnsi="宋体" w:eastAsia="宋体" w:cs="宋体"/>
          <w:color w:val="auto"/>
          <w:sz w:val="24"/>
          <w:highlight w:val="none"/>
        </w:rPr>
        <w:t>）</w:t>
      </w:r>
      <w:r>
        <w:rPr>
          <w:rFonts w:hint="eastAsia" w:ascii="宋体" w:hAnsi="宋体" w:eastAsia="宋体" w:cs="宋体"/>
          <w:bCs/>
          <w:color w:val="auto"/>
          <w:sz w:val="24"/>
          <w:highlight w:val="none"/>
        </w:rPr>
        <w:t>（复印件并加盖供应商公章）。</w:t>
      </w:r>
    </w:p>
    <w:p w14:paraId="030B86B0">
      <w:pPr>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3-2-2项目经理资格证书、安全B本</w:t>
      </w:r>
      <w:bookmarkStart w:id="2141" w:name="_Toc55552114"/>
      <w:r>
        <w:rPr>
          <w:rFonts w:hint="eastAsia" w:ascii="宋体" w:hAnsi="宋体" w:eastAsia="宋体" w:cs="宋体"/>
          <w:bCs/>
          <w:color w:val="auto"/>
          <w:sz w:val="24"/>
          <w:highlight w:val="none"/>
        </w:rPr>
        <w:t>（复印件并加盖供应商公章）</w:t>
      </w:r>
    </w:p>
    <w:p w14:paraId="4A2D1538">
      <w:pPr>
        <w:tabs>
          <w:tab w:val="left" w:pos="55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3-2-3项目经理未担任其他在施建设工程项目承诺</w:t>
      </w:r>
      <w:bookmarkEnd w:id="2141"/>
      <w:r>
        <w:rPr>
          <w:rFonts w:hint="eastAsia" w:ascii="宋体" w:hAnsi="宋体" w:eastAsia="宋体" w:cs="宋体"/>
          <w:color w:val="auto"/>
          <w:sz w:val="24"/>
          <w:highlight w:val="none"/>
        </w:rPr>
        <w:t>（格式后附）</w:t>
      </w:r>
    </w:p>
    <w:p w14:paraId="459F46FF">
      <w:pPr>
        <w:spacing w:line="360" w:lineRule="auto"/>
        <w:jc w:val="center"/>
        <w:rPr>
          <w:rFonts w:hint="eastAsia" w:ascii="宋体" w:hAnsi="宋体" w:eastAsia="宋体" w:cs="宋体"/>
          <w:b/>
          <w:bCs/>
          <w:color w:val="auto"/>
          <w:sz w:val="28"/>
          <w:szCs w:val="36"/>
          <w:highlight w:val="none"/>
        </w:rPr>
      </w:pPr>
      <w:r>
        <w:rPr>
          <w:rFonts w:hint="eastAsia" w:ascii="宋体" w:hAnsi="宋体" w:eastAsia="宋体" w:cs="宋体"/>
          <w:color w:val="auto"/>
          <w:sz w:val="24"/>
          <w:highlight w:val="none"/>
        </w:rPr>
        <w:br w:type="page"/>
      </w:r>
      <w:r>
        <w:rPr>
          <w:rFonts w:hint="eastAsia" w:ascii="宋体" w:hAnsi="宋体" w:eastAsia="宋体" w:cs="宋体"/>
          <w:b/>
          <w:bCs/>
          <w:color w:val="auto"/>
          <w:sz w:val="28"/>
          <w:szCs w:val="36"/>
          <w:highlight w:val="none"/>
        </w:rPr>
        <w:t>确定成交时拟派项目经理未担任任何在施建设工程项目承诺书</w:t>
      </w:r>
    </w:p>
    <w:p w14:paraId="171FA024">
      <w:pPr>
        <w:spacing w:line="400" w:lineRule="exact"/>
        <w:rPr>
          <w:rFonts w:hint="eastAsia" w:ascii="宋体" w:hAnsi="宋体" w:eastAsia="宋体" w:cs="宋体"/>
          <w:color w:val="auto"/>
          <w:highlight w:val="none"/>
        </w:rPr>
      </w:pPr>
    </w:p>
    <w:p w14:paraId="43387C0A">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采购人</w:t>
      </w:r>
      <w:r>
        <w:rPr>
          <w:rFonts w:hint="eastAsia" w:ascii="宋体" w:hAnsi="宋体" w:eastAsia="宋体" w:cs="宋体"/>
          <w:color w:val="auto"/>
          <w:sz w:val="24"/>
          <w:highlight w:val="none"/>
        </w:rPr>
        <w:t xml:space="preserve">名称）： </w:t>
      </w:r>
    </w:p>
    <w:p w14:paraId="5AACB5FB">
      <w:pPr>
        <w:spacing w:line="400" w:lineRule="exact"/>
        <w:ind w:firstLine="480" w:firstLineChars="200"/>
        <w:rPr>
          <w:rFonts w:hint="eastAsia" w:ascii="宋体" w:hAnsi="宋体" w:eastAsia="宋体" w:cs="宋体"/>
          <w:color w:val="auto"/>
          <w:sz w:val="24"/>
          <w:highlight w:val="none"/>
        </w:rPr>
      </w:pPr>
    </w:p>
    <w:p w14:paraId="69DB064C">
      <w:pPr>
        <w:spacing w:line="432" w:lineRule="auto"/>
        <w:ind w:firstLine="720" w:firstLineChars="300"/>
        <w:rPr>
          <w:rFonts w:hint="eastAsia" w:ascii="宋体" w:hAnsi="宋体" w:eastAsia="宋体" w:cs="宋体"/>
          <w:color w:val="auto"/>
          <w:sz w:val="24"/>
          <w:highlight w:val="none"/>
        </w:rPr>
      </w:pPr>
      <w:r>
        <w:rPr>
          <w:rFonts w:hint="eastAsia" w:ascii="宋体" w:hAnsi="宋体" w:eastAsia="宋体" w:cs="宋体"/>
          <w:color w:val="auto"/>
          <w:sz w:val="24"/>
          <w:highlight w:val="none"/>
        </w:rPr>
        <w:t>我方在此声明，我方拟派往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（项目名称）（以下简称“本工程”）的项目经理</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（项目经理姓名）承诺在确定成交时未担任任何在施建设工程项目的项目经理。</w:t>
      </w:r>
    </w:p>
    <w:p w14:paraId="03E63094">
      <w:pPr>
        <w:spacing w:line="432"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我方保证上述信息的真实和准确，并愿意承担因我方就此弄虚作假所引起的一切法律后果。</w:t>
      </w:r>
    </w:p>
    <w:p w14:paraId="47B4A61D">
      <w:pPr>
        <w:spacing w:line="432" w:lineRule="auto"/>
        <w:rPr>
          <w:rFonts w:hint="eastAsia" w:ascii="宋体" w:hAnsi="宋体" w:eastAsia="宋体" w:cs="宋体"/>
          <w:color w:val="auto"/>
          <w:sz w:val="24"/>
          <w:highlight w:val="none"/>
        </w:rPr>
      </w:pPr>
    </w:p>
    <w:p w14:paraId="17E71191">
      <w:pPr>
        <w:spacing w:line="43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特此承诺</w:t>
      </w:r>
    </w:p>
    <w:p w14:paraId="783C871C">
      <w:pPr>
        <w:spacing w:line="400" w:lineRule="exact"/>
        <w:rPr>
          <w:rFonts w:hint="eastAsia" w:ascii="宋体" w:hAnsi="宋体" w:eastAsia="宋体" w:cs="宋体"/>
          <w:color w:val="auto"/>
          <w:sz w:val="24"/>
          <w:highlight w:val="none"/>
        </w:rPr>
      </w:pPr>
    </w:p>
    <w:p w14:paraId="5A5984DB">
      <w:pPr>
        <w:spacing w:line="400" w:lineRule="exact"/>
        <w:rPr>
          <w:rFonts w:hint="eastAsia" w:ascii="宋体" w:hAnsi="宋体" w:eastAsia="宋体" w:cs="宋体"/>
          <w:color w:val="auto"/>
          <w:sz w:val="24"/>
          <w:highlight w:val="none"/>
        </w:rPr>
      </w:pPr>
    </w:p>
    <w:p w14:paraId="640AC7A0">
      <w:pPr>
        <w:spacing w:line="400" w:lineRule="exact"/>
        <w:rPr>
          <w:rFonts w:hint="eastAsia" w:ascii="宋体" w:hAnsi="宋体" w:eastAsia="宋体" w:cs="宋体"/>
          <w:color w:val="auto"/>
          <w:sz w:val="24"/>
          <w:highlight w:val="none"/>
        </w:rPr>
      </w:pPr>
    </w:p>
    <w:p w14:paraId="3E054C63">
      <w:pPr>
        <w:spacing w:line="400" w:lineRule="exact"/>
        <w:rPr>
          <w:rFonts w:hint="eastAsia" w:ascii="宋体" w:hAnsi="宋体" w:eastAsia="宋体" w:cs="宋体"/>
          <w:color w:val="auto"/>
          <w:sz w:val="24"/>
          <w:highlight w:val="none"/>
        </w:rPr>
      </w:pPr>
    </w:p>
    <w:p w14:paraId="75FFDB31">
      <w:pPr>
        <w:pStyle w:val="16"/>
        <w:spacing w:line="360" w:lineRule="auto"/>
        <w:ind w:firstLine="3480" w:firstLineChars="14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（盖单位公章）</w:t>
      </w:r>
    </w:p>
    <w:p w14:paraId="5AC86610">
      <w:pPr>
        <w:spacing w:line="360" w:lineRule="auto"/>
        <w:ind w:firstLine="3360" w:firstLineChars="14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（签字</w:t>
      </w:r>
      <w:r>
        <w:rPr>
          <w:rFonts w:hint="eastAsia" w:ascii="宋体" w:hAnsi="宋体" w:eastAsia="宋体" w:cs="宋体"/>
          <w:color w:val="auto"/>
          <w:sz w:val="24"/>
          <w:szCs w:val="20"/>
          <w:highlight w:val="none"/>
          <w:lang w:val="en-US" w:eastAsia="zh-CN"/>
        </w:rPr>
        <w:t>或</w:t>
      </w:r>
      <w:r>
        <w:rPr>
          <w:rFonts w:hint="eastAsia" w:ascii="宋体" w:hAnsi="宋体" w:cs="宋体"/>
          <w:color w:val="auto"/>
          <w:sz w:val="24"/>
          <w:highlight w:val="none"/>
          <w:lang w:eastAsia="zh-CN"/>
        </w:rPr>
        <w:t>盖章</w:t>
      </w:r>
      <w:r>
        <w:rPr>
          <w:rFonts w:hint="eastAsia" w:ascii="宋体" w:hAnsi="宋体" w:eastAsia="宋体" w:cs="宋体"/>
          <w:color w:val="auto"/>
          <w:sz w:val="24"/>
          <w:highlight w:val="none"/>
        </w:rPr>
        <w:t>）</w:t>
      </w:r>
    </w:p>
    <w:p w14:paraId="3C2172AF">
      <w:pPr>
        <w:spacing w:line="360" w:lineRule="auto"/>
        <w:ind w:firstLine="3600" w:firstLineChars="15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71F997B7">
      <w:pPr>
        <w:tabs>
          <w:tab w:val="left" w:pos="5580"/>
        </w:tabs>
        <w:spacing w:line="360" w:lineRule="auto"/>
        <w:rPr>
          <w:rFonts w:hint="eastAsia" w:ascii="宋体" w:hAnsi="宋体" w:eastAsia="宋体" w:cs="宋体"/>
          <w:color w:val="auto"/>
          <w:sz w:val="24"/>
          <w:highlight w:val="none"/>
        </w:rPr>
      </w:pPr>
    </w:p>
    <w:p w14:paraId="2F1DC3DB">
      <w:pPr>
        <w:tabs>
          <w:tab w:val="left" w:pos="5580"/>
        </w:tabs>
        <w:spacing w:line="360" w:lineRule="auto"/>
        <w:rPr>
          <w:rFonts w:hint="eastAsia" w:ascii="宋体" w:hAnsi="宋体" w:eastAsia="宋体" w:cs="宋体"/>
          <w:color w:val="auto"/>
          <w:sz w:val="24"/>
          <w:highlight w:val="none"/>
        </w:rPr>
      </w:pPr>
    </w:p>
    <w:p w14:paraId="6C1F1F22">
      <w:pPr>
        <w:widowControl/>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br w:type="page"/>
      </w:r>
    </w:p>
    <w:p w14:paraId="0DAE7378">
      <w:pPr>
        <w:tabs>
          <w:tab w:val="left" w:pos="360"/>
        </w:tabs>
        <w:snapToGrid w:val="0"/>
        <w:spacing w:line="360" w:lineRule="auto"/>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4 磋商保证金凭证/交款单据电子件</w:t>
      </w:r>
    </w:p>
    <w:p w14:paraId="060A5C4B">
      <w:pPr>
        <w:widowControl/>
        <w:jc w:val="left"/>
        <w:rPr>
          <w:rFonts w:hint="eastAsia" w:ascii="宋体" w:hAnsi="宋体" w:eastAsia="宋体" w:cs="宋体"/>
          <w:color w:val="auto"/>
          <w:kern w:val="0"/>
          <w:sz w:val="24"/>
          <w:szCs w:val="20"/>
          <w:highlight w:val="none"/>
        </w:rPr>
      </w:pPr>
      <w:r>
        <w:rPr>
          <w:rFonts w:hint="eastAsia" w:ascii="宋体" w:hAnsi="宋体" w:eastAsia="宋体" w:cs="宋体"/>
          <w:b/>
          <w:color w:val="auto"/>
          <w:sz w:val="24"/>
          <w:highlight w:val="none"/>
        </w:rPr>
        <w:br w:type="page"/>
      </w:r>
    </w:p>
    <w:p w14:paraId="7549A660">
      <w:pPr>
        <w:widowControl/>
        <w:jc w:val="left"/>
        <w:rPr>
          <w:rFonts w:hint="eastAsia" w:ascii="宋体" w:hAnsi="宋体" w:eastAsia="宋体" w:cs="宋体"/>
          <w:b/>
          <w:color w:val="auto"/>
          <w:sz w:val="24"/>
          <w:highlight w:val="none"/>
        </w:rPr>
      </w:pPr>
    </w:p>
    <w:p w14:paraId="082A5519">
      <w:pPr>
        <w:tabs>
          <w:tab w:val="left" w:pos="360"/>
        </w:tabs>
        <w:snapToGrid w:val="0"/>
        <w:spacing w:line="360" w:lineRule="auto"/>
        <w:outlineLvl w:val="1"/>
        <w:rPr>
          <w:rFonts w:hint="eastAsia" w:ascii="宋体" w:hAnsi="宋体" w:eastAsia="宋体" w:cs="宋体"/>
          <w:color w:val="auto"/>
          <w:sz w:val="24"/>
          <w:highlight w:val="none"/>
          <w:lang w:eastAsia="zh-CN"/>
        </w:rPr>
      </w:pPr>
      <w:bookmarkStart w:id="2142" w:name="_Hlt520274407"/>
      <w:bookmarkEnd w:id="2142"/>
      <w:bookmarkStart w:id="2143" w:name="_Hlt520350918"/>
      <w:bookmarkEnd w:id="2143"/>
      <w:bookmarkStart w:id="2144" w:name="_Hlt520343392"/>
      <w:bookmarkEnd w:id="2144"/>
      <w:bookmarkStart w:id="2145" w:name="_Hlt520274393"/>
      <w:bookmarkEnd w:id="2145"/>
      <w:bookmarkStart w:id="2146" w:name="_Hlt520274121"/>
      <w:bookmarkEnd w:id="2146"/>
      <w:bookmarkStart w:id="2147" w:name="_Hlt520271212"/>
      <w:bookmarkEnd w:id="2147"/>
      <w:bookmarkStart w:id="2148" w:name="_Hlt520273711"/>
      <w:bookmarkEnd w:id="2148"/>
      <w:bookmarkStart w:id="2149" w:name="_Hlt520355504"/>
      <w:bookmarkEnd w:id="2149"/>
      <w:bookmarkStart w:id="2150" w:name="_Hlt520343000"/>
      <w:bookmarkEnd w:id="2150"/>
      <w:bookmarkStart w:id="2151" w:name="_Hlt520274065"/>
      <w:bookmarkEnd w:id="2151"/>
      <w:bookmarkStart w:id="2152" w:name="_Toc480942349"/>
      <w:bookmarkStart w:id="2153" w:name="_Ref467988698"/>
      <w:bookmarkStart w:id="2154" w:name="_Toc150774761"/>
      <w:bookmarkStart w:id="2155" w:name="_Toc195842921"/>
      <w:bookmarkStart w:id="2156" w:name="_Toc127151556"/>
      <w:bookmarkStart w:id="2157" w:name="_Toc226309800"/>
      <w:bookmarkStart w:id="2158" w:name="_Toc226965829"/>
      <w:bookmarkStart w:id="2159" w:name="_Toc150480794"/>
      <w:bookmarkStart w:id="2160" w:name="_Toc520356217"/>
      <w:bookmarkStart w:id="2161" w:name="_Toc142311058"/>
      <w:bookmarkStart w:id="2162" w:name="_Toc226965746"/>
      <w:bookmarkStart w:id="2163" w:name="_Toc226337252"/>
      <w:r>
        <w:rPr>
          <w:rFonts w:hint="eastAsia" w:ascii="宋体" w:hAnsi="宋体" w:eastAsia="宋体" w:cs="宋体"/>
          <w:color w:val="auto"/>
          <w:sz w:val="24"/>
          <w:highlight w:val="none"/>
        </w:rPr>
        <w:t xml:space="preserve">5  </w:t>
      </w:r>
      <w:bookmarkEnd w:id="2152"/>
      <w:bookmarkEnd w:id="2153"/>
      <w:r>
        <w:rPr>
          <w:rFonts w:hint="eastAsia" w:ascii="宋体" w:hAnsi="宋体" w:eastAsia="宋体" w:cs="宋体"/>
          <w:color w:val="auto"/>
          <w:sz w:val="24"/>
          <w:highlight w:val="none"/>
        </w:rPr>
        <w:t>响应书</w:t>
      </w:r>
      <w:bookmarkEnd w:id="2154"/>
      <w:bookmarkEnd w:id="2155"/>
      <w:bookmarkEnd w:id="2156"/>
      <w:bookmarkEnd w:id="2157"/>
      <w:bookmarkEnd w:id="2158"/>
      <w:bookmarkEnd w:id="2159"/>
      <w:bookmarkEnd w:id="2160"/>
      <w:bookmarkEnd w:id="2161"/>
      <w:bookmarkEnd w:id="2162"/>
      <w:bookmarkEnd w:id="2163"/>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实质性格式</w:t>
      </w:r>
      <w:r>
        <w:rPr>
          <w:rFonts w:hint="eastAsia" w:ascii="宋体" w:hAnsi="宋体" w:eastAsia="宋体" w:cs="宋体"/>
          <w:color w:val="auto"/>
          <w:sz w:val="24"/>
          <w:highlight w:val="none"/>
          <w:lang w:eastAsia="zh-CN"/>
        </w:rPr>
        <w:t>）</w:t>
      </w:r>
    </w:p>
    <w:p w14:paraId="3B5CD514">
      <w:pPr>
        <w:tabs>
          <w:tab w:val="left" w:pos="5580"/>
        </w:tabs>
        <w:spacing w:line="360" w:lineRule="auto"/>
        <w:rPr>
          <w:rFonts w:hint="eastAsia" w:ascii="宋体" w:hAnsi="宋体" w:eastAsia="宋体" w:cs="宋体"/>
          <w:color w:val="auto"/>
          <w:sz w:val="24"/>
          <w:highlight w:val="none"/>
        </w:rPr>
      </w:pPr>
    </w:p>
    <w:p w14:paraId="6763C582">
      <w:pPr>
        <w:spacing w:line="360" w:lineRule="auto"/>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响应书</w:t>
      </w:r>
    </w:p>
    <w:p w14:paraId="05AD8449">
      <w:pPr>
        <w:tabs>
          <w:tab w:val="left" w:pos="55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u w:val="single"/>
        </w:rPr>
        <w:t>（采购人或采购代理机构）</w:t>
      </w:r>
    </w:p>
    <w:p w14:paraId="087F1576">
      <w:pPr>
        <w:tabs>
          <w:tab w:val="left" w:pos="5580"/>
        </w:tabs>
        <w:spacing w:line="360" w:lineRule="auto"/>
        <w:rPr>
          <w:rFonts w:hint="eastAsia" w:ascii="宋体" w:hAnsi="宋体" w:eastAsia="宋体" w:cs="宋体"/>
          <w:color w:val="auto"/>
          <w:sz w:val="24"/>
          <w:szCs w:val="20"/>
          <w:highlight w:val="none"/>
        </w:rPr>
      </w:pPr>
    </w:p>
    <w:p w14:paraId="1E2B24E9">
      <w:pPr>
        <w:tabs>
          <w:tab w:val="left" w:pos="5580"/>
        </w:tabs>
        <w:spacing w:line="360" w:lineRule="auto"/>
        <w:ind w:firstLine="408"/>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我方参加你方就</w:t>
      </w:r>
      <w:r>
        <w:rPr>
          <w:rFonts w:hint="eastAsia" w:ascii="宋体" w:hAnsi="宋体" w:eastAsia="宋体" w:cs="宋体"/>
          <w:color w:val="auto"/>
          <w:sz w:val="24"/>
          <w:highlight w:val="none"/>
        </w:rPr>
        <w:t>______</w:t>
      </w:r>
      <w:r>
        <w:rPr>
          <w:rFonts w:hint="eastAsia" w:ascii="宋体" w:hAnsi="宋体" w:eastAsia="宋体" w:cs="宋体"/>
          <w:color w:val="auto"/>
          <w:sz w:val="24"/>
          <w:szCs w:val="20"/>
          <w:highlight w:val="none"/>
        </w:rPr>
        <w:t>（项目名称，</w:t>
      </w:r>
      <w:r>
        <w:rPr>
          <w:rFonts w:hint="eastAsia" w:ascii="宋体" w:hAnsi="宋体" w:cs="宋体"/>
          <w:color w:val="auto"/>
          <w:sz w:val="24"/>
          <w:szCs w:val="20"/>
          <w:highlight w:val="none"/>
          <w:lang w:val="en-US" w:eastAsia="zh-CN"/>
        </w:rPr>
        <w:t>采购文件编号</w:t>
      </w:r>
      <w:r>
        <w:rPr>
          <w:rFonts w:hint="eastAsia" w:ascii="宋体" w:hAnsi="宋体" w:eastAsia="宋体" w:cs="宋体"/>
          <w:color w:val="auto"/>
          <w:sz w:val="24"/>
          <w:szCs w:val="20"/>
          <w:highlight w:val="none"/>
        </w:rPr>
        <w:t>）组织的采购活动，并对此项目进行磋商。</w:t>
      </w:r>
    </w:p>
    <w:p w14:paraId="1454BBCF">
      <w:pPr>
        <w:tabs>
          <w:tab w:val="left" w:pos="5580"/>
        </w:tabs>
        <w:spacing w:line="360" w:lineRule="auto"/>
        <w:ind w:firstLine="408"/>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 我方</w:t>
      </w:r>
      <w:r>
        <w:rPr>
          <w:rFonts w:hint="eastAsia" w:ascii="宋体" w:hAnsi="宋体" w:eastAsia="宋体" w:cs="宋体"/>
          <w:color w:val="auto"/>
          <w:sz w:val="24"/>
          <w:highlight w:val="none"/>
        </w:rPr>
        <w:t>已详细审查全部竞争性磋商文件</w:t>
      </w:r>
      <w:r>
        <w:rPr>
          <w:rFonts w:hint="eastAsia" w:ascii="宋体" w:hAnsi="宋体" w:eastAsia="宋体" w:cs="宋体"/>
          <w:color w:val="auto"/>
          <w:sz w:val="24"/>
          <w:szCs w:val="20"/>
          <w:highlight w:val="none"/>
        </w:rPr>
        <w:t>，自愿参与磋商并承诺如下：</w:t>
      </w:r>
    </w:p>
    <w:p w14:paraId="17AFAA76">
      <w:pPr>
        <w:tabs>
          <w:tab w:val="left" w:pos="720"/>
          <w:tab w:val="left" w:pos="900"/>
        </w:tabs>
        <w:spacing w:line="360" w:lineRule="auto"/>
        <w:ind w:left="360" w:firstLine="72" w:firstLineChars="3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（1）本响应有效期为自提交响应文件的截止之日起</w:t>
      </w:r>
      <w:r>
        <w:rPr>
          <w:rFonts w:hint="eastAsia" w:ascii="宋体" w:hAnsi="宋体" w:eastAsia="宋体" w:cs="宋体"/>
          <w:color w:val="auto"/>
          <w:sz w:val="24"/>
          <w:highlight w:val="none"/>
        </w:rPr>
        <w:t>______</w:t>
      </w:r>
      <w:r>
        <w:rPr>
          <w:rFonts w:hint="eastAsia" w:ascii="宋体" w:hAnsi="宋体" w:eastAsia="宋体" w:cs="宋体"/>
          <w:color w:val="auto"/>
          <w:sz w:val="24"/>
          <w:szCs w:val="20"/>
          <w:highlight w:val="none"/>
        </w:rPr>
        <w:t>个日历日。</w:t>
      </w:r>
    </w:p>
    <w:p w14:paraId="1594006E">
      <w:pPr>
        <w:tabs>
          <w:tab w:val="left" w:pos="720"/>
          <w:tab w:val="left" w:pos="900"/>
        </w:tabs>
        <w:spacing w:line="360" w:lineRule="auto"/>
        <w:ind w:left="360" w:firstLine="72" w:firstLineChars="3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（2）除合同条款及采购需求偏离表列出的偏离外，我方响应竞争性磋商文件的全部要求。</w:t>
      </w:r>
    </w:p>
    <w:p w14:paraId="79CCC900">
      <w:pPr>
        <w:tabs>
          <w:tab w:val="left" w:pos="5580"/>
        </w:tabs>
        <w:spacing w:line="360" w:lineRule="auto"/>
        <w:ind w:firstLine="420" w:firstLineChars="175"/>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（3）我方已提供的全部文件资料是真实、准确的，并对此承担一切法律后果。</w:t>
      </w:r>
    </w:p>
    <w:p w14:paraId="71B12F45">
      <w:pPr>
        <w:tabs>
          <w:tab w:val="left" w:pos="5580"/>
        </w:tabs>
        <w:spacing w:line="360" w:lineRule="auto"/>
        <w:ind w:firstLine="420" w:firstLineChars="175"/>
        <w:rPr>
          <w:rFonts w:hint="eastAsia" w:ascii="宋体" w:hAnsi="宋体" w:eastAsia="宋体" w:cs="宋体"/>
          <w:color w:val="auto"/>
          <w:sz w:val="24"/>
          <w:highlight w:val="none"/>
        </w:rPr>
      </w:pPr>
      <w:r>
        <w:rPr>
          <w:rFonts w:hint="eastAsia" w:ascii="宋体" w:hAnsi="宋体" w:eastAsia="宋体" w:cs="宋体"/>
          <w:color w:val="auto"/>
          <w:sz w:val="24"/>
          <w:szCs w:val="20"/>
          <w:highlight w:val="none"/>
        </w:rPr>
        <w:t>（4）如我方成交，我方将在法律规定的期限内与你方签订合同，按照竞争性磋商文件要求提交履约保证金，并在合同约定的期限内完成合同规定的全部义务。</w:t>
      </w:r>
    </w:p>
    <w:p w14:paraId="0D6AE305">
      <w:pPr>
        <w:spacing w:line="360" w:lineRule="auto"/>
        <w:ind w:left="420"/>
        <w:rPr>
          <w:rFonts w:hint="eastAsia" w:ascii="宋体" w:hAnsi="宋体" w:eastAsia="宋体" w:cs="宋体"/>
          <w:color w:val="auto"/>
          <w:sz w:val="24"/>
          <w:highlight w:val="none"/>
        </w:rPr>
      </w:pPr>
      <w:r>
        <w:rPr>
          <w:rFonts w:hint="eastAsia" w:ascii="宋体" w:hAnsi="宋体" w:eastAsia="宋体" w:cs="宋体"/>
          <w:color w:val="auto"/>
          <w:sz w:val="24"/>
          <w:highlight w:val="none"/>
        </w:rPr>
        <w:t>2. 其他补充条款（如有）：如果我方成交，我方保证在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日或按照合同约定的开工日期开始本工程的施工，</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天（日历日）内竣工，并确保工程质量达到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标准，确保施工现场安全生产标准化管理目标达到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等级。</w:t>
      </w:r>
    </w:p>
    <w:p w14:paraId="5609B9DD">
      <w:pPr>
        <w:spacing w:line="360" w:lineRule="auto"/>
        <w:ind w:left="420"/>
        <w:rPr>
          <w:rFonts w:hint="eastAsia" w:ascii="宋体" w:hAnsi="宋体" w:eastAsia="宋体" w:cs="宋体"/>
          <w:color w:val="auto"/>
          <w:sz w:val="24"/>
          <w:highlight w:val="none"/>
        </w:rPr>
      </w:pPr>
    </w:p>
    <w:p w14:paraId="004B313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与本磋商有关的一切正式往来信函请寄：</w:t>
      </w:r>
    </w:p>
    <w:p w14:paraId="5DA36EBC">
      <w:pPr>
        <w:tabs>
          <w:tab w:val="left" w:pos="5580"/>
        </w:tabs>
        <w:spacing w:line="360" w:lineRule="auto"/>
        <w:ind w:left="420"/>
        <w:rPr>
          <w:rFonts w:hint="eastAsia" w:ascii="宋体" w:hAnsi="宋体" w:eastAsia="宋体" w:cs="宋体"/>
          <w:color w:val="auto"/>
          <w:sz w:val="24"/>
          <w:szCs w:val="20"/>
          <w:highlight w:val="none"/>
        </w:rPr>
      </w:pPr>
    </w:p>
    <w:p w14:paraId="2245F9A3">
      <w:pPr>
        <w:tabs>
          <w:tab w:val="left" w:pos="5580"/>
        </w:tabs>
        <w:spacing w:line="360" w:lineRule="auto"/>
        <w:ind w:left="42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地址</w:t>
      </w:r>
      <w:r>
        <w:rPr>
          <w:rFonts w:hint="eastAsia" w:ascii="宋体" w:hAnsi="宋体" w:eastAsia="宋体" w:cs="宋体"/>
          <w:bCs/>
          <w:color w:val="auto"/>
          <w:sz w:val="24"/>
          <w:highlight w:val="none"/>
        </w:rPr>
        <w:t>_________________________</w:t>
      </w:r>
      <w:r>
        <w:rPr>
          <w:rFonts w:hint="eastAsia" w:ascii="宋体" w:hAnsi="宋体" w:eastAsia="宋体" w:cs="宋体"/>
          <w:color w:val="auto"/>
          <w:sz w:val="24"/>
          <w:szCs w:val="20"/>
          <w:highlight w:val="none"/>
        </w:rPr>
        <w:t xml:space="preserve">      传   真</w:t>
      </w:r>
      <w:r>
        <w:rPr>
          <w:rFonts w:hint="eastAsia" w:ascii="宋体" w:hAnsi="宋体" w:eastAsia="宋体" w:cs="宋体"/>
          <w:bCs/>
          <w:color w:val="auto"/>
          <w:sz w:val="24"/>
          <w:highlight w:val="none"/>
        </w:rPr>
        <w:t>_________________________</w:t>
      </w:r>
    </w:p>
    <w:p w14:paraId="5FC57AAB">
      <w:pPr>
        <w:tabs>
          <w:tab w:val="left" w:pos="5580"/>
        </w:tabs>
        <w:spacing w:line="360" w:lineRule="auto"/>
        <w:ind w:left="42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电话</w:t>
      </w:r>
      <w:r>
        <w:rPr>
          <w:rFonts w:hint="eastAsia" w:ascii="宋体" w:hAnsi="宋体" w:eastAsia="宋体" w:cs="宋体"/>
          <w:bCs/>
          <w:color w:val="auto"/>
          <w:sz w:val="24"/>
          <w:highlight w:val="none"/>
        </w:rPr>
        <w:t>_________________________</w:t>
      </w:r>
      <w:r>
        <w:rPr>
          <w:rFonts w:hint="eastAsia" w:ascii="宋体" w:hAnsi="宋体" w:eastAsia="宋体" w:cs="宋体"/>
          <w:color w:val="auto"/>
          <w:sz w:val="24"/>
          <w:szCs w:val="20"/>
          <w:highlight w:val="none"/>
        </w:rPr>
        <w:t xml:space="preserve">      电子函件</w:t>
      </w:r>
      <w:r>
        <w:rPr>
          <w:rFonts w:hint="eastAsia" w:ascii="宋体" w:hAnsi="宋体" w:eastAsia="宋体" w:cs="宋体"/>
          <w:bCs/>
          <w:color w:val="auto"/>
          <w:sz w:val="24"/>
          <w:highlight w:val="none"/>
        </w:rPr>
        <w:t>_________________________</w:t>
      </w:r>
    </w:p>
    <w:p w14:paraId="34A6C5B8">
      <w:pPr>
        <w:tabs>
          <w:tab w:val="left" w:pos="5580"/>
        </w:tabs>
        <w:spacing w:line="360" w:lineRule="auto"/>
        <w:ind w:left="420"/>
        <w:rPr>
          <w:rFonts w:hint="eastAsia" w:ascii="宋体" w:hAnsi="宋体" w:eastAsia="宋体" w:cs="宋体"/>
          <w:color w:val="auto"/>
          <w:sz w:val="24"/>
          <w:szCs w:val="20"/>
          <w:highlight w:val="none"/>
        </w:rPr>
      </w:pPr>
    </w:p>
    <w:p w14:paraId="795F0228">
      <w:pPr>
        <w:tabs>
          <w:tab w:val="left" w:pos="5580"/>
        </w:tabs>
        <w:spacing w:line="360" w:lineRule="auto"/>
        <w:ind w:left="420"/>
        <w:rPr>
          <w:rFonts w:hint="eastAsia" w:ascii="宋体" w:hAnsi="宋体" w:eastAsia="宋体" w:cs="宋体"/>
          <w:color w:val="auto"/>
          <w:sz w:val="24"/>
          <w:szCs w:val="20"/>
          <w:highlight w:val="none"/>
        </w:rPr>
      </w:pPr>
    </w:p>
    <w:p w14:paraId="2249A08D">
      <w:pPr>
        <w:tabs>
          <w:tab w:val="left" w:pos="5580"/>
        </w:tabs>
        <w:spacing w:line="360" w:lineRule="auto"/>
        <w:ind w:left="420"/>
        <w:rPr>
          <w:rFonts w:hint="eastAsia" w:ascii="宋体" w:hAnsi="宋体" w:eastAsia="宋体" w:cs="宋体"/>
          <w:color w:val="auto"/>
          <w:sz w:val="24"/>
          <w:szCs w:val="20"/>
          <w:highlight w:val="none"/>
        </w:rPr>
      </w:pPr>
    </w:p>
    <w:p w14:paraId="192A176E">
      <w:pPr>
        <w:autoSpaceDE w:val="0"/>
        <w:autoSpaceDN w:val="0"/>
        <w:adjustRightInd w:val="0"/>
        <w:snapToGrid w:val="0"/>
        <w:spacing w:before="25" w:after="25" w:line="360" w:lineRule="auto"/>
        <w:ind w:right="360" w:firstLine="360" w:firstLineChars="15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供应商名称（加盖公章）</w:t>
      </w: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rPr>
        <w:t>______</w:t>
      </w:r>
    </w:p>
    <w:p w14:paraId="5739568C">
      <w:pPr>
        <w:tabs>
          <w:tab w:val="left" w:pos="5580"/>
        </w:tabs>
        <w:spacing w:line="360" w:lineRule="auto"/>
        <w:ind w:firstLine="360" w:firstLineChars="15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日期：____年____月____日  </w:t>
      </w:r>
    </w:p>
    <w:p w14:paraId="2E88ECB7">
      <w:pPr>
        <w:tabs>
          <w:tab w:val="left" w:pos="5580"/>
        </w:tabs>
        <w:spacing w:line="360" w:lineRule="auto"/>
        <w:ind w:left="420"/>
        <w:jc w:val="left"/>
        <w:rPr>
          <w:rFonts w:hint="eastAsia" w:ascii="宋体" w:hAnsi="宋体" w:eastAsia="宋体" w:cs="宋体"/>
          <w:color w:val="auto"/>
          <w:sz w:val="24"/>
          <w:szCs w:val="20"/>
          <w:highlight w:val="none"/>
        </w:rPr>
      </w:pPr>
    </w:p>
    <w:p w14:paraId="01605CED">
      <w:pPr>
        <w:widowControl/>
        <w:jc w:val="left"/>
        <w:rPr>
          <w:rFonts w:hint="eastAsia" w:ascii="宋体" w:hAnsi="宋体" w:eastAsia="宋体" w:cs="宋体"/>
          <w:b/>
          <w:color w:val="auto"/>
          <w:sz w:val="24"/>
          <w:szCs w:val="20"/>
          <w:highlight w:val="none"/>
        </w:rPr>
      </w:pPr>
      <w:r>
        <w:rPr>
          <w:rFonts w:hint="eastAsia" w:ascii="宋体" w:hAnsi="宋体" w:eastAsia="宋体" w:cs="宋体"/>
          <w:b/>
          <w:color w:val="auto"/>
          <w:sz w:val="24"/>
          <w:szCs w:val="20"/>
          <w:highlight w:val="none"/>
        </w:rPr>
        <w:br w:type="page"/>
      </w:r>
    </w:p>
    <w:p w14:paraId="7BF17737">
      <w:pPr>
        <w:widowControl/>
        <w:jc w:val="left"/>
        <w:rPr>
          <w:rFonts w:hint="eastAsia" w:ascii="宋体" w:hAnsi="宋体" w:eastAsia="宋体" w:cs="宋体"/>
          <w:color w:val="auto"/>
          <w:sz w:val="24"/>
          <w:highlight w:val="none"/>
        </w:rPr>
      </w:pPr>
      <w:bookmarkStart w:id="2164" w:name="_Hlt520356243"/>
      <w:bookmarkEnd w:id="2164"/>
      <w:bookmarkStart w:id="2165" w:name="_Hlt520355938"/>
      <w:bookmarkEnd w:id="2165"/>
      <w:bookmarkStart w:id="2166" w:name="_Toc226337253"/>
      <w:bookmarkStart w:id="2167" w:name="_Toc226309801"/>
      <w:bookmarkStart w:id="2168" w:name="_Toc150480795"/>
      <w:bookmarkStart w:id="2169" w:name="_Ref467988705"/>
      <w:bookmarkStart w:id="2170" w:name="_Toc226965747"/>
      <w:bookmarkStart w:id="2171" w:name="_Toc195842922"/>
      <w:bookmarkStart w:id="2172" w:name="_Toc264969247"/>
      <w:bookmarkStart w:id="2173" w:name="_Toc520356218"/>
      <w:bookmarkStart w:id="2174" w:name="_Toc305158825"/>
      <w:bookmarkStart w:id="2175" w:name="_Toc265228395"/>
      <w:bookmarkStart w:id="2176" w:name="_Toc142311059"/>
      <w:bookmarkStart w:id="2177" w:name="_Toc226965830"/>
      <w:bookmarkStart w:id="2178" w:name="_Toc305158899"/>
      <w:bookmarkStart w:id="2179" w:name="_Toc480942350"/>
      <w:bookmarkStart w:id="2180" w:name="_Toc127151557"/>
      <w:bookmarkStart w:id="2181" w:name="_Toc150774762"/>
    </w:p>
    <w:p w14:paraId="6896FE7D">
      <w:pPr>
        <w:tabs>
          <w:tab w:val="left" w:pos="360"/>
        </w:tabs>
        <w:snapToGrid w:val="0"/>
        <w:spacing w:line="360" w:lineRule="auto"/>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6  授权委托书</w:t>
      </w:r>
    </w:p>
    <w:p w14:paraId="76108A47">
      <w:pPr>
        <w:autoSpaceDE w:val="0"/>
        <w:autoSpaceDN w:val="0"/>
        <w:adjustRightInd w:val="0"/>
        <w:spacing w:line="360" w:lineRule="auto"/>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授权委托书</w:t>
      </w:r>
    </w:p>
    <w:p w14:paraId="4B2A6F7F">
      <w:pPr>
        <w:spacing w:line="360" w:lineRule="auto"/>
        <w:ind w:firstLine="42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14:paraId="64E068CB">
      <w:pPr>
        <w:spacing w:line="360" w:lineRule="auto"/>
        <w:ind w:firstLine="42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委托期限：自本授权委托书签署之日起至响应有效期届满之日止。</w:t>
      </w:r>
    </w:p>
    <w:p w14:paraId="5EB03B5F">
      <w:pPr>
        <w:spacing w:line="360" w:lineRule="auto"/>
        <w:ind w:firstLine="42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代理人无转委托权。</w:t>
      </w:r>
      <w:r>
        <w:rPr>
          <w:rFonts w:hint="eastAsia" w:ascii="宋体" w:hAnsi="宋体" w:eastAsia="宋体" w:cs="宋体"/>
          <w:color w:val="auto"/>
          <w:sz w:val="24"/>
          <w:szCs w:val="20"/>
          <w:highlight w:val="none"/>
        </w:rPr>
        <w:cr/>
      </w:r>
    </w:p>
    <w:p w14:paraId="7489940E">
      <w:pP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供应商名称（加盖公章）</w:t>
      </w:r>
      <w:r>
        <w:rPr>
          <w:rFonts w:hint="eastAsia" w:ascii="宋体" w:hAnsi="宋体" w:eastAsia="宋体" w:cs="宋体"/>
          <w:color w:val="auto"/>
          <w:sz w:val="24"/>
          <w:highlight w:val="none"/>
          <w:lang w:val="zh-CN"/>
        </w:rPr>
        <w:t>：</w:t>
      </w:r>
      <w:r>
        <w:rPr>
          <w:rFonts w:hint="eastAsia" w:ascii="宋体" w:hAnsi="宋体" w:eastAsia="宋体" w:cs="宋体"/>
          <w:color w:val="auto"/>
          <w:sz w:val="24"/>
          <w:szCs w:val="20"/>
          <w:highlight w:val="none"/>
        </w:rPr>
        <w:t>______________</w:t>
      </w:r>
    </w:p>
    <w:p w14:paraId="78FF4A1F">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法定代表人（单位负责人）（签字</w:t>
      </w:r>
      <w:r>
        <w:rPr>
          <w:rFonts w:hint="eastAsia" w:ascii="宋体" w:hAnsi="宋体" w:eastAsia="宋体" w:cs="宋体"/>
          <w:color w:val="auto"/>
          <w:sz w:val="24"/>
          <w:szCs w:val="20"/>
          <w:highlight w:val="none"/>
          <w:lang w:val="en-US" w:eastAsia="zh-CN"/>
        </w:rPr>
        <w:t>或</w:t>
      </w:r>
      <w:r>
        <w:rPr>
          <w:rFonts w:hint="eastAsia" w:ascii="宋体" w:hAnsi="宋体" w:cs="宋体"/>
          <w:color w:val="auto"/>
          <w:sz w:val="24"/>
          <w:szCs w:val="20"/>
          <w:highlight w:val="none"/>
          <w:lang w:eastAsia="zh-CN"/>
        </w:rPr>
        <w:t>盖章</w:t>
      </w:r>
      <w:r>
        <w:rPr>
          <w:rFonts w:hint="eastAsia" w:ascii="宋体" w:hAnsi="宋体" w:eastAsia="宋体" w:cs="宋体"/>
          <w:color w:val="auto"/>
          <w:sz w:val="24"/>
          <w:szCs w:val="20"/>
          <w:highlight w:val="none"/>
        </w:rPr>
        <w:t>）：______________</w:t>
      </w:r>
    </w:p>
    <w:p w14:paraId="1897134E">
      <w:pPr>
        <w:autoSpaceDE w:val="0"/>
        <w:autoSpaceDN w:val="0"/>
        <w:adjustRightInd w:val="0"/>
        <w:snapToGrid w:val="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委托代理人（</w:t>
      </w:r>
      <w:r>
        <w:rPr>
          <w:rFonts w:hint="eastAsia" w:ascii="宋体" w:hAnsi="宋体" w:eastAsia="宋体" w:cs="宋体"/>
          <w:color w:val="auto"/>
          <w:sz w:val="24"/>
          <w:szCs w:val="20"/>
          <w:highlight w:val="none"/>
        </w:rPr>
        <w:t>签字</w:t>
      </w:r>
      <w:r>
        <w:rPr>
          <w:rFonts w:hint="eastAsia" w:ascii="宋体" w:hAnsi="宋体" w:eastAsia="宋体" w:cs="宋体"/>
          <w:color w:val="auto"/>
          <w:sz w:val="24"/>
          <w:szCs w:val="20"/>
          <w:highlight w:val="none"/>
          <w:lang w:val="en-US" w:eastAsia="zh-CN"/>
        </w:rPr>
        <w:t>或</w:t>
      </w:r>
      <w:r>
        <w:rPr>
          <w:rFonts w:hint="eastAsia" w:ascii="宋体" w:hAnsi="宋体" w:cs="宋体"/>
          <w:color w:val="auto"/>
          <w:sz w:val="24"/>
          <w:szCs w:val="20"/>
          <w:highlight w:val="none"/>
          <w:lang w:eastAsia="zh-CN"/>
        </w:rPr>
        <w:t>盖章</w:t>
      </w:r>
      <w:r>
        <w:rPr>
          <w:rFonts w:hint="eastAsia" w:ascii="宋体" w:hAnsi="宋体" w:eastAsia="宋体" w:cs="宋体"/>
          <w:color w:val="auto"/>
          <w:sz w:val="24"/>
          <w:highlight w:val="none"/>
        </w:rPr>
        <w:t>）：</w:t>
      </w:r>
      <w:r>
        <w:rPr>
          <w:rFonts w:hint="eastAsia" w:ascii="宋体" w:hAnsi="宋体" w:eastAsia="宋体" w:cs="宋体"/>
          <w:color w:val="auto"/>
          <w:sz w:val="24"/>
          <w:szCs w:val="20"/>
          <w:highlight w:val="none"/>
        </w:rPr>
        <w:t>______________</w:t>
      </w:r>
      <w:r>
        <w:rPr>
          <w:rFonts w:hint="eastAsia" w:ascii="宋体" w:hAnsi="宋体" w:eastAsia="宋体" w:cs="宋体"/>
          <w:color w:val="auto"/>
          <w:sz w:val="24"/>
          <w:highlight w:val="none"/>
          <w:lang w:val="zh-CN"/>
        </w:rPr>
        <w:t xml:space="preserve">        </w:t>
      </w:r>
    </w:p>
    <w:p w14:paraId="186C8C36">
      <w:pPr>
        <w:autoSpaceDE w:val="0"/>
        <w:autoSpaceDN w:val="0"/>
        <w:adjustRightInd w:val="0"/>
        <w:snapToGrid w:val="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日期：</w:t>
      </w:r>
      <w:r>
        <w:rPr>
          <w:rFonts w:hint="eastAsia" w:ascii="宋体" w:hAnsi="宋体" w:eastAsia="宋体" w:cs="宋体"/>
          <w:color w:val="auto"/>
          <w:sz w:val="24"/>
          <w:szCs w:val="20"/>
          <w:highlight w:val="none"/>
        </w:rPr>
        <w:t>____</w:t>
      </w:r>
      <w:r>
        <w:rPr>
          <w:rFonts w:hint="eastAsia" w:ascii="宋体" w:hAnsi="宋体" w:eastAsia="宋体" w:cs="宋体"/>
          <w:color w:val="auto"/>
          <w:sz w:val="24"/>
          <w:highlight w:val="none"/>
        </w:rPr>
        <w:t>年</w:t>
      </w:r>
      <w:r>
        <w:rPr>
          <w:rFonts w:hint="eastAsia" w:ascii="宋体" w:hAnsi="宋体" w:eastAsia="宋体" w:cs="宋体"/>
          <w:color w:val="auto"/>
          <w:sz w:val="24"/>
          <w:szCs w:val="20"/>
          <w:highlight w:val="none"/>
        </w:rPr>
        <w:t>____</w:t>
      </w:r>
      <w:r>
        <w:rPr>
          <w:rFonts w:hint="eastAsia" w:ascii="宋体" w:hAnsi="宋体" w:eastAsia="宋体" w:cs="宋体"/>
          <w:color w:val="auto"/>
          <w:sz w:val="24"/>
          <w:highlight w:val="none"/>
        </w:rPr>
        <w:t>月</w:t>
      </w:r>
      <w:r>
        <w:rPr>
          <w:rFonts w:hint="eastAsia" w:ascii="宋体" w:hAnsi="宋体" w:eastAsia="宋体" w:cs="宋体"/>
          <w:color w:val="auto"/>
          <w:sz w:val="24"/>
          <w:szCs w:val="20"/>
          <w:highlight w:val="none"/>
        </w:rPr>
        <w:t>____</w:t>
      </w:r>
      <w:r>
        <w:rPr>
          <w:rFonts w:hint="eastAsia" w:ascii="宋体" w:hAnsi="宋体" w:eastAsia="宋体" w:cs="宋体"/>
          <w:color w:val="auto"/>
          <w:sz w:val="24"/>
          <w:highlight w:val="none"/>
        </w:rPr>
        <w:t>日</w:t>
      </w:r>
    </w:p>
    <w:p w14:paraId="3922C3A4">
      <w:pPr>
        <w:tabs>
          <w:tab w:val="left" w:pos="5580"/>
        </w:tabs>
        <w:spacing w:line="360" w:lineRule="auto"/>
        <w:ind w:firstLine="480" w:firstLineChars="200"/>
        <w:rPr>
          <w:rFonts w:hint="eastAsia" w:ascii="宋体" w:hAnsi="宋体" w:eastAsia="宋体" w:cs="宋体"/>
          <w:color w:val="auto"/>
          <w:sz w:val="24"/>
          <w:szCs w:val="20"/>
          <w:highlight w:val="none"/>
        </w:rPr>
      </w:pPr>
    </w:p>
    <w:p w14:paraId="1A4A2E77">
      <w:pPr>
        <w:tabs>
          <w:tab w:val="left" w:pos="5580"/>
        </w:tabs>
        <w:spacing w:line="360" w:lineRule="auto"/>
        <w:jc w:val="left"/>
        <w:rPr>
          <w:rFonts w:hint="eastAsia" w:ascii="宋体" w:hAnsi="宋体" w:eastAsia="宋体" w:cs="宋体"/>
          <w:color w:val="000000"/>
          <w:sz w:val="24"/>
          <w:szCs w:val="20"/>
          <w:highlight w:val="none"/>
        </w:rPr>
      </w:pPr>
      <w:r>
        <w:rPr>
          <w:rFonts w:hint="eastAsia" w:ascii="宋体" w:hAnsi="宋体" w:cs="宋体"/>
          <w:color w:val="000000"/>
          <w:sz w:val="24"/>
          <w:szCs w:val="20"/>
          <w:highlight w:val="none"/>
          <w:lang w:val="en-US" w:eastAsia="zh-CN"/>
        </w:rPr>
        <w:t>附：</w:t>
      </w:r>
      <w:r>
        <w:rPr>
          <w:rFonts w:hint="eastAsia" w:ascii="宋体" w:hAnsi="宋体" w:eastAsia="宋体" w:cs="宋体"/>
          <w:color w:val="000000"/>
          <w:sz w:val="24"/>
          <w:szCs w:val="20"/>
          <w:highlight w:val="none"/>
        </w:rPr>
        <w:t>法定代表人</w:t>
      </w:r>
      <w:r>
        <w:rPr>
          <w:rFonts w:hint="eastAsia" w:ascii="宋体" w:hAnsi="宋体" w:cs="宋体"/>
          <w:color w:val="000000"/>
          <w:sz w:val="24"/>
          <w:szCs w:val="20"/>
          <w:highlight w:val="none"/>
          <w:lang w:val="en-US" w:eastAsia="zh-CN"/>
        </w:rPr>
        <w:t>及委托代理人身份证明文件电子件</w:t>
      </w:r>
      <w:r>
        <w:rPr>
          <w:rFonts w:hint="eastAsia" w:ascii="宋体" w:hAnsi="宋体" w:eastAsia="宋体" w:cs="宋体"/>
          <w:color w:val="000000"/>
          <w:sz w:val="24"/>
          <w:szCs w:val="20"/>
          <w:highlight w:val="none"/>
        </w:rPr>
        <w:t>：</w:t>
      </w:r>
    </w:p>
    <w:tbl>
      <w:tblPr>
        <w:tblStyle w:val="1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09"/>
      </w:tblGrid>
      <w:tr w14:paraId="2FB247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07" w:hRule="atLeast"/>
        </w:trPr>
        <w:tc>
          <w:tcPr>
            <w:tcW w:w="9209" w:type="dxa"/>
            <w:noWrap w:val="0"/>
            <w:vAlign w:val="top"/>
          </w:tcPr>
          <w:p w14:paraId="02E57236">
            <w:pPr>
              <w:tabs>
                <w:tab w:val="left" w:pos="5580"/>
              </w:tabs>
              <w:spacing w:line="360" w:lineRule="auto"/>
              <w:jc w:val="left"/>
              <w:rPr>
                <w:rFonts w:hint="eastAsia" w:ascii="宋体" w:hAnsi="宋体" w:eastAsia="宋体" w:cs="宋体"/>
                <w:color w:val="000000"/>
                <w:sz w:val="24"/>
                <w:szCs w:val="20"/>
                <w:highlight w:val="none"/>
              </w:rPr>
            </w:pPr>
          </w:p>
          <w:p w14:paraId="0866F4A5">
            <w:pPr>
              <w:tabs>
                <w:tab w:val="left" w:pos="5580"/>
              </w:tabs>
              <w:spacing w:line="360" w:lineRule="auto"/>
              <w:jc w:val="left"/>
              <w:rPr>
                <w:rFonts w:hint="eastAsia" w:ascii="宋体" w:hAnsi="宋体" w:eastAsia="宋体" w:cs="宋体"/>
                <w:color w:val="000000"/>
                <w:sz w:val="24"/>
                <w:szCs w:val="20"/>
                <w:highlight w:val="none"/>
              </w:rPr>
            </w:pPr>
          </w:p>
          <w:p w14:paraId="6555F301">
            <w:pPr>
              <w:tabs>
                <w:tab w:val="left" w:pos="5580"/>
              </w:tabs>
              <w:spacing w:line="360" w:lineRule="auto"/>
              <w:jc w:val="left"/>
              <w:rPr>
                <w:rFonts w:hint="eastAsia" w:ascii="宋体" w:hAnsi="宋体" w:eastAsia="宋体" w:cs="宋体"/>
                <w:color w:val="000000"/>
                <w:sz w:val="24"/>
                <w:szCs w:val="20"/>
                <w:highlight w:val="none"/>
              </w:rPr>
            </w:pPr>
          </w:p>
          <w:p w14:paraId="5227D9C6">
            <w:pPr>
              <w:tabs>
                <w:tab w:val="left" w:pos="5580"/>
              </w:tabs>
              <w:spacing w:line="360" w:lineRule="auto"/>
              <w:jc w:val="left"/>
              <w:rPr>
                <w:rFonts w:hint="eastAsia" w:ascii="宋体" w:hAnsi="宋体" w:eastAsia="宋体" w:cs="宋体"/>
                <w:color w:val="000000"/>
                <w:sz w:val="24"/>
                <w:szCs w:val="20"/>
                <w:highlight w:val="none"/>
              </w:rPr>
            </w:pPr>
          </w:p>
        </w:tc>
      </w:tr>
    </w:tbl>
    <w:p w14:paraId="0F7063F3">
      <w:pPr>
        <w:tabs>
          <w:tab w:val="left" w:pos="5580"/>
        </w:tabs>
        <w:spacing w:line="360" w:lineRule="auto"/>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说明：</w:t>
      </w:r>
    </w:p>
    <w:p w14:paraId="61F23CE8">
      <w:pPr>
        <w:tabs>
          <w:tab w:val="left" w:pos="5580"/>
        </w:tabs>
        <w:spacing w:line="360" w:lineRule="auto"/>
        <w:jc w:val="left"/>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1.若供应商为事业单位或其他组织或分支机构，则法定代表人（单位负责人）处的签署人可为单位负责人。</w:t>
      </w:r>
    </w:p>
    <w:p w14:paraId="109993EC">
      <w:pPr>
        <w:tabs>
          <w:tab w:val="left" w:pos="5580"/>
        </w:tabs>
        <w:spacing w:line="360" w:lineRule="auto"/>
        <w:jc w:val="left"/>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2.若投标文件中签字之处均为法定代表人（单位负责人）本人签署，则可不提供本《授权委托书》，但须提供《法定代表人（单位负责人）身份证明》</w:t>
      </w:r>
      <w:r>
        <w:rPr>
          <w:rFonts w:hint="eastAsia" w:ascii="宋体" w:hAnsi="宋体" w:cs="宋体"/>
          <w:color w:val="000000"/>
          <w:sz w:val="24"/>
          <w:szCs w:val="20"/>
          <w:highlight w:val="none"/>
          <w:lang w:eastAsia="zh-CN"/>
        </w:rPr>
        <w:t>；</w:t>
      </w:r>
      <w:r>
        <w:rPr>
          <w:rFonts w:hint="eastAsia" w:ascii="宋体" w:hAnsi="宋体" w:cs="宋体"/>
          <w:color w:val="000000"/>
          <w:sz w:val="24"/>
          <w:szCs w:val="20"/>
          <w:highlight w:val="none"/>
          <w:lang w:val="en-US" w:eastAsia="zh-CN"/>
        </w:rPr>
        <w:t>否则，不需要提供</w:t>
      </w:r>
      <w:r>
        <w:rPr>
          <w:rFonts w:hint="eastAsia" w:ascii="宋体" w:hAnsi="宋体" w:eastAsia="宋体" w:cs="宋体"/>
          <w:color w:val="000000"/>
          <w:sz w:val="24"/>
          <w:szCs w:val="20"/>
          <w:highlight w:val="none"/>
        </w:rPr>
        <w:t>《法定代表人（单位负责人）身份证明》。</w:t>
      </w:r>
    </w:p>
    <w:p w14:paraId="5ED67E19">
      <w:pPr>
        <w:tabs>
          <w:tab w:val="left" w:pos="5580"/>
        </w:tabs>
        <w:spacing w:line="360" w:lineRule="auto"/>
        <w:jc w:val="left"/>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3.供应商为自然人的情形，可不提供本《授权委托书》。</w:t>
      </w:r>
    </w:p>
    <w:p w14:paraId="68BF8FB5">
      <w:pPr>
        <w:tabs>
          <w:tab w:val="left" w:pos="5580"/>
        </w:tabs>
        <w:spacing w:line="360" w:lineRule="auto"/>
        <w:jc w:val="left"/>
        <w:rPr>
          <w:rFonts w:hint="eastAsia" w:ascii="宋体" w:hAnsi="宋体" w:eastAsia="宋体" w:cs="宋体"/>
          <w:color w:val="000000"/>
          <w:sz w:val="24"/>
          <w:szCs w:val="20"/>
          <w:highlight w:val="none"/>
        </w:rPr>
      </w:pPr>
      <w:r>
        <w:rPr>
          <w:rFonts w:hint="eastAsia" w:ascii="宋体" w:hAnsi="宋体" w:cs="宋体"/>
          <w:color w:val="000000"/>
          <w:sz w:val="24"/>
          <w:szCs w:val="20"/>
          <w:highlight w:val="none"/>
          <w:lang w:val="en-US" w:eastAsia="zh-CN"/>
        </w:rPr>
        <w:t>4.</w:t>
      </w:r>
      <w:r>
        <w:rPr>
          <w:rFonts w:hint="eastAsia" w:ascii="宋体" w:hAnsi="宋体" w:eastAsia="宋体" w:cs="宋体"/>
          <w:color w:val="000000"/>
          <w:sz w:val="24"/>
          <w:szCs w:val="20"/>
          <w:highlight w:val="none"/>
          <w:lang w:val="en-US" w:eastAsia="zh-CN"/>
        </w:rPr>
        <w:t>供应商应随本《授权委托书》同时</w:t>
      </w:r>
      <w:r>
        <w:rPr>
          <w:rFonts w:hint="eastAsia" w:ascii="宋体" w:hAnsi="宋体" w:cs="宋体"/>
          <w:color w:val="000000"/>
          <w:sz w:val="24"/>
          <w:szCs w:val="20"/>
          <w:highlight w:val="none"/>
          <w:lang w:val="en-US" w:eastAsia="zh-CN"/>
        </w:rPr>
        <w:t>提</w:t>
      </w:r>
      <w:r>
        <w:rPr>
          <w:rFonts w:hint="eastAsia" w:ascii="宋体" w:hAnsi="宋体" w:eastAsia="宋体" w:cs="宋体"/>
          <w:color w:val="000000"/>
          <w:sz w:val="24"/>
          <w:szCs w:val="20"/>
          <w:highlight w:val="none"/>
          <w:lang w:val="en-US" w:eastAsia="zh-CN"/>
        </w:rPr>
        <w:t xml:space="preserve">供法定代表人（单位负责人）及委托代理人的有 </w:t>
      </w:r>
    </w:p>
    <w:p w14:paraId="51941BB1">
      <w:pPr>
        <w:tabs>
          <w:tab w:val="left" w:pos="5580"/>
        </w:tabs>
        <w:spacing w:line="360" w:lineRule="auto"/>
        <w:jc w:val="left"/>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lang w:val="en-US" w:eastAsia="zh-CN"/>
        </w:rPr>
        <w:t>效的身份证、护照等身份证明文件电子件。提供身份证的，应同时</w:t>
      </w:r>
      <w:r>
        <w:rPr>
          <w:rFonts w:hint="eastAsia" w:ascii="宋体" w:hAnsi="宋体" w:cs="宋体"/>
          <w:color w:val="000000"/>
          <w:sz w:val="24"/>
          <w:szCs w:val="20"/>
          <w:highlight w:val="none"/>
          <w:lang w:val="en-US" w:eastAsia="zh-CN"/>
        </w:rPr>
        <w:t>提供</w:t>
      </w:r>
      <w:r>
        <w:rPr>
          <w:rFonts w:hint="eastAsia" w:ascii="宋体" w:hAnsi="宋体" w:eastAsia="宋体" w:cs="宋体"/>
          <w:color w:val="000000"/>
          <w:sz w:val="24"/>
          <w:szCs w:val="20"/>
          <w:highlight w:val="none"/>
          <w:lang w:val="en-US" w:eastAsia="zh-CN"/>
        </w:rPr>
        <w:t>身份证</w:t>
      </w:r>
      <w:r>
        <w:rPr>
          <w:rFonts w:hint="eastAsia" w:ascii="宋体" w:hAnsi="宋体" w:eastAsia="宋体" w:cs="宋体"/>
          <w:b/>
          <w:bCs/>
          <w:color w:val="000000"/>
          <w:sz w:val="24"/>
          <w:szCs w:val="20"/>
          <w:highlight w:val="none"/>
          <w:lang w:val="en-US" w:eastAsia="zh-CN"/>
        </w:rPr>
        <w:t>双面</w:t>
      </w:r>
      <w:r>
        <w:rPr>
          <w:rFonts w:hint="eastAsia" w:ascii="宋体" w:hAnsi="宋体" w:eastAsia="宋体" w:cs="宋体"/>
          <w:color w:val="000000"/>
          <w:sz w:val="24"/>
          <w:szCs w:val="20"/>
          <w:highlight w:val="none"/>
          <w:lang w:val="en-US" w:eastAsia="zh-CN"/>
        </w:rPr>
        <w:t xml:space="preserve">电子 </w:t>
      </w:r>
    </w:p>
    <w:p w14:paraId="4F927F3F">
      <w:pPr>
        <w:tabs>
          <w:tab w:val="left" w:pos="5580"/>
        </w:tabs>
        <w:spacing w:line="360" w:lineRule="auto"/>
        <w:jc w:val="left"/>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lang w:val="en-US" w:eastAsia="zh-CN"/>
        </w:rPr>
        <w:t xml:space="preserve">件。 </w:t>
      </w:r>
    </w:p>
    <w:p w14:paraId="701B5618">
      <w:pPr>
        <w:widowControl/>
        <w:jc w:val="lef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r>
    </w:p>
    <w:p w14:paraId="35FF0CFE">
      <w:pPr>
        <w:autoSpaceDE w:val="0"/>
        <w:autoSpaceDN w:val="0"/>
        <w:adjustRightInd w:val="0"/>
        <w:spacing w:line="360" w:lineRule="auto"/>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附：法定代表人（单位负责人）身份证明</w:t>
      </w:r>
    </w:p>
    <w:p w14:paraId="23B3B747">
      <w:pPr>
        <w:kinsoku w:val="0"/>
        <w:overflowPunct w:val="0"/>
        <w:spacing w:line="200" w:lineRule="exact"/>
        <w:rPr>
          <w:rFonts w:hint="eastAsia" w:ascii="宋体" w:hAnsi="宋体" w:eastAsia="宋体" w:cs="宋体"/>
          <w:color w:val="auto"/>
          <w:sz w:val="20"/>
          <w:szCs w:val="20"/>
          <w:highlight w:val="none"/>
        </w:rPr>
      </w:pPr>
    </w:p>
    <w:p w14:paraId="3D6494BA">
      <w:pPr>
        <w:tabs>
          <w:tab w:val="left" w:pos="5580"/>
        </w:tabs>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致：</w:t>
      </w:r>
      <w:r>
        <w:rPr>
          <w:rFonts w:hint="eastAsia" w:ascii="宋体" w:hAnsi="宋体" w:eastAsia="宋体" w:cs="宋体"/>
          <w:color w:val="000000"/>
          <w:sz w:val="24"/>
          <w:highlight w:val="none"/>
          <w:u w:val="single"/>
        </w:rPr>
        <w:t>（采购人或采购代理机构）</w:t>
      </w:r>
    </w:p>
    <w:p w14:paraId="4DA7013C">
      <w:pPr>
        <w:pStyle w:val="7"/>
        <w:tabs>
          <w:tab w:val="left" w:pos="2412"/>
          <w:tab w:val="left" w:pos="3883"/>
          <w:tab w:val="left" w:pos="5352"/>
          <w:tab w:val="left" w:pos="6821"/>
        </w:tabs>
        <w:kinsoku w:val="0"/>
        <w:overflowPunct w:val="0"/>
        <w:spacing w:line="335" w:lineRule="exact"/>
        <w:ind w:firstLine="480" w:firstLineChars="200"/>
        <w:rPr>
          <w:rFonts w:hint="eastAsia" w:ascii="宋体" w:hAnsi="宋体" w:eastAsia="宋体" w:cs="宋体"/>
          <w:highlight w:val="none"/>
        </w:rPr>
      </w:pPr>
      <w:r>
        <w:rPr>
          <w:rFonts w:hint="eastAsia" w:ascii="宋体" w:hAnsi="宋体" w:eastAsia="宋体" w:cs="宋体"/>
          <w:highlight w:val="none"/>
        </w:rPr>
        <w:t>兹证明，</w:t>
      </w:r>
    </w:p>
    <w:p w14:paraId="3FFE5EAB">
      <w:pPr>
        <w:pStyle w:val="7"/>
        <w:tabs>
          <w:tab w:val="left" w:pos="1690"/>
          <w:tab w:val="left" w:pos="3400"/>
          <w:tab w:val="left" w:pos="5110"/>
          <w:tab w:val="left" w:pos="6821"/>
        </w:tabs>
        <w:kinsoku w:val="0"/>
        <w:overflowPunct w:val="0"/>
        <w:spacing w:line="335" w:lineRule="exact"/>
        <w:rPr>
          <w:rFonts w:hint="eastAsia" w:ascii="宋体" w:hAnsi="宋体" w:eastAsia="宋体" w:cs="宋体"/>
          <w:highlight w:val="none"/>
        </w:rPr>
      </w:pPr>
      <w:r>
        <w:rPr>
          <w:rFonts w:hint="eastAsia" w:ascii="宋体" w:hAnsi="宋体" w:eastAsia="宋体" w:cs="宋体"/>
          <w:highlight w:val="none"/>
        </w:rPr>
        <w:t>姓名：____性别：____年龄：____职务：____</w:t>
      </w:r>
    </w:p>
    <w:p w14:paraId="1DB143CA">
      <w:pPr>
        <w:pStyle w:val="7"/>
        <w:tabs>
          <w:tab w:val="left" w:pos="2412"/>
          <w:tab w:val="left" w:pos="3883"/>
          <w:tab w:val="left" w:pos="5352"/>
          <w:tab w:val="left" w:pos="6821"/>
        </w:tabs>
        <w:kinsoku w:val="0"/>
        <w:overflowPunct w:val="0"/>
        <w:spacing w:line="335" w:lineRule="exact"/>
        <w:rPr>
          <w:rFonts w:hint="eastAsia" w:ascii="宋体" w:hAnsi="宋体" w:eastAsia="宋体" w:cs="宋体"/>
          <w:highlight w:val="none"/>
        </w:rPr>
      </w:pPr>
    </w:p>
    <w:p w14:paraId="4045AE9F">
      <w:pPr>
        <w:pStyle w:val="7"/>
        <w:tabs>
          <w:tab w:val="left" w:pos="2250"/>
          <w:tab w:val="left" w:pos="2412"/>
          <w:tab w:val="left" w:pos="3883"/>
          <w:tab w:val="left" w:pos="5352"/>
          <w:tab w:val="left" w:pos="6821"/>
          <w:tab w:val="clear" w:pos="567"/>
        </w:tabs>
        <w:kinsoku w:val="0"/>
        <w:overflowPunct w:val="0"/>
        <w:spacing w:line="335" w:lineRule="exact"/>
        <w:rPr>
          <w:rFonts w:hint="eastAsia" w:ascii="宋体" w:hAnsi="宋体" w:eastAsia="宋体" w:cs="宋体"/>
          <w:highlight w:val="none"/>
        </w:rPr>
      </w:pPr>
      <w:r>
        <w:rPr>
          <w:rFonts w:hint="eastAsia" w:ascii="宋体" w:hAnsi="宋体" w:eastAsia="宋体" w:cs="宋体"/>
          <w:highlight w:val="none"/>
        </w:rPr>
        <w:t>系</w:t>
      </w:r>
      <w:r>
        <w:rPr>
          <w:rFonts w:hint="eastAsia" w:ascii="宋体" w:hAnsi="宋体" w:eastAsia="宋体" w:cs="宋体"/>
          <w:highlight w:val="none"/>
          <w:u w:val="single"/>
        </w:rPr>
        <w:tab/>
      </w:r>
      <w:r>
        <w:rPr>
          <w:rFonts w:hint="eastAsia" w:ascii="宋体" w:hAnsi="宋体" w:eastAsia="宋体" w:cs="宋体"/>
          <w:highlight w:val="none"/>
        </w:rPr>
        <w:t>（投标人名称）的法定代表人（单位负责人）。</w:t>
      </w:r>
    </w:p>
    <w:p w14:paraId="3345C887">
      <w:pPr>
        <w:pStyle w:val="7"/>
        <w:tabs>
          <w:tab w:val="left" w:pos="2412"/>
          <w:tab w:val="left" w:pos="3883"/>
          <w:tab w:val="left" w:pos="5352"/>
          <w:tab w:val="left" w:pos="6821"/>
        </w:tabs>
        <w:kinsoku w:val="0"/>
        <w:overflowPunct w:val="0"/>
        <w:spacing w:line="335" w:lineRule="exact"/>
        <w:rPr>
          <w:rFonts w:hint="eastAsia" w:ascii="宋体" w:hAnsi="宋体" w:eastAsia="宋体" w:cs="宋体"/>
          <w:highlight w:val="none"/>
        </w:rPr>
      </w:pPr>
    </w:p>
    <w:p w14:paraId="7471BA47">
      <w:pPr>
        <w:pStyle w:val="7"/>
        <w:tabs>
          <w:tab w:val="left" w:pos="2412"/>
          <w:tab w:val="left" w:pos="3883"/>
          <w:tab w:val="left" w:pos="5352"/>
          <w:tab w:val="left" w:pos="6821"/>
        </w:tabs>
        <w:kinsoku w:val="0"/>
        <w:overflowPunct w:val="0"/>
        <w:spacing w:line="335" w:lineRule="exact"/>
        <w:rPr>
          <w:rFonts w:hint="eastAsia" w:ascii="宋体" w:hAnsi="宋体" w:eastAsia="宋体" w:cs="宋体"/>
          <w:highlight w:val="none"/>
        </w:rPr>
      </w:pPr>
    </w:p>
    <w:p w14:paraId="40E5AE5C">
      <w:pPr>
        <w:pStyle w:val="7"/>
        <w:tabs>
          <w:tab w:val="left" w:pos="2412"/>
          <w:tab w:val="left" w:pos="3883"/>
          <w:tab w:val="left" w:pos="5352"/>
          <w:tab w:val="left" w:pos="6821"/>
        </w:tabs>
        <w:kinsoku w:val="0"/>
        <w:overflowPunct w:val="0"/>
        <w:spacing w:line="335" w:lineRule="exact"/>
        <w:rPr>
          <w:rFonts w:hint="eastAsia" w:ascii="宋体" w:hAnsi="宋体" w:eastAsia="宋体" w:cs="宋体"/>
          <w:highlight w:val="none"/>
        </w:rPr>
      </w:pPr>
    </w:p>
    <w:p w14:paraId="131803E7">
      <w:pPr>
        <w:pStyle w:val="7"/>
        <w:kinsoku w:val="0"/>
        <w:overflowPunct w:val="0"/>
        <w:spacing w:line="583" w:lineRule="auto"/>
        <w:ind w:right="-46"/>
        <w:rPr>
          <w:rFonts w:hint="eastAsia" w:ascii="宋体" w:hAnsi="宋体" w:eastAsia="宋体" w:cs="宋体"/>
          <w:spacing w:val="-3"/>
          <w:highlight w:val="none"/>
        </w:rPr>
      </w:pPr>
      <w:r>
        <w:rPr>
          <w:rFonts w:hint="eastAsia" w:ascii="宋体" w:hAnsi="宋体" w:eastAsia="宋体" w:cs="宋体"/>
          <w:highlight w:val="none"/>
        </w:rPr>
        <w:t>附：</w:t>
      </w:r>
      <w:r>
        <w:rPr>
          <w:rFonts w:hint="eastAsia" w:ascii="宋体" w:hAnsi="宋体" w:eastAsia="宋体" w:cs="宋体"/>
          <w:spacing w:val="-3"/>
          <w:highlight w:val="none"/>
        </w:rPr>
        <w:t>法</w:t>
      </w:r>
      <w:r>
        <w:rPr>
          <w:rFonts w:hint="eastAsia" w:ascii="宋体" w:hAnsi="宋体" w:eastAsia="宋体" w:cs="宋体"/>
          <w:highlight w:val="none"/>
        </w:rPr>
        <w:t>定</w:t>
      </w:r>
      <w:r>
        <w:rPr>
          <w:rFonts w:hint="eastAsia" w:ascii="宋体" w:hAnsi="宋体" w:eastAsia="宋体" w:cs="宋体"/>
          <w:spacing w:val="-3"/>
          <w:highlight w:val="none"/>
        </w:rPr>
        <w:t>代</w:t>
      </w:r>
      <w:r>
        <w:rPr>
          <w:rFonts w:hint="eastAsia" w:ascii="宋体" w:hAnsi="宋体" w:eastAsia="宋体" w:cs="宋体"/>
          <w:highlight w:val="none"/>
        </w:rPr>
        <w:t>表</w:t>
      </w:r>
      <w:r>
        <w:rPr>
          <w:rFonts w:hint="eastAsia" w:ascii="宋体" w:hAnsi="宋体" w:eastAsia="宋体" w:cs="宋体"/>
          <w:spacing w:val="-3"/>
          <w:highlight w:val="none"/>
        </w:rPr>
        <w:t>人</w:t>
      </w:r>
      <w:r>
        <w:rPr>
          <w:rFonts w:hint="eastAsia" w:ascii="宋体" w:hAnsi="宋体" w:eastAsia="宋体" w:cs="宋体"/>
          <w:highlight w:val="none"/>
        </w:rPr>
        <w:t>（</w:t>
      </w:r>
      <w:r>
        <w:rPr>
          <w:rFonts w:hint="eastAsia" w:ascii="宋体" w:hAnsi="宋体" w:eastAsia="宋体" w:cs="宋体"/>
          <w:spacing w:val="-3"/>
          <w:highlight w:val="none"/>
        </w:rPr>
        <w:t>单</w:t>
      </w:r>
      <w:r>
        <w:rPr>
          <w:rFonts w:hint="eastAsia" w:ascii="宋体" w:hAnsi="宋体" w:eastAsia="宋体" w:cs="宋体"/>
          <w:highlight w:val="none"/>
        </w:rPr>
        <w:t>位</w:t>
      </w:r>
      <w:r>
        <w:rPr>
          <w:rFonts w:hint="eastAsia" w:ascii="宋体" w:hAnsi="宋体" w:eastAsia="宋体" w:cs="宋体"/>
          <w:spacing w:val="-3"/>
          <w:highlight w:val="none"/>
        </w:rPr>
        <w:t>负</w:t>
      </w:r>
      <w:r>
        <w:rPr>
          <w:rFonts w:hint="eastAsia" w:ascii="宋体" w:hAnsi="宋体" w:eastAsia="宋体" w:cs="宋体"/>
          <w:highlight w:val="none"/>
        </w:rPr>
        <w:t>责人</w:t>
      </w:r>
      <w:r>
        <w:rPr>
          <w:rFonts w:hint="eastAsia" w:ascii="宋体" w:hAnsi="宋体" w:eastAsia="宋体" w:cs="宋体"/>
          <w:spacing w:val="-3"/>
          <w:highlight w:val="none"/>
        </w:rPr>
        <w:t>）身份证、护照等身份证明文件电子件。</w:t>
      </w:r>
    </w:p>
    <w:tbl>
      <w:tblPr>
        <w:tblStyle w:val="1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09"/>
      </w:tblGrid>
      <w:tr w14:paraId="76909D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9209" w:type="dxa"/>
            <w:noWrap w:val="0"/>
            <w:vAlign w:val="top"/>
          </w:tcPr>
          <w:p w14:paraId="3B4295EF">
            <w:pPr>
              <w:tabs>
                <w:tab w:val="left" w:pos="5580"/>
              </w:tabs>
              <w:spacing w:line="360" w:lineRule="auto"/>
              <w:jc w:val="left"/>
              <w:rPr>
                <w:rFonts w:hint="eastAsia" w:ascii="宋体" w:hAnsi="宋体" w:eastAsia="宋体" w:cs="宋体"/>
                <w:color w:val="000000"/>
                <w:sz w:val="24"/>
                <w:szCs w:val="20"/>
                <w:highlight w:val="none"/>
              </w:rPr>
            </w:pPr>
          </w:p>
          <w:p w14:paraId="53273DD2">
            <w:pPr>
              <w:tabs>
                <w:tab w:val="left" w:pos="5580"/>
              </w:tabs>
              <w:spacing w:line="360" w:lineRule="auto"/>
              <w:jc w:val="left"/>
              <w:rPr>
                <w:rFonts w:hint="eastAsia" w:ascii="宋体" w:hAnsi="宋体" w:eastAsia="宋体" w:cs="宋体"/>
                <w:color w:val="000000"/>
                <w:sz w:val="24"/>
                <w:szCs w:val="20"/>
                <w:highlight w:val="none"/>
              </w:rPr>
            </w:pPr>
          </w:p>
          <w:p w14:paraId="140C6A9A">
            <w:pPr>
              <w:tabs>
                <w:tab w:val="left" w:pos="5580"/>
              </w:tabs>
              <w:spacing w:line="360" w:lineRule="auto"/>
              <w:jc w:val="left"/>
              <w:rPr>
                <w:rFonts w:hint="eastAsia" w:ascii="宋体" w:hAnsi="宋体" w:eastAsia="宋体" w:cs="宋体"/>
                <w:color w:val="000000"/>
                <w:sz w:val="24"/>
                <w:szCs w:val="20"/>
                <w:highlight w:val="none"/>
              </w:rPr>
            </w:pPr>
          </w:p>
          <w:p w14:paraId="53362E34">
            <w:pPr>
              <w:tabs>
                <w:tab w:val="left" w:pos="5580"/>
              </w:tabs>
              <w:spacing w:line="360" w:lineRule="auto"/>
              <w:jc w:val="left"/>
              <w:rPr>
                <w:rFonts w:hint="eastAsia" w:ascii="宋体" w:hAnsi="宋体" w:eastAsia="宋体" w:cs="宋体"/>
                <w:color w:val="000000"/>
                <w:sz w:val="24"/>
                <w:szCs w:val="20"/>
                <w:highlight w:val="none"/>
              </w:rPr>
            </w:pPr>
          </w:p>
          <w:p w14:paraId="45B41E51">
            <w:pPr>
              <w:tabs>
                <w:tab w:val="left" w:pos="5580"/>
              </w:tabs>
              <w:spacing w:line="360" w:lineRule="auto"/>
              <w:jc w:val="left"/>
              <w:rPr>
                <w:rFonts w:hint="eastAsia" w:ascii="宋体" w:hAnsi="宋体" w:eastAsia="宋体" w:cs="宋体"/>
                <w:color w:val="000000"/>
                <w:sz w:val="24"/>
                <w:szCs w:val="20"/>
                <w:highlight w:val="none"/>
              </w:rPr>
            </w:pPr>
          </w:p>
        </w:tc>
      </w:tr>
    </w:tbl>
    <w:p w14:paraId="2A30DFEE">
      <w:pPr>
        <w:pStyle w:val="7"/>
        <w:kinsoku w:val="0"/>
        <w:overflowPunct w:val="0"/>
        <w:spacing w:line="583" w:lineRule="auto"/>
        <w:ind w:right="4305"/>
        <w:rPr>
          <w:rFonts w:hint="eastAsia" w:ascii="宋体" w:hAnsi="宋体" w:eastAsia="宋体" w:cs="宋体"/>
          <w:spacing w:val="-3"/>
          <w:highlight w:val="none"/>
        </w:rPr>
      </w:pPr>
    </w:p>
    <w:p w14:paraId="79EEF75E">
      <w:pPr>
        <w:pStyle w:val="7"/>
        <w:kinsoku w:val="0"/>
        <w:overflowPunct w:val="0"/>
        <w:spacing w:line="583" w:lineRule="auto"/>
        <w:ind w:right="4305"/>
        <w:rPr>
          <w:rFonts w:hint="eastAsia" w:ascii="宋体" w:hAnsi="宋体" w:eastAsia="宋体" w:cs="宋体"/>
          <w:spacing w:val="-3"/>
          <w:highlight w:val="none"/>
        </w:rPr>
      </w:pPr>
    </w:p>
    <w:p w14:paraId="3142F01A">
      <w:pPr>
        <w:autoSpaceDE w:val="0"/>
        <w:autoSpaceDN w:val="0"/>
        <w:adjustRightInd w:val="0"/>
        <w:snapToGrid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投标人名称（加盖公章）</w:t>
      </w:r>
      <w:r>
        <w:rPr>
          <w:rFonts w:hint="eastAsia" w:ascii="宋体" w:hAnsi="宋体" w:eastAsia="宋体" w:cs="宋体"/>
          <w:color w:val="000000"/>
          <w:sz w:val="24"/>
          <w:highlight w:val="none"/>
          <w:lang w:val="zh-CN"/>
        </w:rPr>
        <w:t>：________________</w:t>
      </w:r>
    </w:p>
    <w:p w14:paraId="0CB33324">
      <w:pPr>
        <w:pStyle w:val="7"/>
        <w:kinsoku w:val="0"/>
        <w:overflowPunct w:val="0"/>
        <w:spacing w:line="583" w:lineRule="auto"/>
        <w:ind w:right="95"/>
        <w:rPr>
          <w:rFonts w:hint="eastAsia" w:ascii="宋体" w:hAnsi="宋体" w:eastAsia="宋体" w:cs="宋体"/>
          <w:spacing w:val="-3"/>
          <w:highlight w:val="none"/>
        </w:rPr>
      </w:pPr>
      <w:r>
        <w:rPr>
          <w:rFonts w:hint="eastAsia" w:ascii="宋体" w:hAnsi="宋体" w:eastAsia="宋体" w:cs="宋体"/>
          <w:spacing w:val="-3"/>
          <w:highlight w:val="none"/>
        </w:rPr>
        <w:t>法定代表人（</w:t>
      </w:r>
      <w:r>
        <w:rPr>
          <w:rFonts w:hint="eastAsia" w:ascii="宋体" w:hAnsi="宋体" w:eastAsia="宋体" w:cs="宋体"/>
          <w:highlight w:val="none"/>
        </w:rPr>
        <w:t>单位负责人</w:t>
      </w:r>
      <w:r>
        <w:rPr>
          <w:rFonts w:hint="eastAsia" w:ascii="宋体" w:hAnsi="宋体" w:eastAsia="宋体" w:cs="宋体"/>
          <w:spacing w:val="-3"/>
          <w:highlight w:val="none"/>
        </w:rPr>
        <w:t>）（签字或</w:t>
      </w:r>
      <w:r>
        <w:rPr>
          <w:rFonts w:hint="eastAsia" w:cs="宋体"/>
          <w:spacing w:val="-3"/>
          <w:highlight w:val="none"/>
          <w:lang w:eastAsia="zh-CN"/>
        </w:rPr>
        <w:t>盖章</w:t>
      </w:r>
      <w:r>
        <w:rPr>
          <w:rFonts w:hint="eastAsia" w:ascii="宋体" w:hAnsi="宋体" w:eastAsia="宋体" w:cs="宋体"/>
          <w:spacing w:val="-3"/>
          <w:highlight w:val="none"/>
        </w:rPr>
        <w:t>）：_______</w:t>
      </w:r>
    </w:p>
    <w:p w14:paraId="25BD0955">
      <w:pPr>
        <w:autoSpaceDE w:val="0"/>
        <w:autoSpaceDN w:val="0"/>
        <w:adjustRightInd w:val="0"/>
        <w:snapToGrid w:val="0"/>
        <w:spacing w:line="360" w:lineRule="auto"/>
        <w:rPr>
          <w:rFonts w:hint="eastAsia" w:ascii="宋体" w:hAnsi="宋体" w:eastAsia="宋体" w:cs="宋体"/>
          <w:color w:val="000000"/>
          <w:sz w:val="24"/>
          <w:highlight w:val="none"/>
        </w:rPr>
      </w:pPr>
    </w:p>
    <w:p w14:paraId="36FAED00">
      <w:pPr>
        <w:autoSpaceDE w:val="0"/>
        <w:autoSpaceDN w:val="0"/>
        <w:adjustRightInd w:val="0"/>
        <w:snapToGrid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日期：_____年______月______日</w:t>
      </w:r>
    </w:p>
    <w:p w14:paraId="71FC81C9">
      <w:pPr>
        <w:widowControl/>
        <w:jc w:val="left"/>
        <w:rPr>
          <w:rFonts w:hint="eastAsia" w:ascii="宋体" w:hAnsi="宋体" w:eastAsia="宋体" w:cs="宋体"/>
          <w:i/>
          <w:color w:val="auto"/>
          <w:sz w:val="24"/>
          <w:szCs w:val="20"/>
          <w:highlight w:val="none"/>
          <w:u w:val="single"/>
        </w:rPr>
      </w:pPr>
    </w:p>
    <w:p w14:paraId="0BA8FEE1">
      <w:pPr>
        <w:widowControl/>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br w:type="page"/>
      </w:r>
    </w:p>
    <w:p w14:paraId="59D5FD43">
      <w:pPr>
        <w:tabs>
          <w:tab w:val="left" w:pos="360"/>
        </w:tabs>
        <w:snapToGrid w:val="0"/>
        <w:spacing w:line="360" w:lineRule="auto"/>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7  报价一览表</w:t>
      </w:r>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p>
    <w:p w14:paraId="252F48A3">
      <w:pPr>
        <w:spacing w:line="360" w:lineRule="exact"/>
        <w:jc w:val="center"/>
        <w:rPr>
          <w:rFonts w:hint="eastAsia" w:ascii="宋体" w:hAnsi="宋体" w:eastAsia="宋体" w:cs="宋体"/>
          <w:b/>
          <w:color w:val="auto"/>
          <w:sz w:val="36"/>
          <w:szCs w:val="36"/>
          <w:highlight w:val="none"/>
        </w:rPr>
      </w:pPr>
      <w:bookmarkStart w:id="2182" w:name="_Toc265228396"/>
      <w:bookmarkStart w:id="2183" w:name="_Toc226965831"/>
      <w:bookmarkStart w:id="2184" w:name="_Toc305158900"/>
      <w:bookmarkStart w:id="2185" w:name="_Toc164608827"/>
      <w:bookmarkStart w:id="2186" w:name="_Toc164608672"/>
      <w:bookmarkStart w:id="2187" w:name="_Toc226337254"/>
      <w:bookmarkStart w:id="2188" w:name="_Toc226965748"/>
      <w:bookmarkStart w:id="2189" w:name="_Toc195842923"/>
      <w:bookmarkStart w:id="2190" w:name="_Toc305158826"/>
      <w:bookmarkStart w:id="2191" w:name="_Toc264969248"/>
      <w:bookmarkStart w:id="2192" w:name="_Toc226309802"/>
      <w:r>
        <w:rPr>
          <w:rFonts w:hint="eastAsia" w:ascii="宋体" w:hAnsi="宋体" w:eastAsia="宋体" w:cs="宋体"/>
          <w:b/>
          <w:color w:val="auto"/>
          <w:sz w:val="36"/>
          <w:szCs w:val="36"/>
          <w:highlight w:val="none"/>
        </w:rPr>
        <w:t>报价一览表</w:t>
      </w:r>
      <w:bookmarkEnd w:id="2182"/>
      <w:bookmarkEnd w:id="2183"/>
      <w:bookmarkEnd w:id="2184"/>
      <w:bookmarkEnd w:id="2185"/>
      <w:bookmarkEnd w:id="2186"/>
      <w:bookmarkEnd w:id="2187"/>
      <w:bookmarkEnd w:id="2188"/>
      <w:bookmarkEnd w:id="2189"/>
      <w:bookmarkEnd w:id="2190"/>
      <w:bookmarkEnd w:id="2191"/>
      <w:bookmarkEnd w:id="2192"/>
    </w:p>
    <w:p w14:paraId="07C8D1E4">
      <w:pPr>
        <w:tabs>
          <w:tab w:val="left" w:pos="1800"/>
          <w:tab w:val="left" w:pos="5580"/>
        </w:tabs>
        <w:spacing w:line="360" w:lineRule="auto"/>
        <w:jc w:val="left"/>
        <w:rPr>
          <w:rFonts w:hint="eastAsia" w:ascii="宋体" w:hAnsi="宋体" w:eastAsia="宋体" w:cs="宋体"/>
          <w:color w:val="auto"/>
          <w:sz w:val="24"/>
          <w:highlight w:val="none"/>
        </w:rPr>
      </w:pPr>
    </w:p>
    <w:p w14:paraId="6174522E">
      <w:pPr>
        <w:tabs>
          <w:tab w:val="left" w:pos="1800"/>
          <w:tab w:val="left" w:pos="5580"/>
        </w:tabs>
        <w:spacing w:line="360" w:lineRule="auto"/>
        <w:ind w:firstLine="240" w:firstLineChars="100"/>
        <w:jc w:val="left"/>
        <w:rPr>
          <w:rFonts w:hint="eastAsia" w:ascii="宋体" w:hAnsi="宋体" w:eastAsia="宋体" w:cs="宋体"/>
          <w:color w:val="auto"/>
          <w:sz w:val="24"/>
          <w:highlight w:val="none"/>
          <w:u w:val="single"/>
        </w:rPr>
      </w:pPr>
      <w:r>
        <w:rPr>
          <w:rFonts w:hint="eastAsia" w:ascii="宋体" w:hAnsi="宋体" w:cs="宋体"/>
          <w:color w:val="auto"/>
          <w:sz w:val="24"/>
          <w:szCs w:val="20"/>
          <w:highlight w:val="none"/>
          <w:lang w:val="en-US" w:eastAsia="zh-CN"/>
        </w:rPr>
        <w:t>采购文件编号</w:t>
      </w:r>
      <w:r>
        <w:rPr>
          <w:rFonts w:hint="eastAsia" w:ascii="宋体" w:hAnsi="宋体" w:eastAsia="宋体" w:cs="宋体"/>
          <w:color w:val="auto"/>
          <w:sz w:val="24"/>
          <w:highlight w:val="none"/>
        </w:rPr>
        <w:t>：___________     项目名称：___________</w:t>
      </w:r>
    </w:p>
    <w:tbl>
      <w:tblPr>
        <w:tblStyle w:val="18"/>
        <w:tblW w:w="501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92"/>
        <w:gridCol w:w="2367"/>
        <w:gridCol w:w="2332"/>
        <w:gridCol w:w="1893"/>
        <w:gridCol w:w="1922"/>
      </w:tblGrid>
      <w:tr w14:paraId="0B05F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325" w:type="pct"/>
            <w:vMerge w:val="restart"/>
            <w:tcBorders>
              <w:top w:val="single" w:color="auto" w:sz="4" w:space="0"/>
              <w:left w:val="single" w:color="auto" w:sz="4" w:space="0"/>
              <w:bottom w:val="single" w:color="auto" w:sz="4" w:space="0"/>
              <w:right w:val="single" w:color="auto" w:sz="4" w:space="0"/>
            </w:tcBorders>
            <w:noWrap w:val="0"/>
            <w:vAlign w:val="center"/>
          </w:tcPr>
          <w:p w14:paraId="66B3E5EB">
            <w:pPr>
              <w:tabs>
                <w:tab w:val="left" w:pos="5580"/>
              </w:tabs>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1299" w:type="pct"/>
            <w:vMerge w:val="restart"/>
            <w:tcBorders>
              <w:top w:val="single" w:color="auto" w:sz="4" w:space="0"/>
              <w:left w:val="single" w:color="auto" w:sz="4" w:space="0"/>
              <w:bottom w:val="single" w:color="auto" w:sz="4" w:space="0"/>
              <w:right w:val="single" w:color="auto" w:sz="4" w:space="0"/>
            </w:tcBorders>
            <w:noWrap w:val="0"/>
            <w:vAlign w:val="center"/>
          </w:tcPr>
          <w:p w14:paraId="19CA1701">
            <w:pPr>
              <w:tabs>
                <w:tab w:val="left" w:pos="5580"/>
              </w:tabs>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供应商名称</w:t>
            </w:r>
          </w:p>
        </w:tc>
        <w:tc>
          <w:tcPr>
            <w:tcW w:w="1280" w:type="pct"/>
            <w:vMerge w:val="restart"/>
            <w:tcBorders>
              <w:top w:val="single" w:color="auto" w:sz="4" w:space="0"/>
              <w:left w:val="single" w:color="auto" w:sz="4" w:space="0"/>
              <w:right w:val="single" w:color="auto" w:sz="4" w:space="0"/>
            </w:tcBorders>
            <w:noWrap w:val="0"/>
            <w:vAlign w:val="center"/>
          </w:tcPr>
          <w:p w14:paraId="6580A13E">
            <w:pPr>
              <w:tabs>
                <w:tab w:val="left" w:pos="5580"/>
              </w:tabs>
              <w:jc w:val="center"/>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工期</w:t>
            </w:r>
          </w:p>
        </w:tc>
        <w:tc>
          <w:tcPr>
            <w:tcW w:w="2093" w:type="pct"/>
            <w:gridSpan w:val="2"/>
            <w:tcBorders>
              <w:top w:val="single" w:color="auto" w:sz="4" w:space="0"/>
              <w:left w:val="single" w:color="auto" w:sz="4" w:space="0"/>
              <w:bottom w:val="single" w:color="auto" w:sz="4" w:space="0"/>
              <w:right w:val="single" w:color="auto" w:sz="4" w:space="0"/>
            </w:tcBorders>
            <w:noWrap w:val="0"/>
            <w:vAlign w:val="center"/>
          </w:tcPr>
          <w:p w14:paraId="57842A0C">
            <w:pPr>
              <w:tabs>
                <w:tab w:val="left" w:pos="5580"/>
              </w:tabs>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报价</w:t>
            </w:r>
          </w:p>
        </w:tc>
      </w:tr>
      <w:tr w14:paraId="49DF1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325" w:type="pct"/>
            <w:vMerge w:val="continue"/>
            <w:tcBorders>
              <w:top w:val="single" w:color="auto" w:sz="4" w:space="0"/>
              <w:left w:val="single" w:color="auto" w:sz="4" w:space="0"/>
              <w:bottom w:val="single" w:color="auto" w:sz="4" w:space="0"/>
              <w:right w:val="single" w:color="auto" w:sz="4" w:space="0"/>
            </w:tcBorders>
            <w:noWrap w:val="0"/>
            <w:vAlign w:val="center"/>
          </w:tcPr>
          <w:p w14:paraId="0BEEAED3">
            <w:pPr>
              <w:widowControl/>
              <w:jc w:val="left"/>
              <w:rPr>
                <w:rFonts w:hint="eastAsia" w:ascii="宋体" w:hAnsi="宋体" w:eastAsia="宋体" w:cs="宋体"/>
                <w:b/>
                <w:color w:val="auto"/>
                <w:sz w:val="24"/>
                <w:highlight w:val="none"/>
              </w:rPr>
            </w:pPr>
          </w:p>
        </w:tc>
        <w:tc>
          <w:tcPr>
            <w:tcW w:w="1299" w:type="pct"/>
            <w:vMerge w:val="continue"/>
            <w:tcBorders>
              <w:top w:val="single" w:color="auto" w:sz="4" w:space="0"/>
              <w:left w:val="single" w:color="auto" w:sz="4" w:space="0"/>
              <w:bottom w:val="single" w:color="auto" w:sz="4" w:space="0"/>
              <w:right w:val="single" w:color="auto" w:sz="4" w:space="0"/>
            </w:tcBorders>
            <w:noWrap w:val="0"/>
            <w:vAlign w:val="center"/>
          </w:tcPr>
          <w:p w14:paraId="13F0E00A">
            <w:pPr>
              <w:widowControl/>
              <w:jc w:val="left"/>
              <w:rPr>
                <w:rFonts w:hint="eastAsia" w:ascii="宋体" w:hAnsi="宋体" w:eastAsia="宋体" w:cs="宋体"/>
                <w:b/>
                <w:color w:val="auto"/>
                <w:sz w:val="24"/>
                <w:highlight w:val="none"/>
              </w:rPr>
            </w:pPr>
          </w:p>
        </w:tc>
        <w:tc>
          <w:tcPr>
            <w:tcW w:w="1280" w:type="pct"/>
            <w:vMerge w:val="continue"/>
            <w:tcBorders>
              <w:left w:val="single" w:color="auto" w:sz="4" w:space="0"/>
              <w:bottom w:val="single" w:color="auto" w:sz="4" w:space="0"/>
              <w:right w:val="single" w:color="auto" w:sz="4" w:space="0"/>
            </w:tcBorders>
            <w:noWrap w:val="0"/>
            <w:vAlign w:val="center"/>
          </w:tcPr>
          <w:p w14:paraId="2F670A4F">
            <w:pPr>
              <w:tabs>
                <w:tab w:val="left" w:pos="5580"/>
              </w:tabs>
              <w:jc w:val="center"/>
              <w:rPr>
                <w:rFonts w:hint="eastAsia" w:ascii="宋体" w:hAnsi="宋体" w:eastAsia="宋体" w:cs="宋体"/>
                <w:b/>
                <w:color w:val="auto"/>
                <w:sz w:val="24"/>
                <w:highlight w:val="none"/>
              </w:rPr>
            </w:pPr>
          </w:p>
        </w:tc>
        <w:tc>
          <w:tcPr>
            <w:tcW w:w="1039" w:type="pct"/>
            <w:tcBorders>
              <w:top w:val="single" w:color="auto" w:sz="4" w:space="0"/>
              <w:left w:val="single" w:color="auto" w:sz="4" w:space="0"/>
              <w:bottom w:val="single" w:color="auto" w:sz="4" w:space="0"/>
              <w:right w:val="single" w:color="auto" w:sz="4" w:space="0"/>
            </w:tcBorders>
            <w:noWrap w:val="0"/>
            <w:vAlign w:val="center"/>
          </w:tcPr>
          <w:p w14:paraId="62D8D63F">
            <w:pPr>
              <w:tabs>
                <w:tab w:val="left" w:pos="5580"/>
              </w:tabs>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大写</w:t>
            </w:r>
          </w:p>
        </w:tc>
        <w:tc>
          <w:tcPr>
            <w:tcW w:w="1054" w:type="pct"/>
            <w:tcBorders>
              <w:top w:val="single" w:color="auto" w:sz="4" w:space="0"/>
              <w:left w:val="single" w:color="auto" w:sz="4" w:space="0"/>
              <w:bottom w:val="single" w:color="auto" w:sz="4" w:space="0"/>
              <w:right w:val="single" w:color="auto" w:sz="4" w:space="0"/>
            </w:tcBorders>
            <w:noWrap w:val="0"/>
            <w:vAlign w:val="center"/>
          </w:tcPr>
          <w:p w14:paraId="227C257A">
            <w:pPr>
              <w:tabs>
                <w:tab w:val="left" w:pos="5580"/>
              </w:tabs>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小写</w:t>
            </w:r>
          </w:p>
        </w:tc>
      </w:tr>
      <w:tr w14:paraId="100BA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325" w:type="pct"/>
            <w:tcBorders>
              <w:top w:val="single" w:color="auto" w:sz="4" w:space="0"/>
              <w:left w:val="single" w:color="auto" w:sz="4" w:space="0"/>
              <w:bottom w:val="single" w:color="auto" w:sz="4" w:space="0"/>
              <w:right w:val="single" w:color="auto" w:sz="4" w:space="0"/>
            </w:tcBorders>
            <w:noWrap w:val="0"/>
            <w:vAlign w:val="center"/>
          </w:tcPr>
          <w:p w14:paraId="7292D1F5">
            <w:pPr>
              <w:tabs>
                <w:tab w:val="left" w:pos="5580"/>
              </w:tabs>
              <w:jc w:val="center"/>
              <w:rPr>
                <w:rFonts w:hint="eastAsia" w:ascii="宋体" w:hAnsi="宋体" w:eastAsia="宋体" w:cs="宋体"/>
                <w:color w:val="auto"/>
                <w:sz w:val="24"/>
                <w:highlight w:val="none"/>
              </w:rPr>
            </w:pPr>
          </w:p>
        </w:tc>
        <w:tc>
          <w:tcPr>
            <w:tcW w:w="1299" w:type="pct"/>
            <w:tcBorders>
              <w:top w:val="single" w:color="auto" w:sz="4" w:space="0"/>
              <w:left w:val="single" w:color="auto" w:sz="4" w:space="0"/>
              <w:bottom w:val="single" w:color="auto" w:sz="4" w:space="0"/>
              <w:right w:val="single" w:color="auto" w:sz="4" w:space="0"/>
            </w:tcBorders>
            <w:noWrap w:val="0"/>
            <w:vAlign w:val="center"/>
          </w:tcPr>
          <w:p w14:paraId="4FB9F26E">
            <w:pPr>
              <w:tabs>
                <w:tab w:val="left" w:pos="5580"/>
              </w:tabs>
              <w:jc w:val="center"/>
              <w:rPr>
                <w:rFonts w:hint="eastAsia" w:ascii="宋体" w:hAnsi="宋体" w:eastAsia="宋体" w:cs="宋体"/>
                <w:color w:val="auto"/>
                <w:sz w:val="24"/>
                <w:highlight w:val="none"/>
              </w:rPr>
            </w:pPr>
          </w:p>
        </w:tc>
        <w:tc>
          <w:tcPr>
            <w:tcW w:w="1280" w:type="pct"/>
            <w:tcBorders>
              <w:top w:val="single" w:color="auto" w:sz="4" w:space="0"/>
              <w:left w:val="single" w:color="auto" w:sz="4" w:space="0"/>
              <w:bottom w:val="single" w:color="auto" w:sz="4" w:space="0"/>
              <w:right w:val="single" w:color="auto" w:sz="4" w:space="0"/>
            </w:tcBorders>
            <w:noWrap w:val="0"/>
            <w:vAlign w:val="center"/>
          </w:tcPr>
          <w:p w14:paraId="0E73BEC6">
            <w:pPr>
              <w:tabs>
                <w:tab w:val="left" w:pos="5580"/>
              </w:tabs>
              <w:jc w:val="center"/>
              <w:rPr>
                <w:rFonts w:hint="eastAsia" w:ascii="宋体" w:hAnsi="宋体" w:eastAsia="宋体" w:cs="宋体"/>
                <w:color w:val="auto"/>
                <w:sz w:val="24"/>
                <w:highlight w:val="none"/>
              </w:rPr>
            </w:pPr>
          </w:p>
        </w:tc>
        <w:tc>
          <w:tcPr>
            <w:tcW w:w="1039" w:type="pct"/>
            <w:tcBorders>
              <w:top w:val="single" w:color="auto" w:sz="4" w:space="0"/>
              <w:left w:val="single" w:color="auto" w:sz="4" w:space="0"/>
              <w:bottom w:val="single" w:color="auto" w:sz="4" w:space="0"/>
              <w:right w:val="single" w:color="auto" w:sz="4" w:space="0"/>
            </w:tcBorders>
            <w:noWrap w:val="0"/>
            <w:vAlign w:val="center"/>
          </w:tcPr>
          <w:p w14:paraId="56FB9FF6">
            <w:pPr>
              <w:tabs>
                <w:tab w:val="left" w:pos="5580"/>
              </w:tabs>
              <w:jc w:val="center"/>
              <w:rPr>
                <w:rFonts w:hint="eastAsia" w:ascii="宋体" w:hAnsi="宋体" w:eastAsia="宋体" w:cs="宋体"/>
                <w:color w:val="auto"/>
                <w:sz w:val="24"/>
                <w:highlight w:val="none"/>
              </w:rPr>
            </w:pPr>
          </w:p>
        </w:tc>
        <w:tc>
          <w:tcPr>
            <w:tcW w:w="1054" w:type="pct"/>
            <w:tcBorders>
              <w:top w:val="single" w:color="auto" w:sz="4" w:space="0"/>
              <w:left w:val="single" w:color="auto" w:sz="4" w:space="0"/>
              <w:bottom w:val="single" w:color="auto" w:sz="4" w:space="0"/>
              <w:right w:val="single" w:color="auto" w:sz="4" w:space="0"/>
            </w:tcBorders>
            <w:noWrap w:val="0"/>
            <w:vAlign w:val="center"/>
          </w:tcPr>
          <w:p w14:paraId="439787A1">
            <w:pPr>
              <w:tabs>
                <w:tab w:val="left" w:pos="5580"/>
              </w:tabs>
              <w:jc w:val="center"/>
              <w:rPr>
                <w:rFonts w:hint="eastAsia" w:ascii="宋体" w:hAnsi="宋体" w:eastAsia="宋体" w:cs="宋体"/>
                <w:color w:val="auto"/>
                <w:sz w:val="24"/>
                <w:highlight w:val="none"/>
              </w:rPr>
            </w:pPr>
          </w:p>
        </w:tc>
      </w:tr>
    </w:tbl>
    <w:p w14:paraId="010CA9E9">
      <w:pPr>
        <w:autoSpaceDE w:val="0"/>
        <w:autoSpaceDN w:val="0"/>
        <w:adjustRightInd w:val="0"/>
        <w:jc w:val="left"/>
        <w:rPr>
          <w:rFonts w:hint="eastAsia" w:ascii="宋体" w:hAnsi="宋体" w:eastAsia="宋体" w:cs="宋体"/>
          <w:color w:val="auto"/>
          <w:kern w:val="0"/>
          <w:sz w:val="24"/>
          <w:highlight w:val="none"/>
        </w:rPr>
      </w:pPr>
    </w:p>
    <w:p w14:paraId="3F0EAD5E">
      <w:pPr>
        <w:autoSpaceDE w:val="0"/>
        <w:autoSpaceDN w:val="0"/>
        <w:adjustRightInd w:val="0"/>
        <w:jc w:val="left"/>
        <w:rPr>
          <w:rFonts w:hint="eastAsia" w:ascii="宋体" w:hAnsi="宋体" w:eastAsia="宋体" w:cs="宋体"/>
          <w:color w:val="auto"/>
          <w:sz w:val="24"/>
          <w:szCs w:val="20"/>
          <w:highlight w:val="none"/>
        </w:rPr>
      </w:pPr>
      <w:r>
        <w:rPr>
          <w:rFonts w:hint="eastAsia" w:ascii="宋体" w:hAnsi="宋体" w:eastAsia="宋体" w:cs="宋体"/>
          <w:color w:val="auto"/>
          <w:kern w:val="0"/>
          <w:sz w:val="24"/>
          <w:highlight w:val="none"/>
        </w:rPr>
        <w:t>注：1</w:t>
      </w:r>
      <w:r>
        <w:rPr>
          <w:rFonts w:hint="eastAsia" w:ascii="宋体" w:hAnsi="宋体" w:eastAsia="宋体" w:cs="宋体"/>
          <w:color w:val="auto"/>
          <w:sz w:val="24"/>
          <w:szCs w:val="20"/>
          <w:highlight w:val="none"/>
        </w:rPr>
        <w:t>.此表中，每包的报价应和《分项报价表》中的总价相一致。</w:t>
      </w:r>
    </w:p>
    <w:p w14:paraId="4875EA82">
      <w:pPr>
        <w:tabs>
          <w:tab w:val="left" w:pos="5580"/>
        </w:tabs>
        <w:ind w:firstLine="480" w:firstLineChars="20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2.本表必须按包分别填写。</w:t>
      </w:r>
    </w:p>
    <w:p w14:paraId="289874B3">
      <w:pPr>
        <w:tabs>
          <w:tab w:val="left" w:pos="5580"/>
        </w:tabs>
        <w:ind w:firstLine="480" w:firstLineChars="200"/>
        <w:rPr>
          <w:rFonts w:hint="eastAsia" w:ascii="宋体" w:hAnsi="宋体" w:eastAsia="宋体" w:cs="宋体"/>
          <w:color w:val="auto"/>
          <w:sz w:val="24"/>
          <w:szCs w:val="20"/>
          <w:highlight w:val="none"/>
        </w:rPr>
      </w:pPr>
    </w:p>
    <w:p w14:paraId="4BBD8E7B">
      <w:pPr>
        <w:autoSpaceDE w:val="0"/>
        <w:autoSpaceDN w:val="0"/>
        <w:adjustRightInd w:val="0"/>
        <w:snapToGrid w:val="0"/>
        <w:spacing w:before="25" w:after="25" w:line="360" w:lineRule="auto"/>
        <w:rPr>
          <w:rFonts w:hint="eastAsia" w:ascii="宋体" w:hAnsi="宋体" w:eastAsia="宋体" w:cs="宋体"/>
          <w:color w:val="auto"/>
          <w:sz w:val="24"/>
          <w:highlight w:val="none"/>
          <w:lang w:val="zh-CN"/>
        </w:rPr>
      </w:pPr>
    </w:p>
    <w:p w14:paraId="214B6D82">
      <w:pPr>
        <w:autoSpaceDE w:val="0"/>
        <w:autoSpaceDN w:val="0"/>
        <w:adjustRightInd w:val="0"/>
        <w:snapToGrid w:val="0"/>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w:t>
      </w:r>
    </w:p>
    <w:p w14:paraId="5C2F0350">
      <w:pPr>
        <w:autoSpaceDE w:val="0"/>
        <w:autoSpaceDN w:val="0"/>
        <w:adjustRightInd w:val="0"/>
        <w:snapToGrid w:val="0"/>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供应商名称（加盖公章）</w:t>
      </w: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rPr>
        <w:t>___________</w:t>
      </w:r>
    </w:p>
    <w:p w14:paraId="770100A5">
      <w:pPr>
        <w:autoSpaceDE w:val="0"/>
        <w:autoSpaceDN w:val="0"/>
        <w:adjustRightInd w:val="0"/>
        <w:snapToGrid w:val="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日期：</w:t>
      </w:r>
      <w:r>
        <w:rPr>
          <w:rFonts w:hint="eastAsia" w:ascii="宋体" w:hAnsi="宋体" w:eastAsia="宋体" w:cs="宋体"/>
          <w:color w:val="auto"/>
          <w:sz w:val="24"/>
          <w:szCs w:val="20"/>
          <w:highlight w:val="none"/>
        </w:rPr>
        <w:t>____年____月____日</w:t>
      </w:r>
    </w:p>
    <w:p w14:paraId="3A4FA3B0">
      <w:pPr>
        <w:autoSpaceDE w:val="0"/>
        <w:autoSpaceDN w:val="0"/>
        <w:adjustRightInd w:val="0"/>
        <w:snapToGrid w:val="0"/>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  </w:t>
      </w:r>
    </w:p>
    <w:p w14:paraId="2A972683">
      <w:pPr>
        <w:widowControl/>
        <w:jc w:val="left"/>
        <w:rPr>
          <w:rFonts w:hint="eastAsia" w:ascii="宋体" w:hAnsi="宋体" w:eastAsia="宋体" w:cs="宋体"/>
          <w:color w:val="auto"/>
          <w:sz w:val="24"/>
          <w:szCs w:val="20"/>
          <w:highlight w:val="none"/>
        </w:rPr>
      </w:pPr>
      <w:bookmarkStart w:id="2193" w:name="_Toc226965832"/>
      <w:bookmarkStart w:id="2194" w:name="_Toc127151558"/>
      <w:bookmarkStart w:id="2195" w:name="_Toc150774763"/>
      <w:bookmarkStart w:id="2196" w:name="_Toc226965749"/>
      <w:bookmarkStart w:id="2197" w:name="_Toc226337255"/>
      <w:bookmarkStart w:id="2198" w:name="_Toc264969249"/>
      <w:bookmarkStart w:id="2199" w:name="_Toc226309803"/>
      <w:bookmarkStart w:id="2200" w:name="_Toc142311060"/>
      <w:bookmarkStart w:id="2201" w:name="_Toc305158901"/>
      <w:bookmarkStart w:id="2202" w:name="_Toc150480796"/>
      <w:bookmarkStart w:id="2203" w:name="_Toc305158827"/>
      <w:bookmarkStart w:id="2204" w:name="_Toc195842924"/>
      <w:bookmarkStart w:id="2205" w:name="_Toc265228397"/>
      <w:r>
        <w:rPr>
          <w:rFonts w:hint="eastAsia" w:ascii="宋体" w:hAnsi="宋体" w:eastAsia="宋体" w:cs="宋体"/>
          <w:color w:val="auto"/>
          <w:sz w:val="24"/>
          <w:szCs w:val="20"/>
          <w:highlight w:val="none"/>
        </w:rPr>
        <w:br w:type="page"/>
      </w:r>
    </w:p>
    <w:p w14:paraId="6D87C7D1">
      <w:pPr>
        <w:tabs>
          <w:tab w:val="left" w:pos="360"/>
        </w:tabs>
        <w:snapToGrid w:val="0"/>
        <w:spacing w:line="360" w:lineRule="auto"/>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8  分项报价表</w:t>
      </w:r>
      <w:bookmarkEnd w:id="2193"/>
      <w:bookmarkEnd w:id="2194"/>
      <w:bookmarkEnd w:id="2195"/>
      <w:bookmarkEnd w:id="2196"/>
      <w:bookmarkEnd w:id="2197"/>
      <w:bookmarkEnd w:id="2198"/>
      <w:bookmarkEnd w:id="2199"/>
      <w:bookmarkEnd w:id="2200"/>
      <w:bookmarkEnd w:id="2201"/>
      <w:bookmarkEnd w:id="2202"/>
      <w:bookmarkEnd w:id="2203"/>
      <w:bookmarkEnd w:id="2204"/>
      <w:bookmarkEnd w:id="2205"/>
    </w:p>
    <w:p w14:paraId="5F6880DB">
      <w:pPr>
        <w:spacing w:line="360" w:lineRule="exact"/>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分项报价表</w:t>
      </w:r>
    </w:p>
    <w:p w14:paraId="04CD4C35">
      <w:pPr>
        <w:spacing w:line="260" w:lineRule="exact"/>
        <w:jc w:val="center"/>
        <w:rPr>
          <w:rFonts w:hint="eastAsia" w:ascii="宋体" w:hAnsi="宋体" w:eastAsia="宋体" w:cs="宋体"/>
          <w:color w:val="auto"/>
          <w:sz w:val="36"/>
          <w:szCs w:val="36"/>
          <w:highlight w:val="none"/>
        </w:rPr>
      </w:pPr>
    </w:p>
    <w:p w14:paraId="7C9F73C0">
      <w:pPr>
        <w:tabs>
          <w:tab w:val="left" w:pos="1800"/>
          <w:tab w:val="left" w:pos="5580"/>
        </w:tabs>
        <w:rPr>
          <w:rFonts w:hint="eastAsia" w:ascii="宋体" w:hAnsi="宋体" w:eastAsia="宋体" w:cs="宋体"/>
          <w:color w:val="auto"/>
          <w:sz w:val="24"/>
          <w:highlight w:val="none"/>
        </w:rPr>
      </w:pPr>
      <w:r>
        <w:rPr>
          <w:rFonts w:hint="eastAsia" w:ascii="宋体" w:hAnsi="宋体" w:cs="宋体"/>
          <w:color w:val="auto"/>
          <w:sz w:val="24"/>
          <w:szCs w:val="20"/>
          <w:highlight w:val="none"/>
          <w:lang w:val="en-US" w:eastAsia="zh-CN"/>
        </w:rPr>
        <w:t>采购文件编号</w:t>
      </w:r>
      <w:r>
        <w:rPr>
          <w:rFonts w:hint="eastAsia" w:ascii="宋体" w:hAnsi="宋体" w:eastAsia="宋体" w:cs="宋体"/>
          <w:color w:val="auto"/>
          <w:sz w:val="24"/>
          <w:highlight w:val="none"/>
        </w:rPr>
        <w:t>：_________ 项目名称：_________</w:t>
      </w:r>
    </w:p>
    <w:p w14:paraId="67A7B35D">
      <w:pPr>
        <w:adjustRightInd w:val="0"/>
        <w:snapToGrid w:val="0"/>
        <w:spacing w:before="240" w:beforeLines="100" w:after="240" w:afterLines="100"/>
        <w:jc w:val="left"/>
        <w:rPr>
          <w:rFonts w:hint="eastAsia" w:ascii="宋体" w:hAnsi="宋体" w:eastAsia="宋体" w:cs="宋体"/>
          <w:b/>
          <w:iCs/>
          <w:color w:val="auto"/>
          <w:sz w:val="24"/>
          <w:highlight w:val="none"/>
        </w:rPr>
      </w:pPr>
    </w:p>
    <w:p w14:paraId="0504D9AF">
      <w:pPr>
        <w:tabs>
          <w:tab w:val="left" w:pos="1800"/>
          <w:tab w:val="left" w:pos="5580"/>
        </w:tabs>
        <w:jc w:val="left"/>
        <w:rPr>
          <w:rFonts w:hint="eastAsia" w:ascii="宋体" w:hAnsi="宋体" w:eastAsia="宋体" w:cs="宋体"/>
          <w:color w:val="auto"/>
          <w:sz w:val="24"/>
          <w:highlight w:val="none"/>
        </w:rPr>
      </w:pPr>
    </w:p>
    <w:p w14:paraId="75902F14">
      <w:pPr>
        <w:tabs>
          <w:tab w:val="left" w:pos="1800"/>
          <w:tab w:val="left" w:pos="5580"/>
        </w:tabs>
        <w:jc w:val="left"/>
        <w:rPr>
          <w:rFonts w:hint="eastAsia" w:ascii="宋体" w:hAnsi="宋体" w:eastAsia="宋体" w:cs="宋体"/>
          <w:b/>
          <w:iCs/>
          <w:color w:val="auto"/>
          <w:sz w:val="24"/>
          <w:highlight w:val="none"/>
        </w:rPr>
      </w:pPr>
      <w:r>
        <w:rPr>
          <w:rFonts w:hint="eastAsia" w:ascii="宋体" w:hAnsi="宋体" w:eastAsia="宋体" w:cs="宋体"/>
          <w:b/>
          <w:iCs/>
          <w:color w:val="auto"/>
          <w:sz w:val="24"/>
          <w:highlight w:val="none"/>
        </w:rPr>
        <w:t>（放置</w:t>
      </w:r>
      <w:r>
        <w:rPr>
          <w:rFonts w:hint="eastAsia" w:ascii="宋体" w:hAnsi="宋体" w:eastAsia="宋体" w:cs="宋体"/>
          <w:b/>
          <w:iCs/>
          <w:color w:val="auto"/>
          <w:sz w:val="24"/>
          <w:highlight w:val="none"/>
          <w:lang w:val="en-US" w:eastAsia="zh-CN"/>
        </w:rPr>
        <w:t>已</w:t>
      </w:r>
      <w:r>
        <w:rPr>
          <w:rFonts w:hint="eastAsia" w:ascii="宋体" w:hAnsi="宋体" w:eastAsia="宋体" w:cs="宋体"/>
          <w:b/>
          <w:iCs/>
          <w:color w:val="auto"/>
          <w:sz w:val="24"/>
          <w:highlight w:val="none"/>
        </w:rPr>
        <w:t>标价工程量清单）</w:t>
      </w:r>
    </w:p>
    <w:p w14:paraId="608B00C4">
      <w:pPr>
        <w:tabs>
          <w:tab w:val="left" w:pos="1800"/>
          <w:tab w:val="left" w:pos="5580"/>
        </w:tabs>
        <w:jc w:val="left"/>
        <w:rPr>
          <w:rFonts w:hint="eastAsia" w:ascii="宋体" w:hAnsi="宋体" w:eastAsia="宋体" w:cs="宋体"/>
          <w:color w:val="auto"/>
          <w:sz w:val="24"/>
          <w:highlight w:val="none"/>
        </w:rPr>
      </w:pPr>
    </w:p>
    <w:p w14:paraId="543F90EE">
      <w:pPr>
        <w:tabs>
          <w:tab w:val="left" w:pos="1800"/>
          <w:tab w:val="left" w:pos="5580"/>
        </w:tabs>
        <w:jc w:val="left"/>
        <w:rPr>
          <w:rFonts w:hint="eastAsia" w:ascii="宋体" w:hAnsi="宋体" w:eastAsia="宋体" w:cs="宋体"/>
          <w:color w:val="auto"/>
          <w:sz w:val="24"/>
          <w:highlight w:val="none"/>
        </w:rPr>
      </w:pPr>
    </w:p>
    <w:p w14:paraId="7AD77D7C">
      <w:pPr>
        <w:tabs>
          <w:tab w:val="left" w:pos="1800"/>
          <w:tab w:val="left" w:pos="5580"/>
        </w:tabs>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注：1.如果不提供</w:t>
      </w:r>
      <w:r>
        <w:rPr>
          <w:rFonts w:hint="eastAsia" w:ascii="宋体" w:hAnsi="宋体" w:eastAsia="宋体" w:cs="宋体"/>
          <w:color w:val="auto"/>
          <w:sz w:val="24"/>
          <w:highlight w:val="none"/>
          <w:lang w:val="en-US" w:eastAsia="zh-CN"/>
        </w:rPr>
        <w:t>已</w:t>
      </w:r>
      <w:r>
        <w:rPr>
          <w:rFonts w:hint="eastAsia" w:ascii="宋体" w:hAnsi="宋体" w:eastAsia="宋体" w:cs="宋体"/>
          <w:color w:val="auto"/>
          <w:sz w:val="24"/>
          <w:highlight w:val="none"/>
        </w:rPr>
        <w:t>标价工程量清单将视为没有实质性响应竞争性磋商文件。</w:t>
      </w:r>
    </w:p>
    <w:p w14:paraId="7B15673B">
      <w:pPr>
        <w:tabs>
          <w:tab w:val="left" w:pos="1800"/>
          <w:tab w:val="left" w:pos="5580"/>
        </w:tabs>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2.上述各项的详细规格（如有），可另页描述。</w:t>
      </w:r>
    </w:p>
    <w:p w14:paraId="41A5A9C2">
      <w:pPr>
        <w:autoSpaceDE w:val="0"/>
        <w:autoSpaceDN w:val="0"/>
        <w:adjustRightInd w:val="0"/>
        <w:snapToGrid w:val="0"/>
        <w:spacing w:before="25" w:after="25" w:line="360" w:lineRule="auto"/>
        <w:rPr>
          <w:rFonts w:hint="eastAsia" w:ascii="宋体" w:hAnsi="宋体" w:eastAsia="宋体" w:cs="宋体"/>
          <w:color w:val="auto"/>
          <w:sz w:val="24"/>
          <w:highlight w:val="none"/>
        </w:rPr>
      </w:pPr>
    </w:p>
    <w:p w14:paraId="4F041585">
      <w:pPr>
        <w:autoSpaceDE w:val="0"/>
        <w:autoSpaceDN w:val="0"/>
        <w:adjustRightInd w:val="0"/>
        <w:snapToGrid w:val="0"/>
        <w:spacing w:before="25" w:after="25" w:line="360" w:lineRule="auto"/>
        <w:rPr>
          <w:rFonts w:hint="eastAsia" w:ascii="宋体" w:hAnsi="宋体" w:eastAsia="宋体" w:cs="宋体"/>
          <w:color w:val="auto"/>
          <w:sz w:val="24"/>
          <w:highlight w:val="none"/>
        </w:rPr>
      </w:pPr>
    </w:p>
    <w:p w14:paraId="703B0D56">
      <w:pPr>
        <w:autoSpaceDE w:val="0"/>
        <w:autoSpaceDN w:val="0"/>
        <w:adjustRightInd w:val="0"/>
        <w:snapToGrid w:val="0"/>
        <w:spacing w:before="25" w:after="25" w:line="360" w:lineRule="auto"/>
        <w:ind w:right="360"/>
        <w:jc w:val="lef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供应商名称（加盖公章）</w:t>
      </w: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rPr>
        <w:t>______</w:t>
      </w:r>
    </w:p>
    <w:p w14:paraId="2B950A46">
      <w:pPr>
        <w:autoSpaceDE w:val="0"/>
        <w:autoSpaceDN w:val="0"/>
        <w:adjustRightInd w:val="0"/>
        <w:snapToGrid w:val="0"/>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日期：____年____月____日  </w:t>
      </w:r>
    </w:p>
    <w:p w14:paraId="5221FCF3">
      <w:pPr>
        <w:tabs>
          <w:tab w:val="left" w:pos="360"/>
        </w:tabs>
        <w:snapToGrid w:val="0"/>
        <w:spacing w:line="360" w:lineRule="auto"/>
        <w:outlineLvl w:val="1"/>
        <w:rPr>
          <w:rFonts w:hint="eastAsia" w:ascii="宋体" w:hAnsi="宋体" w:eastAsia="宋体" w:cs="宋体"/>
          <w:color w:val="auto"/>
          <w:sz w:val="24"/>
          <w:szCs w:val="20"/>
          <w:highlight w:val="none"/>
          <w:lang w:eastAsia="zh-CN"/>
        </w:rPr>
      </w:pPr>
      <w:bookmarkStart w:id="2206" w:name="_Toc226965835"/>
      <w:bookmarkStart w:id="2207" w:name="_Toc305158830"/>
      <w:bookmarkStart w:id="2208" w:name="_Toc150774765"/>
      <w:bookmarkStart w:id="2209" w:name="_Toc150480798"/>
      <w:bookmarkStart w:id="2210" w:name="_Toc264969252"/>
      <w:bookmarkStart w:id="2211" w:name="_Toc226337258"/>
      <w:bookmarkStart w:id="2212" w:name="_Toc305158904"/>
      <w:bookmarkStart w:id="2213" w:name="_Toc195842927"/>
      <w:bookmarkStart w:id="2214" w:name="_Toc265228400"/>
      <w:bookmarkStart w:id="2215" w:name="_Toc226309806"/>
      <w:bookmarkStart w:id="2216" w:name="_Toc127151562"/>
      <w:bookmarkStart w:id="2217" w:name="_Toc226965752"/>
      <w:bookmarkStart w:id="2218" w:name="_Toc142311062"/>
      <w:bookmarkStart w:id="2219" w:name="_Toc150480797"/>
      <w:bookmarkStart w:id="2220" w:name="_Toc142311061"/>
      <w:bookmarkStart w:id="2221" w:name="_Toc226337257"/>
      <w:bookmarkStart w:id="2222" w:name="_Toc150774764"/>
      <w:bookmarkStart w:id="2223" w:name="_Toc226965751"/>
      <w:bookmarkStart w:id="2224" w:name="_Toc305158829"/>
      <w:bookmarkStart w:id="2225" w:name="_Toc226309805"/>
      <w:bookmarkStart w:id="2226" w:name="_Toc264969251"/>
      <w:bookmarkStart w:id="2227" w:name="_Toc127151561"/>
      <w:bookmarkStart w:id="2228" w:name="_Toc305158903"/>
      <w:bookmarkStart w:id="2229" w:name="_Toc195842926"/>
      <w:bookmarkStart w:id="2230" w:name="_Toc265228399"/>
      <w:bookmarkStart w:id="2231" w:name="_Toc226965834"/>
      <w:r>
        <w:rPr>
          <w:rFonts w:hint="eastAsia" w:ascii="宋体" w:hAnsi="宋体" w:eastAsia="宋体" w:cs="宋体"/>
          <w:color w:val="auto"/>
          <w:sz w:val="24"/>
          <w:szCs w:val="20"/>
          <w:highlight w:val="none"/>
        </w:rPr>
        <w:br w:type="page"/>
      </w:r>
      <w:r>
        <w:rPr>
          <w:rFonts w:hint="eastAsia" w:ascii="宋体" w:hAnsi="宋体" w:eastAsia="宋体" w:cs="宋体"/>
          <w:color w:val="auto"/>
          <w:sz w:val="24"/>
          <w:highlight w:val="none"/>
        </w:rPr>
        <w:t>9  合同条款偏离表</w:t>
      </w:r>
      <w:bookmarkEnd w:id="2206"/>
      <w:bookmarkEnd w:id="2207"/>
      <w:bookmarkEnd w:id="2208"/>
      <w:bookmarkEnd w:id="2209"/>
      <w:bookmarkEnd w:id="2210"/>
      <w:bookmarkEnd w:id="2211"/>
      <w:bookmarkEnd w:id="2212"/>
      <w:bookmarkEnd w:id="2213"/>
      <w:bookmarkEnd w:id="2214"/>
      <w:bookmarkEnd w:id="2215"/>
      <w:bookmarkEnd w:id="2216"/>
      <w:bookmarkEnd w:id="2217"/>
      <w:bookmarkEnd w:id="2218"/>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实质性格式</w:t>
      </w:r>
      <w:r>
        <w:rPr>
          <w:rFonts w:hint="eastAsia" w:ascii="宋体" w:hAnsi="宋体" w:eastAsia="宋体" w:cs="宋体"/>
          <w:color w:val="auto"/>
          <w:sz w:val="24"/>
          <w:highlight w:val="none"/>
          <w:lang w:eastAsia="zh-CN"/>
        </w:rPr>
        <w:t>）</w:t>
      </w:r>
    </w:p>
    <w:p w14:paraId="0D2E51DE">
      <w:pPr>
        <w:spacing w:line="360" w:lineRule="auto"/>
        <w:rPr>
          <w:rFonts w:hint="eastAsia" w:ascii="宋体" w:hAnsi="宋体" w:eastAsia="宋体" w:cs="宋体"/>
          <w:color w:val="auto"/>
          <w:sz w:val="24"/>
          <w:szCs w:val="20"/>
          <w:highlight w:val="none"/>
        </w:rPr>
      </w:pPr>
    </w:p>
    <w:p w14:paraId="44CBF7ED">
      <w:pPr>
        <w:tabs>
          <w:tab w:val="left" w:pos="2775"/>
          <w:tab w:val="center" w:pos="4153"/>
        </w:tabs>
        <w:autoSpaceDE w:val="0"/>
        <w:autoSpaceDN w:val="0"/>
        <w:adjustRightInd w:val="0"/>
        <w:spacing w:line="360" w:lineRule="auto"/>
        <w:jc w:val="left"/>
        <w:rPr>
          <w:rFonts w:hint="eastAsia" w:ascii="宋体" w:hAnsi="宋体" w:eastAsia="宋体" w:cs="宋体"/>
          <w:b/>
          <w:color w:val="auto"/>
          <w:sz w:val="36"/>
          <w:szCs w:val="36"/>
          <w:highlight w:val="none"/>
        </w:rPr>
      </w:pPr>
      <w:r>
        <w:rPr>
          <w:rFonts w:hint="eastAsia" w:ascii="宋体" w:hAnsi="宋体" w:eastAsia="宋体" w:cs="宋体"/>
          <w:color w:val="auto"/>
          <w:sz w:val="36"/>
          <w:szCs w:val="36"/>
          <w:highlight w:val="none"/>
        </w:rPr>
        <w:tab/>
      </w:r>
      <w:r>
        <w:rPr>
          <w:rFonts w:hint="eastAsia" w:ascii="宋体" w:hAnsi="宋体" w:eastAsia="宋体" w:cs="宋体"/>
          <w:b/>
          <w:color w:val="auto"/>
          <w:sz w:val="36"/>
          <w:szCs w:val="36"/>
          <w:highlight w:val="none"/>
        </w:rPr>
        <w:tab/>
      </w:r>
      <w:r>
        <w:rPr>
          <w:rFonts w:hint="eastAsia" w:ascii="宋体" w:hAnsi="宋体" w:eastAsia="宋体" w:cs="宋体"/>
          <w:b/>
          <w:color w:val="auto"/>
          <w:sz w:val="36"/>
          <w:szCs w:val="36"/>
          <w:highlight w:val="none"/>
        </w:rPr>
        <w:t>合同条款偏离表</w:t>
      </w:r>
    </w:p>
    <w:p w14:paraId="120CB898">
      <w:pPr>
        <w:spacing w:line="360" w:lineRule="auto"/>
        <w:rPr>
          <w:rFonts w:hint="eastAsia" w:ascii="宋体" w:hAnsi="宋体" w:eastAsia="宋体" w:cs="宋体"/>
          <w:color w:val="auto"/>
          <w:sz w:val="24"/>
          <w:szCs w:val="20"/>
          <w:highlight w:val="none"/>
        </w:rPr>
      </w:pPr>
    </w:p>
    <w:p w14:paraId="0A3DAE58">
      <w:pPr>
        <w:tabs>
          <w:tab w:val="left" w:pos="1800"/>
          <w:tab w:val="left" w:pos="5580"/>
        </w:tabs>
        <w:spacing w:line="360" w:lineRule="auto"/>
        <w:ind w:firstLine="360" w:firstLineChars="150"/>
        <w:jc w:val="left"/>
        <w:rPr>
          <w:rFonts w:hint="eastAsia" w:ascii="宋体" w:hAnsi="宋体" w:eastAsia="宋体" w:cs="宋体"/>
          <w:color w:val="000000"/>
          <w:sz w:val="24"/>
          <w:highlight w:val="none"/>
        </w:rPr>
      </w:pPr>
      <w:r>
        <w:rPr>
          <w:rFonts w:hint="eastAsia" w:ascii="宋体" w:hAnsi="宋体" w:cs="宋体"/>
          <w:color w:val="auto"/>
          <w:sz w:val="24"/>
          <w:szCs w:val="20"/>
          <w:highlight w:val="none"/>
          <w:lang w:val="en-US" w:eastAsia="zh-CN"/>
        </w:rPr>
        <w:t>采购文件编号</w:t>
      </w:r>
      <w:r>
        <w:rPr>
          <w:rFonts w:hint="eastAsia" w:ascii="宋体" w:hAnsi="宋体" w:eastAsia="宋体" w:cs="宋体"/>
          <w:color w:val="000000"/>
          <w:sz w:val="24"/>
          <w:highlight w:val="none"/>
        </w:rPr>
        <w:t>：_____________________     项目名称：_____________</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9"/>
        <w:gridCol w:w="1575"/>
        <w:gridCol w:w="1802"/>
        <w:gridCol w:w="1802"/>
        <w:gridCol w:w="2102"/>
        <w:gridCol w:w="988"/>
      </w:tblGrid>
      <w:tr w14:paraId="39E4C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33" w:type="dxa"/>
            <w:noWrap w:val="0"/>
            <w:vAlign w:val="center"/>
          </w:tcPr>
          <w:p w14:paraId="2FB213B3">
            <w:pPr>
              <w:adjustRightInd w:val="0"/>
              <w:snapToGrid w:val="0"/>
              <w:jc w:val="center"/>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序号</w:t>
            </w:r>
          </w:p>
        </w:tc>
        <w:tc>
          <w:tcPr>
            <w:tcW w:w="1447" w:type="dxa"/>
            <w:noWrap w:val="0"/>
            <w:vAlign w:val="center"/>
          </w:tcPr>
          <w:p w14:paraId="0DE3C4EA">
            <w:pPr>
              <w:adjustRightInd w:val="0"/>
              <w:snapToGrid w:val="0"/>
              <w:jc w:val="center"/>
              <w:rPr>
                <w:rFonts w:hint="eastAsia" w:ascii="宋体" w:hAnsi="宋体" w:eastAsia="宋体" w:cs="宋体"/>
                <w:b/>
                <w:color w:val="000000"/>
                <w:sz w:val="24"/>
                <w:highlight w:val="none"/>
              </w:rPr>
            </w:pPr>
            <w:r>
              <w:rPr>
                <w:rFonts w:hint="eastAsia" w:ascii="宋体" w:hAnsi="宋体" w:eastAsia="宋体" w:cs="宋体"/>
                <w:color w:val="000000"/>
                <w:sz w:val="24"/>
                <w:szCs w:val="21"/>
                <w:highlight w:val="none"/>
                <w:lang w:val="en-US" w:eastAsia="zh-CN"/>
              </w:rPr>
              <w:t>竞争性磋商</w:t>
            </w:r>
            <w:r>
              <w:rPr>
                <w:rFonts w:hint="eastAsia" w:ascii="宋体" w:hAnsi="宋体" w:eastAsia="宋体" w:cs="宋体"/>
                <w:color w:val="000000"/>
                <w:sz w:val="24"/>
                <w:szCs w:val="21"/>
                <w:highlight w:val="none"/>
              </w:rPr>
              <w:t>文件</w:t>
            </w:r>
            <w:r>
              <w:rPr>
                <w:rFonts w:hint="eastAsia" w:ascii="宋体" w:hAnsi="宋体" w:eastAsia="宋体" w:cs="宋体"/>
                <w:color w:val="000000"/>
                <w:sz w:val="24"/>
                <w:highlight w:val="none"/>
              </w:rPr>
              <w:t>条目号（页码）</w:t>
            </w:r>
          </w:p>
        </w:tc>
        <w:tc>
          <w:tcPr>
            <w:tcW w:w="1883" w:type="dxa"/>
            <w:noWrap w:val="0"/>
            <w:vAlign w:val="center"/>
          </w:tcPr>
          <w:p w14:paraId="54D91313">
            <w:pPr>
              <w:adjustRightInd w:val="0"/>
              <w:snapToGrid w:val="0"/>
              <w:jc w:val="center"/>
              <w:rPr>
                <w:rFonts w:hint="eastAsia" w:ascii="宋体" w:hAnsi="宋体" w:eastAsia="宋体" w:cs="宋体"/>
                <w:b/>
                <w:color w:val="000000"/>
                <w:sz w:val="24"/>
                <w:highlight w:val="none"/>
              </w:rPr>
            </w:pPr>
            <w:r>
              <w:rPr>
                <w:rFonts w:hint="eastAsia" w:ascii="宋体" w:hAnsi="宋体" w:eastAsia="宋体" w:cs="宋体"/>
                <w:color w:val="000000"/>
                <w:sz w:val="24"/>
                <w:szCs w:val="21"/>
                <w:highlight w:val="none"/>
                <w:lang w:val="en-US" w:eastAsia="zh-CN"/>
              </w:rPr>
              <w:t>竞争性磋商</w:t>
            </w:r>
            <w:r>
              <w:rPr>
                <w:rFonts w:hint="eastAsia" w:ascii="宋体" w:hAnsi="宋体" w:eastAsia="宋体" w:cs="宋体"/>
                <w:color w:val="000000"/>
                <w:sz w:val="24"/>
                <w:szCs w:val="21"/>
                <w:highlight w:val="none"/>
              </w:rPr>
              <w:t>文件</w:t>
            </w:r>
            <w:r>
              <w:rPr>
                <w:rFonts w:hint="eastAsia" w:ascii="宋体" w:hAnsi="宋体" w:eastAsia="宋体" w:cs="宋体"/>
                <w:color w:val="000000"/>
                <w:sz w:val="24"/>
                <w:highlight w:val="none"/>
              </w:rPr>
              <w:t>要求</w:t>
            </w:r>
          </w:p>
        </w:tc>
        <w:tc>
          <w:tcPr>
            <w:tcW w:w="1883" w:type="dxa"/>
            <w:noWrap w:val="0"/>
            <w:vAlign w:val="center"/>
          </w:tcPr>
          <w:p w14:paraId="1748520B">
            <w:pPr>
              <w:adjustRightInd w:val="0"/>
              <w:snapToGrid w:val="0"/>
              <w:jc w:val="center"/>
              <w:rPr>
                <w:rFonts w:hint="eastAsia" w:ascii="宋体" w:hAnsi="宋体" w:eastAsia="宋体" w:cs="宋体"/>
                <w:b/>
                <w:color w:val="000000"/>
                <w:sz w:val="24"/>
                <w:highlight w:val="none"/>
              </w:rPr>
            </w:pPr>
            <w:r>
              <w:rPr>
                <w:rFonts w:hint="eastAsia" w:ascii="宋体" w:hAnsi="宋体" w:eastAsia="宋体" w:cs="宋体"/>
                <w:color w:val="000000"/>
                <w:sz w:val="24"/>
                <w:highlight w:val="none"/>
                <w:lang w:val="en-US" w:eastAsia="zh-CN"/>
              </w:rPr>
              <w:t>响应</w:t>
            </w:r>
            <w:r>
              <w:rPr>
                <w:rFonts w:hint="eastAsia" w:ascii="宋体" w:hAnsi="宋体" w:eastAsia="宋体" w:cs="宋体"/>
                <w:color w:val="000000"/>
                <w:sz w:val="24"/>
                <w:highlight w:val="none"/>
              </w:rPr>
              <w:t>文件内容</w:t>
            </w:r>
          </w:p>
        </w:tc>
        <w:tc>
          <w:tcPr>
            <w:tcW w:w="2247" w:type="dxa"/>
            <w:noWrap w:val="0"/>
            <w:vAlign w:val="center"/>
          </w:tcPr>
          <w:p w14:paraId="4DD66985">
            <w:pPr>
              <w:adjustRightInd w:val="0"/>
              <w:snapToGrid w:val="0"/>
              <w:jc w:val="center"/>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偏离情况</w:t>
            </w:r>
          </w:p>
        </w:tc>
        <w:tc>
          <w:tcPr>
            <w:tcW w:w="895" w:type="dxa"/>
            <w:noWrap w:val="0"/>
            <w:vAlign w:val="center"/>
          </w:tcPr>
          <w:p w14:paraId="198A1B2C">
            <w:pPr>
              <w:adjustRightInd w:val="0"/>
              <w:snapToGrid w:val="0"/>
              <w:jc w:val="center"/>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说明</w:t>
            </w:r>
          </w:p>
        </w:tc>
      </w:tr>
      <w:tr w14:paraId="67DE6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noWrap w:val="0"/>
            <w:vAlign w:val="center"/>
          </w:tcPr>
          <w:p w14:paraId="24F3C414">
            <w:pPr>
              <w:adjustRightInd w:val="0"/>
              <w:snapToGrid w:val="0"/>
              <w:jc w:val="lef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对本采购文件合同条款的偏离情况（请进行</w:t>
            </w:r>
            <w:r>
              <w:rPr>
                <w:rFonts w:hint="eastAsia" w:ascii="宋体" w:hAnsi="宋体" w:eastAsia="宋体" w:cs="宋体"/>
                <w:b/>
                <w:color w:val="000000"/>
                <w:sz w:val="24"/>
                <w:highlight w:val="none"/>
                <w:lang w:val="en-US" w:eastAsia="zh-CN"/>
              </w:rPr>
              <w:t>选择，未选择响应无效</w:t>
            </w:r>
            <w:r>
              <w:rPr>
                <w:rFonts w:hint="eastAsia" w:ascii="宋体" w:hAnsi="宋体" w:eastAsia="宋体" w:cs="宋体"/>
                <w:b/>
                <w:color w:val="000000"/>
                <w:sz w:val="24"/>
                <w:highlight w:val="none"/>
              </w:rPr>
              <w:t>）：</w:t>
            </w:r>
          </w:p>
          <w:p w14:paraId="5CB54E78">
            <w:pPr>
              <w:adjustRightInd w:val="0"/>
              <w:snapToGrid w:val="0"/>
              <w:jc w:val="lef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□无偏离</w:t>
            </w:r>
            <w:r>
              <w:rPr>
                <w:rFonts w:hint="eastAsia" w:ascii="宋体" w:hAnsi="宋体" w:eastAsia="宋体" w:cs="宋体"/>
                <w:color w:val="000000"/>
                <w:sz w:val="24"/>
                <w:highlight w:val="none"/>
              </w:rPr>
              <w:t>（如无偏离，仅选择无偏离即可；无偏离即为对合同条款中的所有要求，均视作供应商已对之理解和响应。）</w:t>
            </w:r>
          </w:p>
          <w:p w14:paraId="25AC4902">
            <w:pPr>
              <w:adjustRightInd w:val="0"/>
              <w:snapToGrid w:val="0"/>
              <w:jc w:val="left"/>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□有偏离</w:t>
            </w:r>
            <w:r>
              <w:rPr>
                <w:rFonts w:hint="eastAsia" w:ascii="宋体" w:hAnsi="宋体" w:eastAsia="宋体" w:cs="宋体"/>
                <w:color w:val="000000"/>
                <w:sz w:val="24"/>
                <w:highlight w:val="none"/>
              </w:rPr>
              <w:t>（如有偏离，则应在本表中对偏离项逐一列明，否则投标无效；对合同条款中的所有要求，除本表列明的偏离外，均视作供应商已对之理解和响应。）</w:t>
            </w:r>
          </w:p>
        </w:tc>
      </w:tr>
      <w:tr w14:paraId="2F018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33" w:type="dxa"/>
            <w:noWrap w:val="0"/>
            <w:vAlign w:val="center"/>
          </w:tcPr>
          <w:p w14:paraId="1E1A875E">
            <w:pPr>
              <w:adjustRightInd w:val="0"/>
              <w:snapToGrid w:val="0"/>
              <w:jc w:val="center"/>
              <w:rPr>
                <w:rFonts w:hint="eastAsia" w:ascii="宋体" w:hAnsi="宋体" w:eastAsia="宋体" w:cs="宋体"/>
                <w:color w:val="000000"/>
                <w:sz w:val="24"/>
                <w:highlight w:val="none"/>
              </w:rPr>
            </w:pPr>
          </w:p>
        </w:tc>
        <w:tc>
          <w:tcPr>
            <w:tcW w:w="1447" w:type="dxa"/>
            <w:noWrap w:val="0"/>
            <w:vAlign w:val="center"/>
          </w:tcPr>
          <w:p w14:paraId="0A5DE216">
            <w:pPr>
              <w:adjustRightInd w:val="0"/>
              <w:snapToGrid w:val="0"/>
              <w:jc w:val="center"/>
              <w:rPr>
                <w:rFonts w:hint="eastAsia" w:ascii="宋体" w:hAnsi="宋体" w:eastAsia="宋体" w:cs="宋体"/>
                <w:color w:val="000000"/>
                <w:sz w:val="24"/>
                <w:highlight w:val="none"/>
              </w:rPr>
            </w:pPr>
          </w:p>
        </w:tc>
        <w:tc>
          <w:tcPr>
            <w:tcW w:w="1883" w:type="dxa"/>
            <w:noWrap w:val="0"/>
            <w:vAlign w:val="center"/>
          </w:tcPr>
          <w:p w14:paraId="4860F41D">
            <w:pPr>
              <w:adjustRightInd w:val="0"/>
              <w:snapToGrid w:val="0"/>
              <w:jc w:val="center"/>
              <w:rPr>
                <w:rFonts w:hint="eastAsia" w:ascii="宋体" w:hAnsi="宋体" w:eastAsia="宋体" w:cs="宋体"/>
                <w:color w:val="000000"/>
                <w:sz w:val="24"/>
                <w:highlight w:val="none"/>
              </w:rPr>
            </w:pPr>
          </w:p>
        </w:tc>
        <w:tc>
          <w:tcPr>
            <w:tcW w:w="1883" w:type="dxa"/>
            <w:noWrap w:val="0"/>
            <w:vAlign w:val="center"/>
          </w:tcPr>
          <w:p w14:paraId="676F3D3C">
            <w:pPr>
              <w:adjustRightInd w:val="0"/>
              <w:snapToGrid w:val="0"/>
              <w:jc w:val="center"/>
              <w:rPr>
                <w:rFonts w:hint="eastAsia" w:ascii="宋体" w:hAnsi="宋体" w:eastAsia="宋体" w:cs="宋体"/>
                <w:color w:val="000000"/>
                <w:sz w:val="24"/>
                <w:highlight w:val="none"/>
              </w:rPr>
            </w:pPr>
          </w:p>
        </w:tc>
        <w:tc>
          <w:tcPr>
            <w:tcW w:w="2247" w:type="dxa"/>
            <w:noWrap w:val="0"/>
            <w:vAlign w:val="center"/>
          </w:tcPr>
          <w:p w14:paraId="23E2840A">
            <w:pPr>
              <w:adjustRightInd w:val="0"/>
              <w:snapToGrid w:val="0"/>
              <w:jc w:val="center"/>
              <w:rPr>
                <w:rFonts w:hint="eastAsia" w:ascii="宋体" w:hAnsi="宋体" w:eastAsia="宋体" w:cs="宋体"/>
                <w:color w:val="000000"/>
                <w:sz w:val="24"/>
                <w:highlight w:val="none"/>
              </w:rPr>
            </w:pPr>
          </w:p>
        </w:tc>
        <w:tc>
          <w:tcPr>
            <w:tcW w:w="895" w:type="dxa"/>
            <w:noWrap w:val="0"/>
            <w:vAlign w:val="center"/>
          </w:tcPr>
          <w:p w14:paraId="05ED5B8D">
            <w:pPr>
              <w:adjustRightInd w:val="0"/>
              <w:snapToGrid w:val="0"/>
              <w:jc w:val="center"/>
              <w:rPr>
                <w:rFonts w:hint="eastAsia" w:ascii="宋体" w:hAnsi="宋体" w:eastAsia="宋体" w:cs="宋体"/>
                <w:color w:val="000000"/>
                <w:sz w:val="24"/>
                <w:highlight w:val="none"/>
              </w:rPr>
            </w:pPr>
          </w:p>
        </w:tc>
      </w:tr>
      <w:tr w14:paraId="1CC21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33" w:type="dxa"/>
            <w:noWrap w:val="0"/>
            <w:vAlign w:val="center"/>
          </w:tcPr>
          <w:p w14:paraId="5B9727F6">
            <w:pPr>
              <w:adjustRightInd w:val="0"/>
              <w:snapToGrid w:val="0"/>
              <w:jc w:val="center"/>
              <w:rPr>
                <w:rFonts w:hint="eastAsia" w:ascii="宋体" w:hAnsi="宋体" w:eastAsia="宋体" w:cs="宋体"/>
                <w:color w:val="000000"/>
                <w:sz w:val="24"/>
                <w:highlight w:val="none"/>
              </w:rPr>
            </w:pPr>
          </w:p>
        </w:tc>
        <w:tc>
          <w:tcPr>
            <w:tcW w:w="1447" w:type="dxa"/>
            <w:noWrap w:val="0"/>
            <w:vAlign w:val="center"/>
          </w:tcPr>
          <w:p w14:paraId="671F52E3">
            <w:pPr>
              <w:adjustRightInd w:val="0"/>
              <w:snapToGrid w:val="0"/>
              <w:jc w:val="center"/>
              <w:rPr>
                <w:rFonts w:hint="eastAsia" w:ascii="宋体" w:hAnsi="宋体" w:eastAsia="宋体" w:cs="宋体"/>
                <w:color w:val="000000"/>
                <w:sz w:val="24"/>
                <w:highlight w:val="none"/>
              </w:rPr>
            </w:pPr>
          </w:p>
        </w:tc>
        <w:tc>
          <w:tcPr>
            <w:tcW w:w="1883" w:type="dxa"/>
            <w:noWrap w:val="0"/>
            <w:vAlign w:val="center"/>
          </w:tcPr>
          <w:p w14:paraId="48B6537A">
            <w:pPr>
              <w:adjustRightInd w:val="0"/>
              <w:snapToGrid w:val="0"/>
              <w:jc w:val="center"/>
              <w:rPr>
                <w:rFonts w:hint="eastAsia" w:ascii="宋体" w:hAnsi="宋体" w:eastAsia="宋体" w:cs="宋体"/>
                <w:color w:val="000000"/>
                <w:sz w:val="24"/>
                <w:highlight w:val="none"/>
              </w:rPr>
            </w:pPr>
          </w:p>
        </w:tc>
        <w:tc>
          <w:tcPr>
            <w:tcW w:w="1883" w:type="dxa"/>
            <w:noWrap w:val="0"/>
            <w:vAlign w:val="center"/>
          </w:tcPr>
          <w:p w14:paraId="7E59759D">
            <w:pPr>
              <w:adjustRightInd w:val="0"/>
              <w:snapToGrid w:val="0"/>
              <w:jc w:val="center"/>
              <w:rPr>
                <w:rFonts w:hint="eastAsia" w:ascii="宋体" w:hAnsi="宋体" w:eastAsia="宋体" w:cs="宋体"/>
                <w:color w:val="000000"/>
                <w:sz w:val="24"/>
                <w:highlight w:val="none"/>
              </w:rPr>
            </w:pPr>
          </w:p>
        </w:tc>
        <w:tc>
          <w:tcPr>
            <w:tcW w:w="2247" w:type="dxa"/>
            <w:noWrap w:val="0"/>
            <w:vAlign w:val="center"/>
          </w:tcPr>
          <w:p w14:paraId="4046538C">
            <w:pPr>
              <w:adjustRightInd w:val="0"/>
              <w:snapToGrid w:val="0"/>
              <w:jc w:val="center"/>
              <w:rPr>
                <w:rFonts w:hint="eastAsia" w:ascii="宋体" w:hAnsi="宋体" w:eastAsia="宋体" w:cs="宋体"/>
                <w:color w:val="000000"/>
                <w:sz w:val="24"/>
                <w:highlight w:val="none"/>
              </w:rPr>
            </w:pPr>
          </w:p>
        </w:tc>
        <w:tc>
          <w:tcPr>
            <w:tcW w:w="895" w:type="dxa"/>
            <w:noWrap w:val="0"/>
            <w:vAlign w:val="center"/>
          </w:tcPr>
          <w:p w14:paraId="6A2300E3">
            <w:pPr>
              <w:adjustRightInd w:val="0"/>
              <w:snapToGrid w:val="0"/>
              <w:jc w:val="center"/>
              <w:rPr>
                <w:rFonts w:hint="eastAsia" w:ascii="宋体" w:hAnsi="宋体" w:eastAsia="宋体" w:cs="宋体"/>
                <w:color w:val="000000"/>
                <w:sz w:val="24"/>
                <w:highlight w:val="none"/>
              </w:rPr>
            </w:pPr>
          </w:p>
        </w:tc>
      </w:tr>
      <w:tr w14:paraId="7B8E3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33" w:type="dxa"/>
            <w:noWrap w:val="0"/>
            <w:vAlign w:val="center"/>
          </w:tcPr>
          <w:p w14:paraId="11167465">
            <w:pPr>
              <w:adjustRightInd w:val="0"/>
              <w:snapToGrid w:val="0"/>
              <w:jc w:val="center"/>
              <w:rPr>
                <w:rFonts w:hint="eastAsia" w:ascii="宋体" w:hAnsi="宋体" w:eastAsia="宋体" w:cs="宋体"/>
                <w:color w:val="000000"/>
                <w:sz w:val="24"/>
                <w:highlight w:val="none"/>
              </w:rPr>
            </w:pPr>
          </w:p>
        </w:tc>
        <w:tc>
          <w:tcPr>
            <w:tcW w:w="1447" w:type="dxa"/>
            <w:noWrap w:val="0"/>
            <w:vAlign w:val="center"/>
          </w:tcPr>
          <w:p w14:paraId="0CC8B256">
            <w:pPr>
              <w:adjustRightInd w:val="0"/>
              <w:snapToGrid w:val="0"/>
              <w:jc w:val="center"/>
              <w:rPr>
                <w:rFonts w:hint="eastAsia" w:ascii="宋体" w:hAnsi="宋体" w:eastAsia="宋体" w:cs="宋体"/>
                <w:color w:val="000000"/>
                <w:sz w:val="24"/>
                <w:highlight w:val="none"/>
              </w:rPr>
            </w:pPr>
          </w:p>
        </w:tc>
        <w:tc>
          <w:tcPr>
            <w:tcW w:w="1883" w:type="dxa"/>
            <w:noWrap w:val="0"/>
            <w:vAlign w:val="center"/>
          </w:tcPr>
          <w:p w14:paraId="03DD4FCF">
            <w:pPr>
              <w:adjustRightInd w:val="0"/>
              <w:snapToGrid w:val="0"/>
              <w:jc w:val="center"/>
              <w:rPr>
                <w:rFonts w:hint="eastAsia" w:ascii="宋体" w:hAnsi="宋体" w:eastAsia="宋体" w:cs="宋体"/>
                <w:color w:val="000000"/>
                <w:sz w:val="24"/>
                <w:highlight w:val="none"/>
              </w:rPr>
            </w:pPr>
          </w:p>
        </w:tc>
        <w:tc>
          <w:tcPr>
            <w:tcW w:w="1883" w:type="dxa"/>
            <w:noWrap w:val="0"/>
            <w:vAlign w:val="center"/>
          </w:tcPr>
          <w:p w14:paraId="22823A73">
            <w:pPr>
              <w:adjustRightInd w:val="0"/>
              <w:snapToGrid w:val="0"/>
              <w:jc w:val="center"/>
              <w:rPr>
                <w:rFonts w:hint="eastAsia" w:ascii="宋体" w:hAnsi="宋体" w:eastAsia="宋体" w:cs="宋体"/>
                <w:color w:val="000000"/>
                <w:sz w:val="24"/>
                <w:highlight w:val="none"/>
              </w:rPr>
            </w:pPr>
          </w:p>
        </w:tc>
        <w:tc>
          <w:tcPr>
            <w:tcW w:w="2247" w:type="dxa"/>
            <w:noWrap w:val="0"/>
            <w:vAlign w:val="center"/>
          </w:tcPr>
          <w:p w14:paraId="50CF504F">
            <w:pPr>
              <w:adjustRightInd w:val="0"/>
              <w:snapToGrid w:val="0"/>
              <w:jc w:val="center"/>
              <w:rPr>
                <w:rFonts w:hint="eastAsia" w:ascii="宋体" w:hAnsi="宋体" w:eastAsia="宋体" w:cs="宋体"/>
                <w:color w:val="000000"/>
                <w:sz w:val="24"/>
                <w:highlight w:val="none"/>
              </w:rPr>
            </w:pPr>
          </w:p>
        </w:tc>
        <w:tc>
          <w:tcPr>
            <w:tcW w:w="895" w:type="dxa"/>
            <w:noWrap w:val="0"/>
            <w:vAlign w:val="center"/>
          </w:tcPr>
          <w:p w14:paraId="48DE1E6D">
            <w:pPr>
              <w:adjustRightInd w:val="0"/>
              <w:snapToGrid w:val="0"/>
              <w:jc w:val="center"/>
              <w:rPr>
                <w:rFonts w:hint="eastAsia" w:ascii="宋体" w:hAnsi="宋体" w:eastAsia="宋体" w:cs="宋体"/>
                <w:color w:val="000000"/>
                <w:sz w:val="24"/>
                <w:highlight w:val="none"/>
              </w:rPr>
            </w:pPr>
          </w:p>
        </w:tc>
      </w:tr>
      <w:tr w14:paraId="77D40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33" w:type="dxa"/>
            <w:noWrap w:val="0"/>
            <w:vAlign w:val="center"/>
          </w:tcPr>
          <w:p w14:paraId="03843D1A">
            <w:pPr>
              <w:adjustRightInd w:val="0"/>
              <w:snapToGrid w:val="0"/>
              <w:jc w:val="center"/>
              <w:rPr>
                <w:rFonts w:hint="eastAsia" w:ascii="宋体" w:hAnsi="宋体" w:eastAsia="宋体" w:cs="宋体"/>
                <w:color w:val="000000"/>
                <w:sz w:val="24"/>
                <w:highlight w:val="none"/>
              </w:rPr>
            </w:pPr>
          </w:p>
        </w:tc>
        <w:tc>
          <w:tcPr>
            <w:tcW w:w="1447" w:type="dxa"/>
            <w:noWrap w:val="0"/>
            <w:vAlign w:val="center"/>
          </w:tcPr>
          <w:p w14:paraId="4CB7001A">
            <w:pPr>
              <w:adjustRightInd w:val="0"/>
              <w:snapToGrid w:val="0"/>
              <w:jc w:val="center"/>
              <w:rPr>
                <w:rFonts w:hint="eastAsia" w:ascii="宋体" w:hAnsi="宋体" w:eastAsia="宋体" w:cs="宋体"/>
                <w:color w:val="000000"/>
                <w:sz w:val="24"/>
                <w:highlight w:val="none"/>
              </w:rPr>
            </w:pPr>
          </w:p>
        </w:tc>
        <w:tc>
          <w:tcPr>
            <w:tcW w:w="1883" w:type="dxa"/>
            <w:noWrap w:val="0"/>
            <w:vAlign w:val="center"/>
          </w:tcPr>
          <w:p w14:paraId="2FAEEF96">
            <w:pPr>
              <w:adjustRightInd w:val="0"/>
              <w:snapToGrid w:val="0"/>
              <w:jc w:val="center"/>
              <w:rPr>
                <w:rFonts w:hint="eastAsia" w:ascii="宋体" w:hAnsi="宋体" w:eastAsia="宋体" w:cs="宋体"/>
                <w:color w:val="000000"/>
                <w:sz w:val="24"/>
                <w:highlight w:val="none"/>
              </w:rPr>
            </w:pPr>
          </w:p>
        </w:tc>
        <w:tc>
          <w:tcPr>
            <w:tcW w:w="1883" w:type="dxa"/>
            <w:noWrap w:val="0"/>
            <w:vAlign w:val="center"/>
          </w:tcPr>
          <w:p w14:paraId="22A2F9AD">
            <w:pPr>
              <w:adjustRightInd w:val="0"/>
              <w:snapToGrid w:val="0"/>
              <w:jc w:val="center"/>
              <w:rPr>
                <w:rFonts w:hint="eastAsia" w:ascii="宋体" w:hAnsi="宋体" w:eastAsia="宋体" w:cs="宋体"/>
                <w:color w:val="000000"/>
                <w:sz w:val="24"/>
                <w:highlight w:val="none"/>
              </w:rPr>
            </w:pPr>
          </w:p>
        </w:tc>
        <w:tc>
          <w:tcPr>
            <w:tcW w:w="2247" w:type="dxa"/>
            <w:noWrap w:val="0"/>
            <w:vAlign w:val="center"/>
          </w:tcPr>
          <w:p w14:paraId="59AE81C7">
            <w:pPr>
              <w:adjustRightInd w:val="0"/>
              <w:snapToGrid w:val="0"/>
              <w:jc w:val="center"/>
              <w:rPr>
                <w:rFonts w:hint="eastAsia" w:ascii="宋体" w:hAnsi="宋体" w:eastAsia="宋体" w:cs="宋体"/>
                <w:color w:val="000000"/>
                <w:sz w:val="24"/>
                <w:highlight w:val="none"/>
              </w:rPr>
            </w:pPr>
          </w:p>
        </w:tc>
        <w:tc>
          <w:tcPr>
            <w:tcW w:w="895" w:type="dxa"/>
            <w:noWrap w:val="0"/>
            <w:vAlign w:val="center"/>
          </w:tcPr>
          <w:p w14:paraId="3DC2E317">
            <w:pPr>
              <w:adjustRightInd w:val="0"/>
              <w:snapToGrid w:val="0"/>
              <w:jc w:val="center"/>
              <w:rPr>
                <w:rFonts w:hint="eastAsia" w:ascii="宋体" w:hAnsi="宋体" w:eastAsia="宋体" w:cs="宋体"/>
                <w:color w:val="000000"/>
                <w:sz w:val="24"/>
                <w:highlight w:val="none"/>
              </w:rPr>
            </w:pPr>
          </w:p>
        </w:tc>
      </w:tr>
    </w:tbl>
    <w:p w14:paraId="7348805B">
      <w:pPr>
        <w:tabs>
          <w:tab w:val="left" w:pos="1800"/>
          <w:tab w:val="left" w:pos="5580"/>
        </w:tabs>
        <w:jc w:val="left"/>
        <w:rPr>
          <w:rFonts w:hint="eastAsia" w:ascii="宋体" w:hAnsi="宋体" w:eastAsia="宋体" w:cs="宋体"/>
          <w:color w:val="000000"/>
          <w:sz w:val="24"/>
          <w:highlight w:val="none"/>
        </w:rPr>
      </w:pPr>
    </w:p>
    <w:p w14:paraId="24A7FBFC">
      <w:pPr>
        <w:tabs>
          <w:tab w:val="left" w:pos="1800"/>
          <w:tab w:val="left" w:pos="5580"/>
        </w:tabs>
        <w:jc w:val="lef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rPr>
        <w:t>注：</w:t>
      </w:r>
      <w:r>
        <w:rPr>
          <w:rFonts w:hint="eastAsia" w:ascii="宋体" w:hAnsi="宋体" w:cs="宋体"/>
          <w:color w:val="000000"/>
          <w:sz w:val="24"/>
          <w:highlight w:val="none"/>
          <w:lang w:eastAsia="zh-CN"/>
        </w:rPr>
        <w:t>“</w:t>
      </w:r>
      <w:r>
        <w:rPr>
          <w:rFonts w:hint="eastAsia" w:ascii="宋体" w:hAnsi="宋体" w:eastAsia="宋体" w:cs="宋体"/>
          <w:color w:val="000000"/>
          <w:sz w:val="24"/>
          <w:szCs w:val="20"/>
          <w:highlight w:val="none"/>
        </w:rPr>
        <w:t>偏离情况</w:t>
      </w:r>
      <w:r>
        <w:rPr>
          <w:rFonts w:hint="eastAsia" w:ascii="宋体" w:hAnsi="宋体" w:cs="宋体"/>
          <w:color w:val="000000"/>
          <w:sz w:val="24"/>
          <w:highlight w:val="none"/>
          <w:lang w:eastAsia="zh-CN"/>
        </w:rPr>
        <w:t>”</w:t>
      </w:r>
      <w:r>
        <w:rPr>
          <w:rFonts w:hint="eastAsia" w:ascii="宋体" w:hAnsi="宋体" w:eastAsia="宋体" w:cs="宋体"/>
          <w:color w:val="000000"/>
          <w:sz w:val="24"/>
          <w:szCs w:val="20"/>
          <w:highlight w:val="none"/>
        </w:rPr>
        <w:t>列应据实填写</w:t>
      </w:r>
      <w:r>
        <w:rPr>
          <w:rFonts w:hint="eastAsia" w:ascii="宋体" w:hAnsi="宋体" w:cs="宋体"/>
          <w:color w:val="000000"/>
          <w:sz w:val="24"/>
          <w:szCs w:val="20"/>
          <w:highlight w:val="none"/>
          <w:lang w:eastAsia="zh-CN"/>
        </w:rPr>
        <w:t>“</w:t>
      </w:r>
      <w:r>
        <w:rPr>
          <w:rFonts w:hint="eastAsia" w:ascii="宋体" w:hAnsi="宋体" w:eastAsia="宋体" w:cs="宋体"/>
          <w:color w:val="000000"/>
          <w:sz w:val="24"/>
          <w:szCs w:val="20"/>
          <w:highlight w:val="none"/>
        </w:rPr>
        <w:t>正偏离</w:t>
      </w:r>
      <w:r>
        <w:rPr>
          <w:rFonts w:hint="eastAsia" w:ascii="宋体" w:hAnsi="宋体" w:cs="宋体"/>
          <w:color w:val="000000"/>
          <w:sz w:val="24"/>
          <w:szCs w:val="20"/>
          <w:highlight w:val="none"/>
          <w:lang w:eastAsia="zh-CN"/>
        </w:rPr>
        <w:t>”</w:t>
      </w:r>
      <w:r>
        <w:rPr>
          <w:rFonts w:hint="eastAsia" w:ascii="宋体" w:hAnsi="宋体" w:cs="宋体"/>
          <w:color w:val="000000"/>
          <w:sz w:val="24"/>
          <w:szCs w:val="20"/>
          <w:highlight w:val="none"/>
          <w:lang w:val="en-US" w:eastAsia="zh-CN"/>
        </w:rPr>
        <w:t>或“</w:t>
      </w:r>
      <w:r>
        <w:rPr>
          <w:rFonts w:hint="eastAsia" w:ascii="宋体" w:hAnsi="宋体" w:eastAsia="宋体" w:cs="宋体"/>
          <w:color w:val="000000"/>
          <w:sz w:val="24"/>
          <w:szCs w:val="20"/>
          <w:highlight w:val="none"/>
        </w:rPr>
        <w:t>负偏离</w:t>
      </w:r>
      <w:r>
        <w:rPr>
          <w:rFonts w:hint="eastAsia" w:ascii="宋体" w:hAnsi="宋体" w:cs="宋体"/>
          <w:color w:val="000000"/>
          <w:sz w:val="24"/>
          <w:szCs w:val="20"/>
          <w:highlight w:val="none"/>
          <w:lang w:val="en-US" w:eastAsia="zh-CN"/>
        </w:rPr>
        <w:t>”</w:t>
      </w:r>
    </w:p>
    <w:p w14:paraId="135C6C6F">
      <w:pPr>
        <w:spacing w:line="360" w:lineRule="auto"/>
        <w:rPr>
          <w:rFonts w:hint="eastAsia" w:ascii="宋体" w:hAnsi="宋体" w:eastAsia="宋体" w:cs="宋体"/>
          <w:color w:val="auto"/>
          <w:sz w:val="24"/>
          <w:szCs w:val="20"/>
          <w:highlight w:val="none"/>
        </w:rPr>
      </w:pPr>
    </w:p>
    <w:p w14:paraId="2E303CC2">
      <w:pPr>
        <w:autoSpaceDE w:val="0"/>
        <w:autoSpaceDN w:val="0"/>
        <w:adjustRightInd w:val="0"/>
        <w:snapToGrid w:val="0"/>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供应商名称（加盖公章）</w:t>
      </w: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rPr>
        <w:t>_______________</w:t>
      </w:r>
    </w:p>
    <w:p w14:paraId="7DCD3461">
      <w:pPr>
        <w:autoSpaceDE w:val="0"/>
        <w:autoSpaceDN w:val="0"/>
        <w:adjustRightInd w:val="0"/>
        <w:snapToGrid w:val="0"/>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日期：____年____月____日    </w:t>
      </w:r>
    </w:p>
    <w:p w14:paraId="2A8380F8">
      <w:pPr>
        <w:tabs>
          <w:tab w:val="left" w:pos="360"/>
        </w:tabs>
        <w:snapToGrid w:val="0"/>
        <w:spacing w:line="360" w:lineRule="auto"/>
        <w:outlineLvl w:val="1"/>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br w:type="page"/>
      </w:r>
      <w:r>
        <w:rPr>
          <w:rFonts w:hint="eastAsia" w:ascii="宋体" w:hAnsi="宋体" w:eastAsia="宋体" w:cs="宋体"/>
          <w:color w:val="auto"/>
          <w:sz w:val="24"/>
          <w:highlight w:val="none"/>
        </w:rPr>
        <w:t xml:space="preserve">10  </w:t>
      </w:r>
      <w:bookmarkEnd w:id="2219"/>
      <w:bookmarkEnd w:id="2220"/>
      <w:bookmarkEnd w:id="2221"/>
      <w:bookmarkEnd w:id="2222"/>
      <w:bookmarkEnd w:id="2223"/>
      <w:bookmarkEnd w:id="2224"/>
      <w:bookmarkEnd w:id="2225"/>
      <w:bookmarkEnd w:id="2226"/>
      <w:bookmarkEnd w:id="2227"/>
      <w:bookmarkEnd w:id="2228"/>
      <w:bookmarkEnd w:id="2229"/>
      <w:bookmarkEnd w:id="2230"/>
      <w:bookmarkEnd w:id="2231"/>
      <w:r>
        <w:rPr>
          <w:rFonts w:hint="eastAsia" w:ascii="宋体" w:hAnsi="宋体" w:eastAsia="宋体" w:cs="宋体"/>
          <w:color w:val="auto"/>
          <w:sz w:val="24"/>
          <w:highlight w:val="none"/>
        </w:rPr>
        <w:t>采购需求偏离表</w:t>
      </w:r>
    </w:p>
    <w:p w14:paraId="410E172E">
      <w:pPr>
        <w:autoSpaceDE w:val="0"/>
        <w:autoSpaceDN w:val="0"/>
        <w:adjustRightInd w:val="0"/>
        <w:spacing w:line="360" w:lineRule="auto"/>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采购需求偏离表</w:t>
      </w:r>
    </w:p>
    <w:p w14:paraId="0B3230E8">
      <w:pPr>
        <w:tabs>
          <w:tab w:val="left" w:pos="1800"/>
          <w:tab w:val="left" w:pos="5580"/>
        </w:tabs>
        <w:spacing w:line="360" w:lineRule="auto"/>
        <w:ind w:firstLine="360" w:firstLineChars="150"/>
        <w:jc w:val="left"/>
        <w:rPr>
          <w:rFonts w:hint="eastAsia" w:ascii="宋体" w:hAnsi="宋体" w:eastAsia="宋体" w:cs="宋体"/>
          <w:color w:val="auto"/>
          <w:sz w:val="24"/>
          <w:highlight w:val="none"/>
        </w:rPr>
      </w:pPr>
      <w:r>
        <w:rPr>
          <w:rFonts w:hint="eastAsia" w:ascii="宋体" w:hAnsi="宋体" w:cs="宋体"/>
          <w:color w:val="auto"/>
          <w:sz w:val="24"/>
          <w:szCs w:val="20"/>
          <w:highlight w:val="none"/>
          <w:lang w:val="en-US" w:eastAsia="zh-CN"/>
        </w:rPr>
        <w:t>采购文件编号</w:t>
      </w:r>
      <w:r>
        <w:rPr>
          <w:rFonts w:hint="eastAsia" w:ascii="宋体" w:hAnsi="宋体" w:eastAsia="宋体" w:cs="宋体"/>
          <w:color w:val="auto"/>
          <w:sz w:val="24"/>
          <w:highlight w:val="none"/>
        </w:rPr>
        <w:t>：_______________     项目名称：_______________</w:t>
      </w:r>
    </w:p>
    <w:tbl>
      <w:tblPr>
        <w:tblStyle w:val="18"/>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18C8C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3133479F">
            <w:pPr>
              <w:adjustRightInd w:val="0"/>
              <w:snapToGrid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1482" w:type="dxa"/>
            <w:noWrap w:val="0"/>
            <w:vAlign w:val="center"/>
          </w:tcPr>
          <w:p w14:paraId="248320F0">
            <w:pPr>
              <w:adjustRightInd w:val="0"/>
              <w:snapToGrid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竞争性磋商文件条目号(页码)</w:t>
            </w:r>
          </w:p>
        </w:tc>
        <w:tc>
          <w:tcPr>
            <w:tcW w:w="2384" w:type="dxa"/>
            <w:noWrap w:val="0"/>
            <w:vAlign w:val="center"/>
          </w:tcPr>
          <w:p w14:paraId="10EFAFC1">
            <w:pPr>
              <w:adjustRightInd w:val="0"/>
              <w:snapToGrid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竞争性磋商文件要求</w:t>
            </w:r>
          </w:p>
        </w:tc>
        <w:tc>
          <w:tcPr>
            <w:tcW w:w="2126" w:type="dxa"/>
            <w:noWrap w:val="0"/>
            <w:vAlign w:val="center"/>
          </w:tcPr>
          <w:p w14:paraId="31AB9C25">
            <w:pPr>
              <w:adjustRightInd w:val="0"/>
              <w:snapToGrid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响应内容</w:t>
            </w:r>
          </w:p>
        </w:tc>
        <w:tc>
          <w:tcPr>
            <w:tcW w:w="1875" w:type="dxa"/>
            <w:noWrap w:val="0"/>
            <w:vAlign w:val="center"/>
          </w:tcPr>
          <w:p w14:paraId="69B40E2D">
            <w:pPr>
              <w:adjustRightInd w:val="0"/>
              <w:snapToGrid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偏离情况</w:t>
            </w:r>
          </w:p>
          <w:p w14:paraId="431218D9">
            <w:pPr>
              <w:adjustRightInd w:val="0"/>
              <w:snapToGrid w:val="0"/>
              <w:jc w:val="center"/>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rPr>
              <w:t>（据实填写）</w:t>
            </w:r>
          </w:p>
        </w:tc>
        <w:tc>
          <w:tcPr>
            <w:tcW w:w="1009" w:type="dxa"/>
            <w:noWrap w:val="0"/>
            <w:vAlign w:val="center"/>
          </w:tcPr>
          <w:p w14:paraId="34B15ADD">
            <w:pPr>
              <w:adjustRightInd w:val="0"/>
              <w:snapToGrid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说明</w:t>
            </w:r>
          </w:p>
        </w:tc>
      </w:tr>
      <w:tr w14:paraId="13B28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1BCAC00">
            <w:pPr>
              <w:adjustRightInd w:val="0"/>
              <w:snapToGrid w:val="0"/>
              <w:jc w:val="center"/>
              <w:rPr>
                <w:rFonts w:hint="eastAsia" w:ascii="宋体" w:hAnsi="宋体" w:eastAsia="宋体" w:cs="宋体"/>
                <w:color w:val="auto"/>
                <w:sz w:val="24"/>
                <w:highlight w:val="none"/>
              </w:rPr>
            </w:pPr>
          </w:p>
        </w:tc>
        <w:tc>
          <w:tcPr>
            <w:tcW w:w="1482" w:type="dxa"/>
            <w:noWrap w:val="0"/>
            <w:vAlign w:val="center"/>
          </w:tcPr>
          <w:p w14:paraId="1DCEBD9E">
            <w:pPr>
              <w:adjustRightInd w:val="0"/>
              <w:snapToGrid w:val="0"/>
              <w:jc w:val="center"/>
              <w:rPr>
                <w:rFonts w:hint="eastAsia" w:ascii="宋体" w:hAnsi="宋体" w:eastAsia="宋体" w:cs="宋体"/>
                <w:color w:val="auto"/>
                <w:sz w:val="24"/>
                <w:highlight w:val="none"/>
              </w:rPr>
            </w:pPr>
          </w:p>
        </w:tc>
        <w:tc>
          <w:tcPr>
            <w:tcW w:w="2384" w:type="dxa"/>
            <w:noWrap w:val="0"/>
            <w:vAlign w:val="center"/>
          </w:tcPr>
          <w:p w14:paraId="569B9FDE">
            <w:pPr>
              <w:adjustRightInd w:val="0"/>
              <w:snapToGrid w:val="0"/>
              <w:jc w:val="center"/>
              <w:rPr>
                <w:rFonts w:hint="eastAsia" w:ascii="宋体" w:hAnsi="宋体" w:eastAsia="宋体" w:cs="宋体"/>
                <w:color w:val="auto"/>
                <w:sz w:val="24"/>
                <w:highlight w:val="none"/>
              </w:rPr>
            </w:pPr>
          </w:p>
        </w:tc>
        <w:tc>
          <w:tcPr>
            <w:tcW w:w="2126" w:type="dxa"/>
            <w:noWrap w:val="0"/>
            <w:vAlign w:val="center"/>
          </w:tcPr>
          <w:p w14:paraId="26F83A18">
            <w:pPr>
              <w:adjustRightInd w:val="0"/>
              <w:snapToGrid w:val="0"/>
              <w:jc w:val="center"/>
              <w:rPr>
                <w:rFonts w:hint="eastAsia" w:ascii="宋体" w:hAnsi="宋体" w:eastAsia="宋体" w:cs="宋体"/>
                <w:color w:val="auto"/>
                <w:sz w:val="24"/>
                <w:highlight w:val="none"/>
              </w:rPr>
            </w:pPr>
          </w:p>
        </w:tc>
        <w:tc>
          <w:tcPr>
            <w:tcW w:w="1875" w:type="dxa"/>
            <w:noWrap w:val="0"/>
            <w:vAlign w:val="center"/>
          </w:tcPr>
          <w:p w14:paraId="32D69B4A">
            <w:pPr>
              <w:adjustRightInd w:val="0"/>
              <w:snapToGrid w:val="0"/>
              <w:jc w:val="center"/>
              <w:rPr>
                <w:rFonts w:hint="eastAsia" w:ascii="宋体" w:hAnsi="宋体" w:eastAsia="宋体" w:cs="宋体"/>
                <w:color w:val="auto"/>
                <w:sz w:val="24"/>
                <w:highlight w:val="none"/>
              </w:rPr>
            </w:pPr>
          </w:p>
        </w:tc>
        <w:tc>
          <w:tcPr>
            <w:tcW w:w="1009" w:type="dxa"/>
            <w:noWrap w:val="0"/>
            <w:vAlign w:val="center"/>
          </w:tcPr>
          <w:p w14:paraId="4D5437FA">
            <w:pPr>
              <w:adjustRightInd w:val="0"/>
              <w:snapToGrid w:val="0"/>
              <w:jc w:val="center"/>
              <w:rPr>
                <w:rFonts w:hint="eastAsia" w:ascii="宋体" w:hAnsi="宋体" w:eastAsia="宋体" w:cs="宋体"/>
                <w:color w:val="auto"/>
                <w:sz w:val="24"/>
                <w:highlight w:val="none"/>
              </w:rPr>
            </w:pPr>
          </w:p>
        </w:tc>
      </w:tr>
      <w:tr w14:paraId="44CC9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3C767AA">
            <w:pPr>
              <w:adjustRightInd w:val="0"/>
              <w:snapToGrid w:val="0"/>
              <w:jc w:val="center"/>
              <w:rPr>
                <w:rFonts w:hint="eastAsia" w:ascii="宋体" w:hAnsi="宋体" w:eastAsia="宋体" w:cs="宋体"/>
                <w:color w:val="auto"/>
                <w:sz w:val="24"/>
                <w:highlight w:val="none"/>
              </w:rPr>
            </w:pPr>
          </w:p>
        </w:tc>
        <w:tc>
          <w:tcPr>
            <w:tcW w:w="1482" w:type="dxa"/>
            <w:noWrap w:val="0"/>
            <w:vAlign w:val="center"/>
          </w:tcPr>
          <w:p w14:paraId="078CCD06">
            <w:pPr>
              <w:adjustRightInd w:val="0"/>
              <w:snapToGrid w:val="0"/>
              <w:jc w:val="center"/>
              <w:rPr>
                <w:rFonts w:hint="eastAsia" w:ascii="宋体" w:hAnsi="宋体" w:eastAsia="宋体" w:cs="宋体"/>
                <w:color w:val="auto"/>
                <w:sz w:val="24"/>
                <w:highlight w:val="none"/>
              </w:rPr>
            </w:pPr>
          </w:p>
        </w:tc>
        <w:tc>
          <w:tcPr>
            <w:tcW w:w="2384" w:type="dxa"/>
            <w:noWrap w:val="0"/>
            <w:vAlign w:val="center"/>
          </w:tcPr>
          <w:p w14:paraId="5DF9FF0C">
            <w:pPr>
              <w:adjustRightInd w:val="0"/>
              <w:snapToGrid w:val="0"/>
              <w:jc w:val="center"/>
              <w:rPr>
                <w:rFonts w:hint="eastAsia" w:ascii="宋体" w:hAnsi="宋体" w:eastAsia="宋体" w:cs="宋体"/>
                <w:color w:val="auto"/>
                <w:sz w:val="24"/>
                <w:highlight w:val="none"/>
              </w:rPr>
            </w:pPr>
          </w:p>
        </w:tc>
        <w:tc>
          <w:tcPr>
            <w:tcW w:w="2126" w:type="dxa"/>
            <w:noWrap w:val="0"/>
            <w:vAlign w:val="center"/>
          </w:tcPr>
          <w:p w14:paraId="164D4B70">
            <w:pPr>
              <w:adjustRightInd w:val="0"/>
              <w:snapToGrid w:val="0"/>
              <w:jc w:val="center"/>
              <w:rPr>
                <w:rFonts w:hint="eastAsia" w:ascii="宋体" w:hAnsi="宋体" w:eastAsia="宋体" w:cs="宋体"/>
                <w:color w:val="auto"/>
                <w:sz w:val="24"/>
                <w:highlight w:val="none"/>
              </w:rPr>
            </w:pPr>
          </w:p>
        </w:tc>
        <w:tc>
          <w:tcPr>
            <w:tcW w:w="1875" w:type="dxa"/>
            <w:noWrap w:val="0"/>
            <w:vAlign w:val="center"/>
          </w:tcPr>
          <w:p w14:paraId="398B4D5C">
            <w:pPr>
              <w:adjustRightInd w:val="0"/>
              <w:snapToGrid w:val="0"/>
              <w:jc w:val="center"/>
              <w:rPr>
                <w:rFonts w:hint="eastAsia" w:ascii="宋体" w:hAnsi="宋体" w:eastAsia="宋体" w:cs="宋体"/>
                <w:color w:val="auto"/>
                <w:sz w:val="24"/>
                <w:highlight w:val="none"/>
              </w:rPr>
            </w:pPr>
          </w:p>
        </w:tc>
        <w:tc>
          <w:tcPr>
            <w:tcW w:w="1009" w:type="dxa"/>
            <w:noWrap w:val="0"/>
            <w:vAlign w:val="center"/>
          </w:tcPr>
          <w:p w14:paraId="2834F63C">
            <w:pPr>
              <w:adjustRightInd w:val="0"/>
              <w:snapToGrid w:val="0"/>
              <w:jc w:val="center"/>
              <w:rPr>
                <w:rFonts w:hint="eastAsia" w:ascii="宋体" w:hAnsi="宋体" w:eastAsia="宋体" w:cs="宋体"/>
                <w:color w:val="auto"/>
                <w:sz w:val="24"/>
                <w:highlight w:val="none"/>
              </w:rPr>
            </w:pPr>
          </w:p>
        </w:tc>
      </w:tr>
      <w:tr w14:paraId="00C20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27182498">
            <w:pPr>
              <w:adjustRightInd w:val="0"/>
              <w:snapToGrid w:val="0"/>
              <w:jc w:val="center"/>
              <w:rPr>
                <w:rFonts w:hint="eastAsia" w:ascii="宋体" w:hAnsi="宋体" w:eastAsia="宋体" w:cs="宋体"/>
                <w:color w:val="auto"/>
                <w:sz w:val="24"/>
                <w:highlight w:val="none"/>
              </w:rPr>
            </w:pPr>
          </w:p>
        </w:tc>
        <w:tc>
          <w:tcPr>
            <w:tcW w:w="1482" w:type="dxa"/>
            <w:noWrap w:val="0"/>
            <w:vAlign w:val="center"/>
          </w:tcPr>
          <w:p w14:paraId="5F172A8A">
            <w:pPr>
              <w:adjustRightInd w:val="0"/>
              <w:snapToGrid w:val="0"/>
              <w:jc w:val="center"/>
              <w:rPr>
                <w:rFonts w:hint="eastAsia" w:ascii="宋体" w:hAnsi="宋体" w:eastAsia="宋体" w:cs="宋体"/>
                <w:color w:val="auto"/>
                <w:sz w:val="24"/>
                <w:highlight w:val="none"/>
              </w:rPr>
            </w:pPr>
          </w:p>
        </w:tc>
        <w:tc>
          <w:tcPr>
            <w:tcW w:w="2384" w:type="dxa"/>
            <w:noWrap w:val="0"/>
            <w:vAlign w:val="center"/>
          </w:tcPr>
          <w:p w14:paraId="1338FA98">
            <w:pPr>
              <w:adjustRightInd w:val="0"/>
              <w:snapToGrid w:val="0"/>
              <w:jc w:val="center"/>
              <w:rPr>
                <w:rFonts w:hint="eastAsia" w:ascii="宋体" w:hAnsi="宋体" w:eastAsia="宋体" w:cs="宋体"/>
                <w:color w:val="auto"/>
                <w:sz w:val="24"/>
                <w:highlight w:val="none"/>
              </w:rPr>
            </w:pPr>
          </w:p>
        </w:tc>
        <w:tc>
          <w:tcPr>
            <w:tcW w:w="2126" w:type="dxa"/>
            <w:noWrap w:val="0"/>
            <w:vAlign w:val="center"/>
          </w:tcPr>
          <w:p w14:paraId="078A45C3">
            <w:pPr>
              <w:adjustRightInd w:val="0"/>
              <w:snapToGrid w:val="0"/>
              <w:jc w:val="center"/>
              <w:rPr>
                <w:rFonts w:hint="eastAsia" w:ascii="宋体" w:hAnsi="宋体" w:eastAsia="宋体" w:cs="宋体"/>
                <w:color w:val="auto"/>
                <w:sz w:val="24"/>
                <w:highlight w:val="none"/>
              </w:rPr>
            </w:pPr>
          </w:p>
        </w:tc>
        <w:tc>
          <w:tcPr>
            <w:tcW w:w="1875" w:type="dxa"/>
            <w:noWrap w:val="0"/>
            <w:vAlign w:val="center"/>
          </w:tcPr>
          <w:p w14:paraId="1CFBBD88">
            <w:pPr>
              <w:adjustRightInd w:val="0"/>
              <w:snapToGrid w:val="0"/>
              <w:jc w:val="center"/>
              <w:rPr>
                <w:rFonts w:hint="eastAsia" w:ascii="宋体" w:hAnsi="宋体" w:eastAsia="宋体" w:cs="宋体"/>
                <w:color w:val="auto"/>
                <w:sz w:val="24"/>
                <w:highlight w:val="none"/>
              </w:rPr>
            </w:pPr>
          </w:p>
        </w:tc>
        <w:tc>
          <w:tcPr>
            <w:tcW w:w="1009" w:type="dxa"/>
            <w:noWrap w:val="0"/>
            <w:vAlign w:val="center"/>
          </w:tcPr>
          <w:p w14:paraId="674F27E9">
            <w:pPr>
              <w:adjustRightInd w:val="0"/>
              <w:snapToGrid w:val="0"/>
              <w:jc w:val="center"/>
              <w:rPr>
                <w:rFonts w:hint="eastAsia" w:ascii="宋体" w:hAnsi="宋体" w:eastAsia="宋体" w:cs="宋体"/>
                <w:color w:val="auto"/>
                <w:sz w:val="24"/>
                <w:highlight w:val="none"/>
              </w:rPr>
            </w:pPr>
          </w:p>
        </w:tc>
      </w:tr>
      <w:tr w14:paraId="55A42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2F0D1025">
            <w:pPr>
              <w:adjustRightInd w:val="0"/>
              <w:snapToGrid w:val="0"/>
              <w:jc w:val="center"/>
              <w:rPr>
                <w:rFonts w:hint="eastAsia" w:ascii="宋体" w:hAnsi="宋体" w:eastAsia="宋体" w:cs="宋体"/>
                <w:color w:val="auto"/>
                <w:sz w:val="24"/>
                <w:highlight w:val="none"/>
              </w:rPr>
            </w:pPr>
          </w:p>
        </w:tc>
        <w:tc>
          <w:tcPr>
            <w:tcW w:w="1482" w:type="dxa"/>
            <w:noWrap w:val="0"/>
            <w:vAlign w:val="center"/>
          </w:tcPr>
          <w:p w14:paraId="6CDFFE2E">
            <w:pPr>
              <w:adjustRightInd w:val="0"/>
              <w:snapToGrid w:val="0"/>
              <w:jc w:val="center"/>
              <w:rPr>
                <w:rFonts w:hint="eastAsia" w:ascii="宋体" w:hAnsi="宋体" w:eastAsia="宋体" w:cs="宋体"/>
                <w:color w:val="auto"/>
                <w:sz w:val="24"/>
                <w:highlight w:val="none"/>
              </w:rPr>
            </w:pPr>
          </w:p>
        </w:tc>
        <w:tc>
          <w:tcPr>
            <w:tcW w:w="2384" w:type="dxa"/>
            <w:noWrap w:val="0"/>
            <w:vAlign w:val="center"/>
          </w:tcPr>
          <w:p w14:paraId="694C4FAC">
            <w:pPr>
              <w:adjustRightInd w:val="0"/>
              <w:snapToGrid w:val="0"/>
              <w:jc w:val="center"/>
              <w:rPr>
                <w:rFonts w:hint="eastAsia" w:ascii="宋体" w:hAnsi="宋体" w:eastAsia="宋体" w:cs="宋体"/>
                <w:color w:val="auto"/>
                <w:sz w:val="24"/>
                <w:highlight w:val="none"/>
              </w:rPr>
            </w:pPr>
          </w:p>
        </w:tc>
        <w:tc>
          <w:tcPr>
            <w:tcW w:w="2126" w:type="dxa"/>
            <w:noWrap w:val="0"/>
            <w:vAlign w:val="center"/>
          </w:tcPr>
          <w:p w14:paraId="2EEA0D76">
            <w:pPr>
              <w:adjustRightInd w:val="0"/>
              <w:snapToGrid w:val="0"/>
              <w:jc w:val="center"/>
              <w:rPr>
                <w:rFonts w:hint="eastAsia" w:ascii="宋体" w:hAnsi="宋体" w:eastAsia="宋体" w:cs="宋体"/>
                <w:color w:val="auto"/>
                <w:sz w:val="24"/>
                <w:highlight w:val="none"/>
              </w:rPr>
            </w:pPr>
          </w:p>
        </w:tc>
        <w:tc>
          <w:tcPr>
            <w:tcW w:w="1875" w:type="dxa"/>
            <w:noWrap w:val="0"/>
            <w:vAlign w:val="center"/>
          </w:tcPr>
          <w:p w14:paraId="1AA3CE54">
            <w:pPr>
              <w:adjustRightInd w:val="0"/>
              <w:snapToGrid w:val="0"/>
              <w:jc w:val="center"/>
              <w:rPr>
                <w:rFonts w:hint="eastAsia" w:ascii="宋体" w:hAnsi="宋体" w:eastAsia="宋体" w:cs="宋体"/>
                <w:color w:val="auto"/>
                <w:sz w:val="24"/>
                <w:highlight w:val="none"/>
              </w:rPr>
            </w:pPr>
          </w:p>
        </w:tc>
        <w:tc>
          <w:tcPr>
            <w:tcW w:w="1009" w:type="dxa"/>
            <w:noWrap w:val="0"/>
            <w:vAlign w:val="center"/>
          </w:tcPr>
          <w:p w14:paraId="440FD23E">
            <w:pPr>
              <w:adjustRightInd w:val="0"/>
              <w:snapToGrid w:val="0"/>
              <w:jc w:val="center"/>
              <w:rPr>
                <w:rFonts w:hint="eastAsia" w:ascii="宋体" w:hAnsi="宋体" w:eastAsia="宋体" w:cs="宋体"/>
                <w:color w:val="auto"/>
                <w:sz w:val="24"/>
                <w:highlight w:val="none"/>
              </w:rPr>
            </w:pPr>
          </w:p>
        </w:tc>
      </w:tr>
      <w:tr w14:paraId="65B39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FCB18B4">
            <w:pPr>
              <w:adjustRightInd w:val="0"/>
              <w:snapToGrid w:val="0"/>
              <w:jc w:val="center"/>
              <w:rPr>
                <w:rFonts w:hint="eastAsia" w:ascii="宋体" w:hAnsi="宋体" w:eastAsia="宋体" w:cs="宋体"/>
                <w:color w:val="auto"/>
                <w:sz w:val="24"/>
                <w:highlight w:val="none"/>
              </w:rPr>
            </w:pPr>
          </w:p>
        </w:tc>
        <w:tc>
          <w:tcPr>
            <w:tcW w:w="1482" w:type="dxa"/>
            <w:noWrap w:val="0"/>
            <w:vAlign w:val="center"/>
          </w:tcPr>
          <w:p w14:paraId="314EFCD3">
            <w:pPr>
              <w:adjustRightInd w:val="0"/>
              <w:snapToGrid w:val="0"/>
              <w:jc w:val="center"/>
              <w:rPr>
                <w:rFonts w:hint="eastAsia" w:ascii="宋体" w:hAnsi="宋体" w:eastAsia="宋体" w:cs="宋体"/>
                <w:color w:val="auto"/>
                <w:sz w:val="24"/>
                <w:highlight w:val="none"/>
              </w:rPr>
            </w:pPr>
          </w:p>
        </w:tc>
        <w:tc>
          <w:tcPr>
            <w:tcW w:w="2384" w:type="dxa"/>
            <w:noWrap w:val="0"/>
            <w:vAlign w:val="center"/>
          </w:tcPr>
          <w:p w14:paraId="7A471778">
            <w:pPr>
              <w:adjustRightInd w:val="0"/>
              <w:snapToGrid w:val="0"/>
              <w:jc w:val="center"/>
              <w:rPr>
                <w:rFonts w:hint="eastAsia" w:ascii="宋体" w:hAnsi="宋体" w:eastAsia="宋体" w:cs="宋体"/>
                <w:color w:val="auto"/>
                <w:sz w:val="24"/>
                <w:highlight w:val="none"/>
              </w:rPr>
            </w:pPr>
          </w:p>
        </w:tc>
        <w:tc>
          <w:tcPr>
            <w:tcW w:w="2126" w:type="dxa"/>
            <w:noWrap w:val="0"/>
            <w:vAlign w:val="center"/>
          </w:tcPr>
          <w:p w14:paraId="6618A590">
            <w:pPr>
              <w:adjustRightInd w:val="0"/>
              <w:snapToGrid w:val="0"/>
              <w:jc w:val="center"/>
              <w:rPr>
                <w:rFonts w:hint="eastAsia" w:ascii="宋体" w:hAnsi="宋体" w:eastAsia="宋体" w:cs="宋体"/>
                <w:color w:val="auto"/>
                <w:sz w:val="24"/>
                <w:highlight w:val="none"/>
              </w:rPr>
            </w:pPr>
          </w:p>
        </w:tc>
        <w:tc>
          <w:tcPr>
            <w:tcW w:w="1875" w:type="dxa"/>
            <w:noWrap w:val="0"/>
            <w:vAlign w:val="center"/>
          </w:tcPr>
          <w:p w14:paraId="64CCDF01">
            <w:pPr>
              <w:adjustRightInd w:val="0"/>
              <w:snapToGrid w:val="0"/>
              <w:jc w:val="center"/>
              <w:rPr>
                <w:rFonts w:hint="eastAsia" w:ascii="宋体" w:hAnsi="宋体" w:eastAsia="宋体" w:cs="宋体"/>
                <w:color w:val="auto"/>
                <w:sz w:val="24"/>
                <w:highlight w:val="none"/>
              </w:rPr>
            </w:pPr>
          </w:p>
        </w:tc>
        <w:tc>
          <w:tcPr>
            <w:tcW w:w="1009" w:type="dxa"/>
            <w:noWrap w:val="0"/>
            <w:vAlign w:val="center"/>
          </w:tcPr>
          <w:p w14:paraId="03499AFE">
            <w:pPr>
              <w:adjustRightInd w:val="0"/>
              <w:snapToGrid w:val="0"/>
              <w:jc w:val="center"/>
              <w:rPr>
                <w:rFonts w:hint="eastAsia" w:ascii="宋体" w:hAnsi="宋体" w:eastAsia="宋体" w:cs="宋体"/>
                <w:color w:val="auto"/>
                <w:sz w:val="24"/>
                <w:highlight w:val="none"/>
              </w:rPr>
            </w:pPr>
          </w:p>
        </w:tc>
      </w:tr>
      <w:tr w14:paraId="4FF22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1A2F35E">
            <w:pPr>
              <w:adjustRightInd w:val="0"/>
              <w:snapToGrid w:val="0"/>
              <w:jc w:val="center"/>
              <w:rPr>
                <w:rFonts w:hint="eastAsia" w:ascii="宋体" w:hAnsi="宋体" w:eastAsia="宋体" w:cs="宋体"/>
                <w:color w:val="auto"/>
                <w:sz w:val="24"/>
                <w:highlight w:val="none"/>
              </w:rPr>
            </w:pPr>
          </w:p>
        </w:tc>
        <w:tc>
          <w:tcPr>
            <w:tcW w:w="1482" w:type="dxa"/>
            <w:noWrap w:val="0"/>
            <w:vAlign w:val="center"/>
          </w:tcPr>
          <w:p w14:paraId="1B018A47">
            <w:pPr>
              <w:adjustRightInd w:val="0"/>
              <w:snapToGrid w:val="0"/>
              <w:jc w:val="center"/>
              <w:rPr>
                <w:rFonts w:hint="eastAsia" w:ascii="宋体" w:hAnsi="宋体" w:eastAsia="宋体" w:cs="宋体"/>
                <w:color w:val="auto"/>
                <w:sz w:val="24"/>
                <w:highlight w:val="none"/>
              </w:rPr>
            </w:pPr>
          </w:p>
        </w:tc>
        <w:tc>
          <w:tcPr>
            <w:tcW w:w="2384" w:type="dxa"/>
            <w:noWrap w:val="0"/>
            <w:vAlign w:val="center"/>
          </w:tcPr>
          <w:p w14:paraId="77D057F6">
            <w:pPr>
              <w:adjustRightInd w:val="0"/>
              <w:snapToGrid w:val="0"/>
              <w:jc w:val="center"/>
              <w:rPr>
                <w:rFonts w:hint="eastAsia" w:ascii="宋体" w:hAnsi="宋体" w:eastAsia="宋体" w:cs="宋体"/>
                <w:color w:val="auto"/>
                <w:sz w:val="24"/>
                <w:highlight w:val="none"/>
              </w:rPr>
            </w:pPr>
          </w:p>
        </w:tc>
        <w:tc>
          <w:tcPr>
            <w:tcW w:w="2126" w:type="dxa"/>
            <w:noWrap w:val="0"/>
            <w:vAlign w:val="center"/>
          </w:tcPr>
          <w:p w14:paraId="66F70FFD">
            <w:pPr>
              <w:adjustRightInd w:val="0"/>
              <w:snapToGrid w:val="0"/>
              <w:jc w:val="center"/>
              <w:rPr>
                <w:rFonts w:hint="eastAsia" w:ascii="宋体" w:hAnsi="宋体" w:eastAsia="宋体" w:cs="宋体"/>
                <w:color w:val="auto"/>
                <w:sz w:val="24"/>
                <w:highlight w:val="none"/>
              </w:rPr>
            </w:pPr>
          </w:p>
        </w:tc>
        <w:tc>
          <w:tcPr>
            <w:tcW w:w="1875" w:type="dxa"/>
            <w:noWrap w:val="0"/>
            <w:vAlign w:val="center"/>
          </w:tcPr>
          <w:p w14:paraId="59FAF71A">
            <w:pPr>
              <w:adjustRightInd w:val="0"/>
              <w:snapToGrid w:val="0"/>
              <w:jc w:val="center"/>
              <w:rPr>
                <w:rFonts w:hint="eastAsia" w:ascii="宋体" w:hAnsi="宋体" w:eastAsia="宋体" w:cs="宋体"/>
                <w:color w:val="auto"/>
                <w:sz w:val="24"/>
                <w:highlight w:val="none"/>
              </w:rPr>
            </w:pPr>
          </w:p>
        </w:tc>
        <w:tc>
          <w:tcPr>
            <w:tcW w:w="1009" w:type="dxa"/>
            <w:noWrap w:val="0"/>
            <w:vAlign w:val="center"/>
          </w:tcPr>
          <w:p w14:paraId="7EBE014B">
            <w:pPr>
              <w:adjustRightInd w:val="0"/>
              <w:snapToGrid w:val="0"/>
              <w:jc w:val="center"/>
              <w:rPr>
                <w:rFonts w:hint="eastAsia" w:ascii="宋体" w:hAnsi="宋体" w:eastAsia="宋体" w:cs="宋体"/>
                <w:color w:val="auto"/>
                <w:sz w:val="24"/>
                <w:highlight w:val="none"/>
              </w:rPr>
            </w:pPr>
          </w:p>
        </w:tc>
      </w:tr>
    </w:tbl>
    <w:p w14:paraId="6024B4E6">
      <w:pPr>
        <w:tabs>
          <w:tab w:val="left" w:pos="1800"/>
          <w:tab w:val="left" w:pos="5580"/>
        </w:tabs>
        <w:spacing w:line="360" w:lineRule="auto"/>
        <w:ind w:firstLine="360" w:firstLineChars="150"/>
        <w:jc w:val="left"/>
        <w:rPr>
          <w:rFonts w:hint="eastAsia" w:ascii="宋体" w:hAnsi="宋体" w:eastAsia="宋体" w:cs="宋体"/>
          <w:color w:val="auto"/>
          <w:sz w:val="24"/>
          <w:highlight w:val="none"/>
          <w:u w:val="single"/>
        </w:rPr>
      </w:pPr>
    </w:p>
    <w:p w14:paraId="3B7D9BE4">
      <w:pPr>
        <w:tabs>
          <w:tab w:val="left" w:pos="1800"/>
          <w:tab w:val="left" w:pos="5580"/>
        </w:tabs>
        <w:spacing w:line="360" w:lineRule="auto"/>
        <w:ind w:firstLine="360" w:firstLineChars="150"/>
        <w:jc w:val="left"/>
        <w:rPr>
          <w:rFonts w:hint="eastAsia" w:ascii="宋体" w:hAnsi="宋体" w:eastAsia="宋体" w:cs="宋体"/>
          <w:color w:val="auto"/>
          <w:sz w:val="24"/>
          <w:highlight w:val="none"/>
          <w:u w:val="single"/>
        </w:rPr>
      </w:pPr>
    </w:p>
    <w:p w14:paraId="5F308505">
      <w:pPr>
        <w:tabs>
          <w:tab w:val="left" w:pos="1800"/>
          <w:tab w:val="left" w:pos="5580"/>
        </w:tabs>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注：</w:t>
      </w:r>
    </w:p>
    <w:p w14:paraId="59164D69">
      <w:pPr>
        <w:tabs>
          <w:tab w:val="left" w:pos="1800"/>
          <w:tab w:val="left" w:pos="5580"/>
        </w:tabs>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 对竞争性磋商文件中的所有商务、技术要求，除本表所列明的所有偏离外，均视作供应商已对之理解和响应。此表中若无任何文字说明，内容为空白的</w:t>
      </w:r>
      <w:r>
        <w:rPr>
          <w:rFonts w:hint="eastAsia" w:ascii="宋体" w:hAnsi="宋体" w:eastAsia="宋体" w:cs="宋体"/>
          <w:color w:val="auto"/>
          <w:sz w:val="24"/>
          <w:highlight w:val="none"/>
          <w:lang w:eastAsia="zh-CN"/>
        </w:rPr>
        <w:t>，</w:t>
      </w:r>
      <w:r>
        <w:rPr>
          <w:rFonts w:hint="eastAsia" w:ascii="宋体" w:hAnsi="宋体" w:eastAsia="宋体" w:cs="宋体"/>
          <w:b/>
          <w:color w:val="auto"/>
          <w:sz w:val="24"/>
          <w:highlight w:val="none"/>
        </w:rPr>
        <w:t>响应无效</w:t>
      </w:r>
      <w:r>
        <w:rPr>
          <w:rFonts w:hint="eastAsia" w:ascii="宋体" w:hAnsi="宋体" w:eastAsia="宋体" w:cs="宋体"/>
          <w:color w:val="auto"/>
          <w:sz w:val="24"/>
          <w:highlight w:val="none"/>
        </w:rPr>
        <w:t>。</w:t>
      </w:r>
    </w:p>
    <w:p w14:paraId="4BA4F5C9">
      <w:pPr>
        <w:tabs>
          <w:tab w:val="left" w:pos="1800"/>
          <w:tab w:val="left" w:pos="5580"/>
        </w:tabs>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2.“偏离情况”列应据实填写“正偏离”或“负偏离”或“无偏离”。</w:t>
      </w:r>
    </w:p>
    <w:p w14:paraId="3F788A2E">
      <w:pPr>
        <w:tabs>
          <w:tab w:val="left" w:pos="1800"/>
          <w:tab w:val="left" w:pos="5580"/>
        </w:tabs>
        <w:jc w:val="left"/>
        <w:rPr>
          <w:rFonts w:hint="eastAsia" w:ascii="宋体" w:hAnsi="宋体" w:eastAsia="宋体" w:cs="宋体"/>
          <w:color w:val="auto"/>
          <w:sz w:val="24"/>
          <w:highlight w:val="none"/>
        </w:rPr>
      </w:pPr>
    </w:p>
    <w:p w14:paraId="4A1247C2">
      <w:pPr>
        <w:rPr>
          <w:rFonts w:hint="eastAsia" w:ascii="宋体" w:hAnsi="宋体" w:eastAsia="宋体" w:cs="宋体"/>
          <w:color w:val="auto"/>
          <w:sz w:val="24"/>
          <w:szCs w:val="20"/>
          <w:highlight w:val="none"/>
        </w:rPr>
      </w:pPr>
    </w:p>
    <w:p w14:paraId="651D2DF0">
      <w:pPr>
        <w:autoSpaceDE w:val="0"/>
        <w:autoSpaceDN w:val="0"/>
        <w:adjustRightInd w:val="0"/>
        <w:snapToGrid w:val="0"/>
        <w:spacing w:before="25" w:after="25" w:line="360" w:lineRule="auto"/>
        <w:ind w:right="360"/>
        <w:jc w:val="lef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供应商名称（加盖公章）</w:t>
      </w: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rPr>
        <w:t>______</w:t>
      </w:r>
    </w:p>
    <w:p w14:paraId="7EF1BD7A">
      <w:pPr>
        <w:autoSpaceDE w:val="0"/>
        <w:autoSpaceDN w:val="0"/>
        <w:adjustRightInd w:val="0"/>
        <w:snapToGrid w:val="0"/>
        <w:spacing w:before="25" w:after="25" w:line="360" w:lineRule="auto"/>
        <w:ind w:right="36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日期：____年____月____日 </w:t>
      </w:r>
    </w:p>
    <w:p w14:paraId="182B0D0F">
      <w:pPr>
        <w:keepNext w:val="0"/>
        <w:keepLines w:val="0"/>
        <w:widowControl/>
        <w:suppressLineNumbers w:val="0"/>
        <w:jc w:val="left"/>
        <w:rPr>
          <w:highlight w:val="none"/>
        </w:rPr>
      </w:pPr>
      <w:r>
        <w:rPr>
          <w:rFonts w:hint="eastAsia" w:ascii="宋体" w:hAnsi="宋体" w:eastAsia="宋体" w:cs="宋体"/>
          <w:color w:val="auto"/>
          <w:sz w:val="24"/>
          <w:szCs w:val="20"/>
          <w:highlight w:val="none"/>
        </w:rPr>
        <w:br w:type="page"/>
      </w:r>
      <w:r>
        <w:rPr>
          <w:rFonts w:hint="eastAsia" w:ascii="宋体" w:hAnsi="宋体" w:eastAsia="宋体" w:cs="宋体"/>
          <w:color w:val="000000"/>
          <w:kern w:val="0"/>
          <w:sz w:val="24"/>
          <w:szCs w:val="24"/>
          <w:highlight w:val="none"/>
          <w:lang w:val="en-US" w:eastAsia="zh-CN" w:bidi="ar"/>
        </w:rPr>
        <w:t xml:space="preserve">11 竞争性磋商文件要求提供或供应商认为应附的其他材料 </w:t>
      </w:r>
    </w:p>
    <w:p w14:paraId="3631F5B6">
      <w:pPr>
        <w:tabs>
          <w:tab w:val="left" w:pos="360"/>
        </w:tabs>
        <w:snapToGrid w:val="0"/>
        <w:spacing w:line="360" w:lineRule="auto"/>
        <w:outlineLvl w:val="1"/>
        <w:rPr>
          <w:rFonts w:hint="eastAsia" w:ascii="宋体" w:hAnsi="宋体" w:eastAsia="宋体" w:cs="宋体"/>
          <w:b/>
          <w:color w:val="auto"/>
          <w:sz w:val="36"/>
          <w:szCs w:val="36"/>
          <w:highlight w:val="none"/>
        </w:rPr>
      </w:pPr>
    </w:p>
    <w:p w14:paraId="2B384D08">
      <w:pPr>
        <w:widowControl/>
        <w:jc w:val="lef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r>
    </w:p>
    <w:p w14:paraId="69F66B87">
      <w:pPr>
        <w:tabs>
          <w:tab w:val="left" w:pos="360"/>
        </w:tabs>
        <w:snapToGrid w:val="0"/>
        <w:spacing w:line="360" w:lineRule="auto"/>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 xml:space="preserve">  最后报价一览表（实质性格式，磋商后提交）</w:t>
      </w:r>
    </w:p>
    <w:p w14:paraId="708DF705">
      <w:pPr>
        <w:widowControl/>
        <w:jc w:val="left"/>
        <w:rPr>
          <w:rFonts w:hint="eastAsia" w:ascii="宋体" w:hAnsi="宋体" w:eastAsia="宋体" w:cs="宋体"/>
          <w:color w:val="auto"/>
          <w:kern w:val="0"/>
          <w:sz w:val="24"/>
          <w:szCs w:val="20"/>
          <w:highlight w:val="none"/>
        </w:rPr>
      </w:pPr>
    </w:p>
    <w:p w14:paraId="4F98B2CA">
      <w:pPr>
        <w:spacing w:line="360" w:lineRule="exact"/>
        <w:ind w:firstLine="720"/>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最后报价一览表</w:t>
      </w:r>
    </w:p>
    <w:p w14:paraId="1EC60B97">
      <w:pPr>
        <w:pStyle w:val="39"/>
        <w:bidi w:val="0"/>
        <w:rPr>
          <w:rFonts w:hint="eastAsia" w:ascii="宋体" w:hAnsi="宋体" w:eastAsia="宋体" w:cs="宋体"/>
          <w:highlight w:val="none"/>
        </w:rPr>
      </w:pPr>
    </w:p>
    <w:p w14:paraId="1FF46183">
      <w:pPr>
        <w:tabs>
          <w:tab w:val="left" w:pos="1800"/>
          <w:tab w:val="left" w:pos="5580"/>
        </w:tabs>
        <w:spacing w:line="360" w:lineRule="auto"/>
        <w:ind w:firstLine="360" w:firstLineChars="150"/>
        <w:jc w:val="left"/>
        <w:rPr>
          <w:rFonts w:hint="eastAsia" w:ascii="宋体" w:hAnsi="宋体" w:eastAsia="宋体" w:cs="宋体"/>
          <w:color w:val="auto"/>
          <w:sz w:val="24"/>
          <w:highlight w:val="none"/>
        </w:rPr>
      </w:pPr>
      <w:r>
        <w:rPr>
          <w:rFonts w:hint="eastAsia" w:ascii="宋体" w:hAnsi="宋体" w:cs="宋体"/>
          <w:color w:val="auto"/>
          <w:sz w:val="24"/>
          <w:szCs w:val="20"/>
          <w:highlight w:val="none"/>
          <w:lang w:val="en-US" w:eastAsia="zh-CN"/>
        </w:rPr>
        <w:t>采购文件编号</w:t>
      </w:r>
      <w:r>
        <w:rPr>
          <w:rFonts w:hint="eastAsia" w:ascii="宋体" w:hAnsi="宋体" w:eastAsia="宋体" w:cs="宋体"/>
          <w:color w:val="auto"/>
          <w:sz w:val="24"/>
          <w:highlight w:val="none"/>
        </w:rPr>
        <w:t>：_______________     项目名称：_______________</w:t>
      </w:r>
    </w:p>
    <w:tbl>
      <w:tblPr>
        <w:tblStyle w:val="18"/>
        <w:tblW w:w="483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9"/>
        <w:gridCol w:w="1927"/>
        <w:gridCol w:w="1922"/>
        <w:gridCol w:w="1550"/>
        <w:gridCol w:w="1583"/>
        <w:gridCol w:w="1222"/>
      </w:tblGrid>
      <w:tr w14:paraId="402C6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324" w:type="pct"/>
            <w:vMerge w:val="restart"/>
            <w:noWrap w:val="0"/>
            <w:vAlign w:val="center"/>
          </w:tcPr>
          <w:p w14:paraId="400379D4">
            <w:pPr>
              <w:tabs>
                <w:tab w:val="left" w:pos="5580"/>
              </w:tabs>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1098" w:type="pct"/>
            <w:vMerge w:val="restart"/>
            <w:noWrap w:val="0"/>
            <w:vAlign w:val="center"/>
          </w:tcPr>
          <w:p w14:paraId="37F26DE4">
            <w:pPr>
              <w:tabs>
                <w:tab w:val="left" w:pos="5580"/>
              </w:tabs>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供应商名称</w:t>
            </w:r>
          </w:p>
        </w:tc>
        <w:tc>
          <w:tcPr>
            <w:tcW w:w="1095" w:type="pct"/>
            <w:vMerge w:val="restart"/>
            <w:noWrap w:val="0"/>
            <w:vAlign w:val="center"/>
          </w:tcPr>
          <w:p w14:paraId="494D24D3">
            <w:pPr>
              <w:tabs>
                <w:tab w:val="left" w:pos="5580"/>
              </w:tabs>
              <w:jc w:val="center"/>
              <w:rPr>
                <w:rFonts w:hint="eastAsia" w:ascii="宋体" w:hAnsi="宋体" w:eastAsia="宋体" w:cs="宋体"/>
                <w:b/>
                <w:color w:val="auto"/>
                <w:kern w:val="2"/>
                <w:sz w:val="24"/>
                <w:szCs w:val="24"/>
                <w:highlight w:val="none"/>
                <w:lang w:val="en-US" w:eastAsia="zh-CN" w:bidi="ar-SA"/>
              </w:rPr>
            </w:pPr>
            <w:r>
              <w:rPr>
                <w:rFonts w:hint="eastAsia" w:ascii="宋体" w:hAnsi="宋体" w:eastAsia="宋体" w:cs="宋体"/>
                <w:b/>
                <w:color w:val="auto"/>
                <w:sz w:val="24"/>
                <w:highlight w:val="none"/>
                <w:lang w:val="en-US" w:eastAsia="zh-CN"/>
              </w:rPr>
              <w:t>工期</w:t>
            </w:r>
          </w:p>
        </w:tc>
        <w:tc>
          <w:tcPr>
            <w:tcW w:w="1785" w:type="pct"/>
            <w:gridSpan w:val="2"/>
            <w:noWrap w:val="0"/>
            <w:vAlign w:val="center"/>
          </w:tcPr>
          <w:p w14:paraId="7FBC641A">
            <w:pPr>
              <w:tabs>
                <w:tab w:val="left" w:pos="5580"/>
              </w:tabs>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最后报价</w:t>
            </w:r>
          </w:p>
        </w:tc>
        <w:tc>
          <w:tcPr>
            <w:tcW w:w="696" w:type="pct"/>
            <w:vMerge w:val="restart"/>
            <w:noWrap w:val="0"/>
            <w:vAlign w:val="center"/>
          </w:tcPr>
          <w:p w14:paraId="5AD57DD5">
            <w:pPr>
              <w:tabs>
                <w:tab w:val="left" w:pos="5580"/>
              </w:tabs>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其他</w:t>
            </w:r>
          </w:p>
          <w:p w14:paraId="54638C8F">
            <w:pPr>
              <w:tabs>
                <w:tab w:val="left" w:pos="5580"/>
              </w:tabs>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声明</w:t>
            </w:r>
          </w:p>
        </w:tc>
      </w:tr>
      <w:tr w14:paraId="169EA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324" w:type="pct"/>
            <w:vMerge w:val="continue"/>
            <w:noWrap w:val="0"/>
            <w:vAlign w:val="center"/>
          </w:tcPr>
          <w:p w14:paraId="0D006725">
            <w:pPr>
              <w:tabs>
                <w:tab w:val="left" w:pos="5580"/>
              </w:tabs>
              <w:jc w:val="center"/>
              <w:rPr>
                <w:rFonts w:hint="eastAsia" w:ascii="宋体" w:hAnsi="宋体" w:eastAsia="宋体" w:cs="宋体"/>
                <w:color w:val="auto"/>
                <w:sz w:val="24"/>
                <w:highlight w:val="none"/>
              </w:rPr>
            </w:pPr>
          </w:p>
        </w:tc>
        <w:tc>
          <w:tcPr>
            <w:tcW w:w="1098" w:type="pct"/>
            <w:vMerge w:val="continue"/>
            <w:noWrap w:val="0"/>
            <w:vAlign w:val="center"/>
          </w:tcPr>
          <w:p w14:paraId="6A8B5C3E">
            <w:pPr>
              <w:tabs>
                <w:tab w:val="left" w:pos="5580"/>
              </w:tabs>
              <w:jc w:val="center"/>
              <w:rPr>
                <w:rFonts w:hint="eastAsia" w:ascii="宋体" w:hAnsi="宋体" w:eastAsia="宋体" w:cs="宋体"/>
                <w:color w:val="auto"/>
                <w:sz w:val="24"/>
                <w:highlight w:val="none"/>
              </w:rPr>
            </w:pPr>
          </w:p>
        </w:tc>
        <w:tc>
          <w:tcPr>
            <w:tcW w:w="1095" w:type="pct"/>
            <w:vMerge w:val="continue"/>
            <w:noWrap w:val="0"/>
            <w:vAlign w:val="center"/>
          </w:tcPr>
          <w:p w14:paraId="494C4822">
            <w:pPr>
              <w:tabs>
                <w:tab w:val="left" w:pos="5580"/>
              </w:tabs>
              <w:jc w:val="center"/>
              <w:rPr>
                <w:rFonts w:hint="eastAsia" w:ascii="宋体" w:hAnsi="宋体" w:eastAsia="宋体" w:cs="宋体"/>
                <w:b/>
                <w:color w:val="auto"/>
                <w:kern w:val="2"/>
                <w:sz w:val="24"/>
                <w:szCs w:val="24"/>
                <w:highlight w:val="none"/>
                <w:lang w:val="en-US" w:eastAsia="zh-CN" w:bidi="ar-SA"/>
              </w:rPr>
            </w:pPr>
          </w:p>
        </w:tc>
        <w:tc>
          <w:tcPr>
            <w:tcW w:w="883" w:type="pct"/>
            <w:noWrap w:val="0"/>
            <w:vAlign w:val="center"/>
          </w:tcPr>
          <w:p w14:paraId="317E960F">
            <w:pPr>
              <w:tabs>
                <w:tab w:val="left" w:pos="5580"/>
              </w:tabs>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大写</w:t>
            </w:r>
          </w:p>
        </w:tc>
        <w:tc>
          <w:tcPr>
            <w:tcW w:w="901" w:type="pct"/>
            <w:noWrap w:val="0"/>
            <w:vAlign w:val="center"/>
          </w:tcPr>
          <w:p w14:paraId="6AB48CF3">
            <w:pPr>
              <w:tabs>
                <w:tab w:val="left" w:pos="5580"/>
              </w:tabs>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小写</w:t>
            </w:r>
          </w:p>
        </w:tc>
        <w:tc>
          <w:tcPr>
            <w:tcW w:w="696" w:type="pct"/>
            <w:vMerge w:val="continue"/>
            <w:noWrap w:val="0"/>
            <w:vAlign w:val="center"/>
          </w:tcPr>
          <w:p w14:paraId="0EBA6C60">
            <w:pPr>
              <w:tabs>
                <w:tab w:val="left" w:pos="5580"/>
              </w:tabs>
              <w:ind w:firstLine="482"/>
              <w:jc w:val="center"/>
              <w:rPr>
                <w:rFonts w:hint="eastAsia" w:ascii="宋体" w:hAnsi="宋体" w:eastAsia="宋体" w:cs="宋体"/>
                <w:b/>
                <w:color w:val="auto"/>
                <w:sz w:val="24"/>
                <w:highlight w:val="none"/>
              </w:rPr>
            </w:pPr>
          </w:p>
        </w:tc>
      </w:tr>
      <w:tr w14:paraId="3A81E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324" w:type="pct"/>
            <w:noWrap w:val="0"/>
            <w:vAlign w:val="center"/>
          </w:tcPr>
          <w:p w14:paraId="2BA7532C">
            <w:pPr>
              <w:tabs>
                <w:tab w:val="left" w:pos="5580"/>
              </w:tabs>
              <w:jc w:val="center"/>
              <w:rPr>
                <w:rFonts w:hint="eastAsia" w:ascii="宋体" w:hAnsi="宋体" w:eastAsia="宋体" w:cs="宋体"/>
                <w:color w:val="auto"/>
                <w:sz w:val="24"/>
                <w:highlight w:val="none"/>
              </w:rPr>
            </w:pPr>
          </w:p>
        </w:tc>
        <w:tc>
          <w:tcPr>
            <w:tcW w:w="1098" w:type="pct"/>
            <w:noWrap w:val="0"/>
            <w:vAlign w:val="center"/>
          </w:tcPr>
          <w:p w14:paraId="49D64A58">
            <w:pPr>
              <w:tabs>
                <w:tab w:val="left" w:pos="5580"/>
              </w:tabs>
              <w:jc w:val="center"/>
              <w:rPr>
                <w:rFonts w:hint="eastAsia" w:ascii="宋体" w:hAnsi="宋体" w:eastAsia="宋体" w:cs="宋体"/>
                <w:color w:val="auto"/>
                <w:sz w:val="24"/>
                <w:highlight w:val="none"/>
              </w:rPr>
            </w:pPr>
          </w:p>
        </w:tc>
        <w:tc>
          <w:tcPr>
            <w:tcW w:w="1095" w:type="pct"/>
            <w:noWrap w:val="0"/>
            <w:vAlign w:val="center"/>
          </w:tcPr>
          <w:p w14:paraId="2E56728A">
            <w:pPr>
              <w:tabs>
                <w:tab w:val="left" w:pos="5580"/>
              </w:tabs>
              <w:jc w:val="center"/>
              <w:rPr>
                <w:rFonts w:hint="eastAsia" w:ascii="宋体" w:hAnsi="宋体" w:eastAsia="宋体" w:cs="宋体"/>
                <w:color w:val="auto"/>
                <w:kern w:val="2"/>
                <w:sz w:val="24"/>
                <w:szCs w:val="24"/>
                <w:highlight w:val="none"/>
                <w:lang w:val="en-US" w:eastAsia="zh-CN" w:bidi="ar-SA"/>
              </w:rPr>
            </w:pPr>
          </w:p>
        </w:tc>
        <w:tc>
          <w:tcPr>
            <w:tcW w:w="883" w:type="pct"/>
            <w:noWrap w:val="0"/>
            <w:vAlign w:val="center"/>
          </w:tcPr>
          <w:p w14:paraId="7F510505">
            <w:pPr>
              <w:tabs>
                <w:tab w:val="left" w:pos="5580"/>
              </w:tabs>
              <w:jc w:val="center"/>
              <w:rPr>
                <w:rFonts w:hint="eastAsia" w:ascii="宋体" w:hAnsi="宋体" w:eastAsia="宋体" w:cs="宋体"/>
                <w:color w:val="auto"/>
                <w:sz w:val="24"/>
                <w:highlight w:val="none"/>
              </w:rPr>
            </w:pPr>
          </w:p>
        </w:tc>
        <w:tc>
          <w:tcPr>
            <w:tcW w:w="901" w:type="pct"/>
            <w:noWrap w:val="0"/>
            <w:vAlign w:val="center"/>
          </w:tcPr>
          <w:p w14:paraId="79E52E9F">
            <w:pPr>
              <w:tabs>
                <w:tab w:val="left" w:pos="5580"/>
              </w:tabs>
              <w:jc w:val="center"/>
              <w:rPr>
                <w:rFonts w:hint="eastAsia" w:ascii="宋体" w:hAnsi="宋体" w:eastAsia="宋体" w:cs="宋体"/>
                <w:color w:val="auto"/>
                <w:sz w:val="24"/>
                <w:highlight w:val="none"/>
              </w:rPr>
            </w:pPr>
          </w:p>
        </w:tc>
        <w:tc>
          <w:tcPr>
            <w:tcW w:w="696" w:type="pct"/>
            <w:noWrap w:val="0"/>
            <w:vAlign w:val="center"/>
          </w:tcPr>
          <w:p w14:paraId="451C39B5">
            <w:pPr>
              <w:tabs>
                <w:tab w:val="left" w:pos="5580"/>
              </w:tabs>
              <w:jc w:val="center"/>
              <w:rPr>
                <w:rFonts w:hint="eastAsia" w:ascii="宋体" w:hAnsi="宋体" w:eastAsia="宋体" w:cs="宋体"/>
                <w:color w:val="auto"/>
                <w:sz w:val="24"/>
                <w:highlight w:val="none"/>
              </w:rPr>
            </w:pPr>
          </w:p>
        </w:tc>
      </w:tr>
    </w:tbl>
    <w:p w14:paraId="06C388F0">
      <w:pPr>
        <w:autoSpaceDE w:val="0"/>
        <w:autoSpaceDN w:val="0"/>
        <w:adjustRightInd w:val="0"/>
        <w:jc w:val="left"/>
        <w:rPr>
          <w:rFonts w:hint="eastAsia" w:ascii="宋体" w:hAnsi="宋体" w:eastAsia="宋体" w:cs="宋体"/>
          <w:color w:val="auto"/>
          <w:kern w:val="0"/>
          <w:sz w:val="24"/>
          <w:highlight w:val="none"/>
        </w:rPr>
      </w:pPr>
    </w:p>
    <w:p w14:paraId="64127D90">
      <w:pPr>
        <w:keepNext w:val="0"/>
        <w:keepLines w:val="0"/>
        <w:widowControl/>
        <w:suppressLineNumbers w:val="0"/>
        <w:jc w:val="left"/>
        <w:rPr>
          <w:rFonts w:hint="eastAsia" w:ascii="宋体" w:hAnsi="宋体" w:eastAsia="宋体" w:cs="宋体"/>
          <w:highlight w:val="none"/>
        </w:rPr>
      </w:pPr>
      <w:r>
        <w:rPr>
          <w:rFonts w:hint="eastAsia" w:ascii="宋体" w:hAnsi="宋体" w:eastAsia="宋体" w:cs="宋体"/>
          <w:color w:val="auto"/>
          <w:kern w:val="0"/>
          <w:sz w:val="24"/>
          <w:highlight w:val="none"/>
        </w:rPr>
        <w:t>注：</w:t>
      </w:r>
      <w:r>
        <w:rPr>
          <w:rFonts w:hint="eastAsia" w:ascii="宋体" w:hAnsi="宋体" w:eastAsia="宋体" w:cs="宋体"/>
          <w:color w:val="000000"/>
          <w:kern w:val="0"/>
          <w:sz w:val="24"/>
          <w:szCs w:val="24"/>
          <w:highlight w:val="none"/>
          <w:lang w:val="en-US" w:eastAsia="zh-CN" w:bidi="ar"/>
        </w:rPr>
        <w:t xml:space="preserve">1.此表中，每包的最后报价应和《最后分项报价表》中的总价相一致。 </w:t>
      </w:r>
    </w:p>
    <w:p w14:paraId="20B0A9C8">
      <w:pPr>
        <w:keepNext w:val="0"/>
        <w:keepLines w:val="0"/>
        <w:widowControl/>
        <w:suppressLineNumbers w:val="0"/>
        <w:ind w:firstLine="480" w:firstLineChars="200"/>
        <w:jc w:val="left"/>
        <w:rPr>
          <w:rFonts w:hint="eastAsia" w:ascii="宋体" w:hAnsi="宋体" w:eastAsia="宋体" w:cs="宋体"/>
          <w:highlight w:val="none"/>
        </w:rPr>
      </w:pPr>
      <w:r>
        <w:rPr>
          <w:rFonts w:hint="eastAsia" w:ascii="宋体" w:hAnsi="宋体" w:eastAsia="宋体" w:cs="宋体"/>
          <w:color w:val="000000"/>
          <w:kern w:val="0"/>
          <w:sz w:val="24"/>
          <w:szCs w:val="24"/>
          <w:highlight w:val="none"/>
          <w:lang w:val="en-US" w:eastAsia="zh-CN" w:bidi="ar"/>
        </w:rPr>
        <w:t xml:space="preserve">2.本表必须按包分别填写。 </w:t>
      </w:r>
    </w:p>
    <w:p w14:paraId="7BEF6283">
      <w:pPr>
        <w:keepNext w:val="0"/>
        <w:keepLines w:val="0"/>
        <w:widowControl/>
        <w:suppressLineNumbers w:val="0"/>
        <w:ind w:firstLine="480" w:firstLineChars="200"/>
        <w:jc w:val="left"/>
        <w:rPr>
          <w:highlight w:val="none"/>
        </w:rPr>
      </w:pPr>
      <w:r>
        <w:rPr>
          <w:rFonts w:hint="eastAsia" w:ascii="宋体" w:hAnsi="宋体" w:eastAsia="宋体" w:cs="宋体"/>
          <w:color w:val="000000"/>
          <w:kern w:val="0"/>
          <w:sz w:val="24"/>
          <w:szCs w:val="24"/>
          <w:highlight w:val="none"/>
          <w:lang w:val="en-US" w:eastAsia="zh-CN" w:bidi="ar"/>
        </w:rPr>
        <w:t>3.此表无需在响应文件中提交，磋商后供应商按磋商小组要求提交。</w:t>
      </w:r>
    </w:p>
    <w:p w14:paraId="75A5890A">
      <w:pPr>
        <w:tabs>
          <w:tab w:val="left" w:pos="5580"/>
        </w:tabs>
        <w:ind w:firstLine="480" w:firstLineChars="200"/>
        <w:rPr>
          <w:rFonts w:hint="eastAsia" w:ascii="宋体" w:hAnsi="宋体" w:eastAsia="宋体" w:cs="宋体"/>
          <w:color w:val="auto"/>
          <w:sz w:val="24"/>
          <w:szCs w:val="20"/>
          <w:highlight w:val="none"/>
        </w:rPr>
      </w:pPr>
    </w:p>
    <w:p w14:paraId="5DE562D4">
      <w:pPr>
        <w:autoSpaceDE w:val="0"/>
        <w:autoSpaceDN w:val="0"/>
        <w:adjustRightInd w:val="0"/>
        <w:snapToGrid w:val="0"/>
        <w:spacing w:before="25" w:after="25" w:line="360" w:lineRule="auto"/>
        <w:rPr>
          <w:rFonts w:hint="eastAsia" w:ascii="宋体" w:hAnsi="宋体" w:eastAsia="宋体" w:cs="宋体"/>
          <w:color w:val="auto"/>
          <w:sz w:val="24"/>
          <w:highlight w:val="none"/>
          <w:lang w:val="zh-CN"/>
        </w:rPr>
      </w:pPr>
    </w:p>
    <w:p w14:paraId="7D438D13">
      <w:pPr>
        <w:autoSpaceDE w:val="0"/>
        <w:autoSpaceDN w:val="0"/>
        <w:adjustRightInd w:val="0"/>
        <w:snapToGrid w:val="0"/>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w:t>
      </w:r>
    </w:p>
    <w:p w14:paraId="0EE96DEB">
      <w:pPr>
        <w:autoSpaceDE w:val="0"/>
        <w:autoSpaceDN w:val="0"/>
        <w:adjustRightInd w:val="0"/>
        <w:snapToGrid w:val="0"/>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供应商授权代表签字（或加盖供应商公章）</w:t>
      </w:r>
      <w:r>
        <w:rPr>
          <w:rFonts w:hint="eastAsia" w:ascii="宋体" w:hAnsi="宋体" w:eastAsia="宋体" w:cs="宋体"/>
          <w:color w:val="auto"/>
          <w:sz w:val="24"/>
          <w:highlight w:val="none"/>
          <w:lang w:val="zh-CN"/>
        </w:rPr>
        <w:t xml:space="preserve">：___________ </w:t>
      </w:r>
    </w:p>
    <w:p w14:paraId="796BF4CB">
      <w:pPr>
        <w:widowControl/>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日期：____年____月____日   </w:t>
      </w:r>
    </w:p>
    <w:p w14:paraId="0AECFD4F">
      <w:pPr>
        <w:widowControl/>
        <w:jc w:val="left"/>
        <w:rPr>
          <w:rFonts w:hint="eastAsia" w:ascii="宋体" w:hAnsi="宋体" w:eastAsia="宋体" w:cs="宋体"/>
          <w:color w:val="auto"/>
          <w:sz w:val="24"/>
          <w:highlight w:val="none"/>
        </w:rPr>
      </w:pPr>
    </w:p>
    <w:p w14:paraId="0B2DE3B2">
      <w:pPr>
        <w:tabs>
          <w:tab w:val="left" w:pos="360"/>
        </w:tabs>
        <w:snapToGrid w:val="0"/>
        <w:spacing w:line="360" w:lineRule="auto"/>
        <w:outlineLvl w:val="1"/>
        <w:rPr>
          <w:rFonts w:hint="eastAsia" w:ascii="宋体" w:hAnsi="宋体" w:eastAsia="宋体" w:cs="宋体"/>
          <w:color w:val="auto"/>
          <w:sz w:val="24"/>
          <w:highlight w:val="none"/>
        </w:rPr>
      </w:pPr>
      <w:r>
        <w:rPr>
          <w:rFonts w:hint="eastAsia" w:ascii="宋体" w:hAnsi="宋体" w:eastAsia="宋体" w:cs="宋体"/>
          <w:color w:val="auto"/>
          <w:highlight w:val="none"/>
        </w:rPr>
        <w:br w:type="page"/>
      </w:r>
      <w:r>
        <w:rPr>
          <w:rFonts w:hint="eastAsia" w:ascii="宋体" w:hAnsi="宋体" w:eastAsia="宋体" w:cs="宋体"/>
          <w:color w:val="auto"/>
          <w:sz w:val="24"/>
          <w:highlight w:val="none"/>
        </w:rPr>
        <w:t>14  最后分项报价表</w:t>
      </w:r>
    </w:p>
    <w:p w14:paraId="4B701739">
      <w:pPr>
        <w:spacing w:line="360" w:lineRule="exact"/>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最后分项报价表</w:t>
      </w:r>
    </w:p>
    <w:p w14:paraId="14BE3FD0">
      <w:pPr>
        <w:spacing w:line="260" w:lineRule="exact"/>
        <w:jc w:val="center"/>
        <w:rPr>
          <w:rFonts w:hint="eastAsia" w:ascii="宋体" w:hAnsi="宋体" w:eastAsia="宋体" w:cs="宋体"/>
          <w:color w:val="auto"/>
          <w:sz w:val="36"/>
          <w:szCs w:val="36"/>
          <w:highlight w:val="none"/>
        </w:rPr>
      </w:pPr>
    </w:p>
    <w:p w14:paraId="28FE9A39">
      <w:pPr>
        <w:tabs>
          <w:tab w:val="left" w:pos="1800"/>
          <w:tab w:val="left" w:pos="5580"/>
        </w:tabs>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已标价工程量清单</w:t>
      </w:r>
    </w:p>
    <w:p w14:paraId="60210E0E">
      <w:pPr>
        <w:tabs>
          <w:tab w:val="left" w:pos="1800"/>
          <w:tab w:val="left" w:pos="5580"/>
        </w:tabs>
        <w:jc w:val="left"/>
        <w:rPr>
          <w:rFonts w:hint="eastAsia" w:ascii="宋体" w:hAnsi="宋体" w:eastAsia="宋体" w:cs="宋体"/>
          <w:color w:val="auto"/>
          <w:sz w:val="24"/>
          <w:highlight w:val="none"/>
        </w:rPr>
      </w:pPr>
    </w:p>
    <w:p w14:paraId="3FFBD813">
      <w:pPr>
        <w:tabs>
          <w:tab w:val="left" w:pos="1800"/>
          <w:tab w:val="left" w:pos="5580"/>
        </w:tabs>
        <w:jc w:val="left"/>
        <w:rPr>
          <w:rFonts w:hint="eastAsia" w:ascii="宋体" w:hAnsi="宋体" w:eastAsia="宋体" w:cs="宋体"/>
          <w:color w:val="auto"/>
          <w:sz w:val="24"/>
          <w:highlight w:val="none"/>
        </w:rPr>
      </w:pPr>
    </w:p>
    <w:p w14:paraId="2CA2A6ED">
      <w:pPr>
        <w:tabs>
          <w:tab w:val="left" w:pos="1800"/>
          <w:tab w:val="left" w:pos="5580"/>
        </w:tabs>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如最后报价与第一次报价不一致，供应商须提供符合竞争性磋商文件要求的最后报价的分项报价表（已标价工程量清单）。</w:t>
      </w:r>
    </w:p>
    <w:p w14:paraId="5F390974">
      <w:pPr>
        <w:autoSpaceDE w:val="0"/>
        <w:autoSpaceDN w:val="0"/>
        <w:adjustRightInd w:val="0"/>
        <w:snapToGrid w:val="0"/>
        <w:spacing w:before="25" w:after="25" w:line="360" w:lineRule="auto"/>
        <w:rPr>
          <w:rFonts w:hint="eastAsia" w:ascii="宋体" w:hAnsi="宋体" w:eastAsia="宋体" w:cs="宋体"/>
          <w:color w:val="auto"/>
          <w:sz w:val="24"/>
          <w:highlight w:val="none"/>
          <w:lang w:val="zh-CN"/>
        </w:rPr>
      </w:pPr>
    </w:p>
    <w:p w14:paraId="29C9B14F">
      <w:pPr>
        <w:autoSpaceDE w:val="0"/>
        <w:autoSpaceDN w:val="0"/>
        <w:adjustRightInd w:val="0"/>
        <w:snapToGrid w:val="0"/>
        <w:spacing w:before="25" w:after="25" w:line="360" w:lineRule="auto"/>
        <w:rPr>
          <w:rFonts w:hint="eastAsia" w:ascii="宋体" w:hAnsi="宋体" w:eastAsia="宋体" w:cs="宋体"/>
          <w:color w:val="auto"/>
          <w:sz w:val="24"/>
          <w:highlight w:val="none"/>
          <w:lang w:val="zh-CN"/>
        </w:rPr>
      </w:pPr>
    </w:p>
    <w:p w14:paraId="2EE13BB0">
      <w:pPr>
        <w:autoSpaceDE w:val="0"/>
        <w:autoSpaceDN w:val="0"/>
        <w:adjustRightInd w:val="0"/>
        <w:snapToGrid w:val="0"/>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kern w:val="0"/>
          <w:sz w:val="24"/>
          <w:highlight w:val="none"/>
        </w:rPr>
        <w:t>供应商授权代表签字（或加盖供应商公章）</w:t>
      </w:r>
      <w:r>
        <w:rPr>
          <w:rFonts w:hint="eastAsia" w:ascii="宋体" w:hAnsi="宋体" w:eastAsia="宋体" w:cs="宋体"/>
          <w:color w:val="auto"/>
          <w:sz w:val="24"/>
          <w:highlight w:val="none"/>
          <w:lang w:val="zh-CN"/>
        </w:rPr>
        <w:t xml:space="preserve">：____________ </w:t>
      </w:r>
    </w:p>
    <w:p w14:paraId="75379AC9">
      <w:pPr>
        <w:autoSpaceDE w:val="0"/>
        <w:autoSpaceDN w:val="0"/>
        <w:adjustRightInd w:val="0"/>
        <w:snapToGrid w:val="0"/>
        <w:spacing w:before="25" w:after="25"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日期：____年____月____日   </w:t>
      </w:r>
    </w:p>
    <w:p w14:paraId="739B7AF2">
      <w:pPr>
        <w:autoSpaceDE w:val="0"/>
        <w:autoSpaceDN w:val="0"/>
        <w:adjustRightInd w:val="0"/>
        <w:snapToGrid w:val="0"/>
        <w:spacing w:before="25" w:after="25"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br w:type="page"/>
      </w:r>
      <w:r>
        <w:rPr>
          <w:rFonts w:hint="eastAsia" w:ascii="宋体" w:hAnsi="宋体" w:eastAsia="宋体" w:cs="宋体"/>
          <w:color w:val="auto"/>
          <w:sz w:val="24"/>
          <w:szCs w:val="20"/>
          <w:highlight w:val="none"/>
        </w:rPr>
        <w:t>附：工程量清单</w:t>
      </w:r>
    </w:p>
    <w:p w14:paraId="0092951D">
      <w:pPr>
        <w:pStyle w:val="7"/>
        <w:rPr>
          <w:rFonts w:hint="eastAsia" w:ascii="宋体" w:hAnsi="宋体" w:eastAsia="宋体" w:cs="宋体"/>
          <w:color w:val="auto"/>
          <w:highlight w:val="none"/>
        </w:rPr>
      </w:pPr>
    </w:p>
    <w:p w14:paraId="299C0E18">
      <w:pPr>
        <w:pStyle w:val="7"/>
        <w:rPr>
          <w:rFonts w:hint="eastAsia" w:ascii="宋体" w:hAnsi="宋体" w:eastAsia="宋体" w:cs="宋体"/>
          <w:b/>
          <w:color w:val="auto"/>
          <w:sz w:val="36"/>
          <w:szCs w:val="36"/>
          <w:highlight w:val="none"/>
        </w:rPr>
      </w:pPr>
    </w:p>
    <w:p w14:paraId="07829B45">
      <w:pPr>
        <w:rPr>
          <w:highlight w:val="none"/>
        </w:rPr>
      </w:pPr>
    </w:p>
    <w:sectPr>
      <w:headerReference r:id="rId18" w:type="first"/>
      <w:footerReference r:id="rId20" w:type="first"/>
      <w:headerReference r:id="rId17" w:type="even"/>
      <w:footerReference r:id="rId19" w:type="even"/>
      <w:pgSz w:w="11907" w:h="16840"/>
      <w:pgMar w:top="1418" w:right="1134" w:bottom="1418" w:left="1701"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Calibri Light">
    <w:panose1 w:val="020F0302020204030204"/>
    <w:charset w:val="00"/>
    <w:family w:val="auto"/>
    <w:pitch w:val="default"/>
    <w:sig w:usb0="E4002EFF" w:usb1="C200247B" w:usb2="00000009" w:usb3="00000000" w:csb0="200001FF" w:csb1="00000000"/>
  </w:font>
  <w:font w:name="Wingdings 2">
    <w:panose1 w:val="05020102010507070707"/>
    <w:charset w:val="02"/>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3C86DC">
    <w:pPr>
      <w:pStyle w:val="11"/>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926ECB">
    <w:pPr>
      <w:pStyle w:val="11"/>
      <w:framePr w:wrap="around" w:vAnchor="text" w:hAnchor="margin" w:xAlign="center" w:y="1"/>
      <w:rPr>
        <w:rStyle w:val="21"/>
      </w:rPr>
    </w:pPr>
    <w:r>
      <w:fldChar w:fldCharType="begin"/>
    </w:r>
    <w:r>
      <w:rPr>
        <w:rStyle w:val="21"/>
      </w:rPr>
      <w:instrText xml:space="preserve">PAGE  </w:instrText>
    </w:r>
    <w:r>
      <w:fldChar w:fldCharType="end"/>
    </w:r>
  </w:p>
  <w:p w14:paraId="6343A2D5">
    <w:pPr>
      <w:pStyle w:val="11"/>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874181">
    <w:pPr>
      <w:pStyle w:val="1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221AEF">
    <w:pPr>
      <w:pStyle w:val="11"/>
      <w:rPr>
        <w:rFonts w:ascii="Times New Roma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09FB0F">
                          <w:pPr>
                            <w:pStyle w:val="1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7009FB0F">
                    <w:pPr>
                      <w:pStyle w:val="11"/>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A42FFE">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15B9C2">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4B15B9C2">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FC6507">
    <w:pPr>
      <w:pStyle w:val="11"/>
      <w:jc w:val="center"/>
    </w:pPr>
    <w:r>
      <w:fldChar w:fldCharType="begin"/>
    </w:r>
    <w:r>
      <w:instrText xml:space="preserve"> PAGE   \* MERGEFORMAT </w:instrText>
    </w:r>
    <w:r>
      <w:fldChar w:fldCharType="separate"/>
    </w:r>
    <w:r>
      <w:rPr>
        <w:lang w:val="zh-CN"/>
      </w:rPr>
      <w:t>76</w:t>
    </w:r>
    <w:r>
      <w:rPr>
        <w:lang w:val="zh-CN"/>
      </w:rPr>
      <w:fldChar w:fldCharType="end"/>
    </w:r>
  </w:p>
  <w:p w14:paraId="364EB017">
    <w:pPr>
      <w:pStyle w:val="11"/>
      <w:tabs>
        <w:tab w:val="left" w:pos="4668"/>
        <w:tab w:val="clear" w:pos="4153"/>
        <w:tab w:val="clear" w:pos="8306"/>
      </w:tabs>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0852F2">
    <w:pPr>
      <w:spacing w:line="169" w:lineRule="exact"/>
      <w:rPr>
        <w:rFonts w:ascii="宋体" w:hAnsi="宋体" w:eastAsia="宋体" w:cs="宋体"/>
        <w:sz w:val="24"/>
        <w:szCs w:val="24"/>
      </w:rPr>
    </w:pPr>
    <w:r>
      <w:rPr>
        <w:sz w:val="2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9F24BC">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4A9F24BC">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A0DCD7">
    <w:pPr>
      <w:pStyle w:val="11"/>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2AFC7E">
                          <w:pPr>
                            <w:pStyle w:val="11"/>
                          </w:pPr>
                          <w:r>
                            <w:fldChar w:fldCharType="begin"/>
                          </w:r>
                          <w:r>
                            <w:instrText xml:space="preserve"> PAGE  \* MERGEFORMAT </w:instrText>
                          </w:r>
                          <w:r>
                            <w:fldChar w:fldCharType="separate"/>
                          </w:r>
                          <w:r>
                            <w:t>133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382AFC7E">
                    <w:pPr>
                      <w:pStyle w:val="11"/>
                    </w:pPr>
                    <w:r>
                      <w:fldChar w:fldCharType="begin"/>
                    </w:r>
                    <w:r>
                      <w:instrText xml:space="preserve"> PAGE  \* MERGEFORMAT </w:instrText>
                    </w:r>
                    <w:r>
                      <w:fldChar w:fldCharType="separate"/>
                    </w:r>
                    <w:r>
                      <w:t>133</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B720D7">
    <w:pPr>
      <w:pStyle w:val="11"/>
      <w:framePr w:wrap="around" w:vAnchor="text" w:hAnchor="margin" w:xAlign="right" w:y="1"/>
      <w:rPr>
        <w:rStyle w:val="21"/>
      </w:rPr>
    </w:pPr>
    <w:r>
      <w:rPr>
        <w:rStyle w:val="21"/>
      </w:rPr>
      <w:fldChar w:fldCharType="begin"/>
    </w:r>
    <w:r>
      <w:rPr>
        <w:rStyle w:val="21"/>
      </w:rPr>
      <w:instrText xml:space="preserve">PAGE  </w:instrText>
    </w:r>
    <w:r>
      <w:rPr>
        <w:rStyle w:val="21"/>
      </w:rPr>
      <w:fldChar w:fldCharType="end"/>
    </w:r>
  </w:p>
  <w:p w14:paraId="5580EF22">
    <w:pPr>
      <w:pStyle w:val="11"/>
      <w:ind w:right="360"/>
    </w:pPr>
  </w:p>
  <w:p w14:paraId="4FF9561B"/>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421499">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776766">
    <w:pPr>
      <w:pStyle w:val="12"/>
      <w:jc w:val="right"/>
    </w:pPr>
    <w:r>
      <w:rPr>
        <w:rFonts w:hint="eastAsia"/>
      </w:rPr>
      <w:t>北京永拓工程咨询股份有限公司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C78886">
    <w:pPr>
      <w:pStyle w:val="12"/>
      <w:pBdr>
        <w:bottom w:val="single" w:color="auto" w:sz="4" w:space="1"/>
      </w:pBdr>
      <w:jc w:val="right"/>
    </w:pPr>
    <w:r>
      <w:rPr>
        <w:rFonts w:hint="eastAsia"/>
      </w:rPr>
      <w:t>北京永拓工程咨询股份有限公司</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CE3D44">
    <w:pPr>
      <w:pStyle w:val="12"/>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0C3F61">
    <w:pPr>
      <w:pStyle w:val="12"/>
      <w:pBdr>
        <w:bottom w:val="thinThickSmallGap" w:color="auto" w:sz="12" w:space="1"/>
      </w:pBdr>
      <w:jc w:val="left"/>
    </w:pPr>
    <w:r>
      <w:t>.</w:t>
    </w:r>
    <w:r>
      <w:fldChar w:fldCharType="begin"/>
    </w:r>
    <w:r>
      <w:instrText xml:space="preserve">PAGE   \* MERGEFORMAT</w:instrText>
    </w:r>
    <w:r>
      <w:fldChar w:fldCharType="separate"/>
    </w:r>
    <w:r>
      <w:rPr>
        <w:bCs/>
      </w:rPr>
      <w:t>90</w:t>
    </w:r>
    <w:r>
      <w:rPr>
        <w:bCs/>
      </w:rPr>
      <w:fldChar w:fldCharType="end"/>
    </w:r>
    <w:r>
      <w:t>.</w:t>
    </w:r>
    <w:r>
      <w:rPr>
        <w:b/>
      </w:rPr>
      <w:t xml:space="preserve"> </w:t>
    </w:r>
    <w:r>
      <w:rPr>
        <w:rFonts w:hint="eastAsia"/>
      </w:rPr>
      <w:t>北京市房屋建筑和市政工程施工招标文件标准文本（</w:t>
    </w:r>
    <w:r>
      <w:t>2017</w:t>
    </w:r>
    <w:r>
      <w:rPr>
        <w:rFonts w:hint="eastAsia"/>
      </w:rPr>
      <w:t>版）</w:t>
    </w:r>
    <w:r>
      <w:t xml:space="preserve"> </w:t>
    </w:r>
    <w:r>
      <w:rPr>
        <w:rFonts w:hint="eastAsia"/>
      </w:rPr>
      <w:t>专用部分</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8AE2A2">
    <w:pPr>
      <w:pStyle w:val="12"/>
      <w:pBdr>
        <w:bottom w:val="none" w:color="auto" w:sz="0" w:space="1"/>
      </w:pBdr>
      <w:jc w:val="both"/>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4C41BD">
    <w:pPr>
      <w:pStyle w:val="7"/>
      <w:spacing w:line="14" w:lineRule="auto"/>
      <w:rPr>
        <w:sz w:val="20"/>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ABA16C">
    <w:pPr>
      <w:pStyle w:val="12"/>
    </w:pPr>
  </w:p>
  <w:p w14:paraId="0D1B50B7"/>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79F253">
    <w:pPr>
      <w:pStyle w:val="1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B09EE8"/>
    <w:multiLevelType w:val="singleLevel"/>
    <w:tmpl w:val="A8B09EE8"/>
    <w:lvl w:ilvl="0" w:tentative="0">
      <w:start w:val="2"/>
      <w:numFmt w:val="decimal"/>
      <w:lvlText w:val="%1."/>
      <w:lvlJc w:val="left"/>
      <w:pPr>
        <w:tabs>
          <w:tab w:val="left" w:pos="312"/>
        </w:tabs>
      </w:pPr>
    </w:lvl>
  </w:abstractNum>
  <w:abstractNum w:abstractNumId="1">
    <w:nsid w:val="AF6073C4"/>
    <w:multiLevelType w:val="singleLevel"/>
    <w:tmpl w:val="AF6073C4"/>
    <w:lvl w:ilvl="0" w:tentative="0">
      <w:start w:val="1"/>
      <w:numFmt w:val="decimal"/>
      <w:suff w:val="space"/>
      <w:lvlText w:val="%1."/>
      <w:lvlJc w:val="left"/>
    </w:lvl>
  </w:abstractNum>
  <w:abstractNum w:abstractNumId="2">
    <w:nsid w:val="FF5465F5"/>
    <w:multiLevelType w:val="singleLevel"/>
    <w:tmpl w:val="FF5465F5"/>
    <w:lvl w:ilvl="0" w:tentative="0">
      <w:start w:val="6"/>
      <w:numFmt w:val="chineseCounting"/>
      <w:suff w:val="nothing"/>
      <w:lvlText w:val="%1、"/>
      <w:lvlJc w:val="left"/>
      <w:rPr>
        <w:rFonts w:hint="eastAsia"/>
      </w:rPr>
    </w:lvl>
  </w:abstractNum>
  <w:abstractNum w:abstractNumId="3">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4">
    <w:nsid w:val="0000000C"/>
    <w:multiLevelType w:val="multilevel"/>
    <w:tmpl w:val="0000000C"/>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6">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13851098"/>
    <w:multiLevelType w:val="multilevel"/>
    <w:tmpl w:val="13851098"/>
    <w:lvl w:ilvl="0" w:tentative="0">
      <w:start w:val="1"/>
      <w:numFmt w:val="japaneseCounting"/>
      <w:lvlText w:val="%1、"/>
      <w:lvlJc w:val="left"/>
      <w:pPr>
        <w:ind w:left="500" w:hanging="5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9">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0">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1">
    <w:nsid w:val="4DCF929B"/>
    <w:multiLevelType w:val="singleLevel"/>
    <w:tmpl w:val="4DCF929B"/>
    <w:lvl w:ilvl="0" w:tentative="0">
      <w:start w:val="1"/>
      <w:numFmt w:val="decimal"/>
      <w:suff w:val="nothing"/>
      <w:lvlText w:val="（%1）"/>
      <w:lvlJc w:val="left"/>
    </w:lvl>
  </w:abstractNum>
  <w:abstractNum w:abstractNumId="12">
    <w:nsid w:val="67553E74"/>
    <w:multiLevelType w:val="singleLevel"/>
    <w:tmpl w:val="67553E74"/>
    <w:lvl w:ilvl="0" w:tentative="0">
      <w:start w:val="2"/>
      <w:numFmt w:val="decimal"/>
      <w:suff w:val="nothing"/>
      <w:lvlText w:val="（%1）"/>
      <w:lvlJc w:val="left"/>
    </w:lvl>
  </w:abstractNum>
  <w:num w:numId="1">
    <w:abstractNumId w:val="0"/>
  </w:num>
  <w:num w:numId="2">
    <w:abstractNumId w:val="2"/>
  </w:num>
  <w:num w:numId="3">
    <w:abstractNumId w:val="5"/>
  </w:num>
  <w:num w:numId="4">
    <w:abstractNumId w:val="8"/>
  </w:num>
  <w:num w:numId="5">
    <w:abstractNumId w:val="3"/>
  </w:num>
  <w:num w:numId="6">
    <w:abstractNumId w:val="6"/>
  </w:num>
  <w:num w:numId="7">
    <w:abstractNumId w:val="11"/>
  </w:num>
  <w:num w:numId="8">
    <w:abstractNumId w:val="7"/>
  </w:num>
  <w:num w:numId="9">
    <w:abstractNumId w:val="1"/>
  </w:num>
  <w:num w:numId="10">
    <w:abstractNumId w:val="4"/>
  </w:num>
  <w:num w:numId="11">
    <w:abstractNumId w:val="12"/>
  </w:num>
  <w:num w:numId="12">
    <w:abstractNumId w:val="9"/>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hjNGNkYWM0Zjk3ZjU1MzUzODAwMmFkMDZjZTM2ZWIifQ=="/>
  </w:docVars>
  <w:rsids>
    <w:rsidRoot w:val="00000000"/>
    <w:rsid w:val="00EC303F"/>
    <w:rsid w:val="03D74514"/>
    <w:rsid w:val="06693D01"/>
    <w:rsid w:val="06E67100"/>
    <w:rsid w:val="08343604"/>
    <w:rsid w:val="0C3B14D7"/>
    <w:rsid w:val="0DAF6CC4"/>
    <w:rsid w:val="0F714338"/>
    <w:rsid w:val="1B262812"/>
    <w:rsid w:val="1EEC12B8"/>
    <w:rsid w:val="23D83E1C"/>
    <w:rsid w:val="2AA765AA"/>
    <w:rsid w:val="2AF849C9"/>
    <w:rsid w:val="2B312790"/>
    <w:rsid w:val="2CD0351E"/>
    <w:rsid w:val="2CDA3913"/>
    <w:rsid w:val="300D091F"/>
    <w:rsid w:val="350B22A4"/>
    <w:rsid w:val="3B4450DB"/>
    <w:rsid w:val="3B4E66F1"/>
    <w:rsid w:val="3D9E22D3"/>
    <w:rsid w:val="42AA2F94"/>
    <w:rsid w:val="433061A1"/>
    <w:rsid w:val="4E8A38EA"/>
    <w:rsid w:val="52E616F7"/>
    <w:rsid w:val="552D4355"/>
    <w:rsid w:val="56AD71C5"/>
    <w:rsid w:val="57AF5C44"/>
    <w:rsid w:val="58A06022"/>
    <w:rsid w:val="59501F4F"/>
    <w:rsid w:val="59783429"/>
    <w:rsid w:val="59BB2DBA"/>
    <w:rsid w:val="59C54ED5"/>
    <w:rsid w:val="5CF54FA2"/>
    <w:rsid w:val="5EAA43CA"/>
    <w:rsid w:val="5FCB63EC"/>
    <w:rsid w:val="60F23160"/>
    <w:rsid w:val="65243487"/>
    <w:rsid w:val="664B7EA3"/>
    <w:rsid w:val="6B7F629E"/>
    <w:rsid w:val="6C8C7350"/>
    <w:rsid w:val="720B17D7"/>
    <w:rsid w:val="74FD0B05"/>
    <w:rsid w:val="75754E14"/>
    <w:rsid w:val="789363CB"/>
    <w:rsid w:val="7AA94511"/>
    <w:rsid w:val="7AB85850"/>
    <w:rsid w:val="7B1228E5"/>
    <w:rsid w:val="7C254F6F"/>
    <w:rsid w:val="7CFE3F4A"/>
    <w:rsid w:val="7E353E1A"/>
    <w:rsid w:val="7ECA7D9A"/>
    <w:rsid w:val="7EEE5815"/>
    <w:rsid w:val="7FE479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1"/>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character" w:default="1" w:styleId="20">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styleId="5">
    <w:name w:val="Normal Indent"/>
    <w:basedOn w:val="1"/>
    <w:qFormat/>
    <w:uiPriority w:val="0"/>
    <w:pPr>
      <w:autoSpaceDE w:val="0"/>
      <w:autoSpaceDN w:val="0"/>
      <w:adjustRightInd w:val="0"/>
      <w:ind w:firstLine="420"/>
      <w:jc w:val="left"/>
    </w:pPr>
    <w:rPr>
      <w:rFonts w:ascii="宋体"/>
      <w:sz w:val="24"/>
    </w:rPr>
  </w:style>
  <w:style w:type="paragraph" w:styleId="6">
    <w:name w:val="annotation text"/>
    <w:basedOn w:val="1"/>
    <w:qFormat/>
    <w:uiPriority w:val="0"/>
    <w:pPr>
      <w:jc w:val="left"/>
    </w:pPr>
  </w:style>
  <w:style w:type="paragraph" w:styleId="7">
    <w:name w:val="Body Text"/>
    <w:basedOn w:val="1"/>
    <w:qFormat/>
    <w:uiPriority w:val="0"/>
    <w:pPr>
      <w:tabs>
        <w:tab w:val="left" w:pos="567"/>
      </w:tabs>
      <w:spacing w:before="120" w:line="22" w:lineRule="atLeast"/>
    </w:pPr>
    <w:rPr>
      <w:rFonts w:ascii="宋体" w:hAnsi="宋体"/>
      <w:sz w:val="24"/>
    </w:rPr>
  </w:style>
  <w:style w:type="paragraph" w:styleId="8">
    <w:name w:val="Body Text Indent"/>
    <w:basedOn w:val="1"/>
    <w:unhideWhenUsed/>
    <w:qFormat/>
    <w:uiPriority w:val="99"/>
    <w:pPr>
      <w:spacing w:after="120"/>
      <w:ind w:left="420" w:leftChars="200"/>
    </w:pPr>
  </w:style>
  <w:style w:type="paragraph" w:styleId="9">
    <w:name w:val="Plain Text"/>
    <w:basedOn w:val="1"/>
    <w:qFormat/>
    <w:uiPriority w:val="0"/>
    <w:rPr>
      <w:rFonts w:hint="eastAsia" w:ascii="宋体" w:hAnsi="Courier New"/>
      <w:szCs w:val="20"/>
    </w:rPr>
  </w:style>
  <w:style w:type="paragraph" w:styleId="10">
    <w:name w:val="Body Text Indent 2"/>
    <w:basedOn w:val="1"/>
    <w:qFormat/>
    <w:uiPriority w:val="0"/>
    <w:pPr>
      <w:ind w:firstLine="480" w:firstLineChars="200"/>
    </w:pPr>
    <w:rPr>
      <w:rFonts w:ascii="仿宋_GB2312" w:eastAsia="仿宋_GB2312"/>
      <w:sz w:val="24"/>
    </w:rPr>
  </w:style>
  <w:style w:type="paragraph" w:styleId="11">
    <w:name w:val="footer"/>
    <w:basedOn w:val="1"/>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12">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39"/>
    <w:pPr>
      <w:tabs>
        <w:tab w:val="left" w:pos="1050"/>
        <w:tab w:val="right" w:leader="dot" w:pos="8937"/>
      </w:tabs>
      <w:spacing w:line="300" w:lineRule="auto"/>
    </w:pPr>
    <w:rPr>
      <w:rFonts w:ascii="宋体" w:hAnsi="宋体"/>
      <w:b/>
      <w:sz w:val="24"/>
    </w:rPr>
  </w:style>
  <w:style w:type="paragraph" w:styleId="14">
    <w:name w:val="toc 2"/>
    <w:basedOn w:val="1"/>
    <w:next w:val="1"/>
    <w:qFormat/>
    <w:uiPriority w:val="39"/>
    <w:pPr>
      <w:tabs>
        <w:tab w:val="right" w:leader="dot" w:pos="8937"/>
      </w:tabs>
      <w:spacing w:line="312" w:lineRule="auto"/>
      <w:ind w:left="420" w:leftChars="200"/>
    </w:pPr>
  </w:style>
  <w:style w:type="paragraph" w:styleId="15">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16">
    <w:name w:val="index 1"/>
    <w:basedOn w:val="1"/>
    <w:next w:val="1"/>
    <w:qFormat/>
    <w:uiPriority w:val="0"/>
    <w:rPr>
      <w:szCs w:val="20"/>
    </w:rPr>
  </w:style>
  <w:style w:type="paragraph" w:styleId="17">
    <w:name w:val="Body Text First Indent 2"/>
    <w:basedOn w:val="8"/>
    <w:unhideWhenUsed/>
    <w:qFormat/>
    <w:uiPriority w:val="99"/>
    <w:pPr>
      <w:ind w:firstLine="420" w:firstLineChars="200"/>
    </w:pPr>
  </w:style>
  <w:style w:type="table" w:styleId="19">
    <w:name w:val="Table Grid"/>
    <w:basedOn w:val="1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1">
    <w:name w:val="page number"/>
    <w:qFormat/>
    <w:uiPriority w:val="0"/>
  </w:style>
  <w:style w:type="character" w:styleId="22">
    <w:name w:val="FollowedHyperlink"/>
    <w:basedOn w:val="20"/>
    <w:qFormat/>
    <w:uiPriority w:val="0"/>
    <w:rPr>
      <w:color w:val="800080"/>
      <w:u w:val="none"/>
    </w:rPr>
  </w:style>
  <w:style w:type="character" w:styleId="23">
    <w:name w:val="Emphasis"/>
    <w:basedOn w:val="20"/>
    <w:qFormat/>
    <w:uiPriority w:val="0"/>
  </w:style>
  <w:style w:type="character" w:styleId="24">
    <w:name w:val="HTML Definition"/>
    <w:basedOn w:val="20"/>
    <w:qFormat/>
    <w:uiPriority w:val="0"/>
  </w:style>
  <w:style w:type="character" w:styleId="25">
    <w:name w:val="HTML Acronym"/>
    <w:basedOn w:val="20"/>
    <w:qFormat/>
    <w:uiPriority w:val="0"/>
  </w:style>
  <w:style w:type="character" w:styleId="26">
    <w:name w:val="HTML Variable"/>
    <w:basedOn w:val="20"/>
    <w:qFormat/>
    <w:uiPriority w:val="0"/>
  </w:style>
  <w:style w:type="character" w:styleId="27">
    <w:name w:val="Hyperlink"/>
    <w:basedOn w:val="20"/>
    <w:qFormat/>
    <w:uiPriority w:val="99"/>
    <w:rPr>
      <w:color w:val="0000FF"/>
      <w:u w:val="none"/>
    </w:rPr>
  </w:style>
  <w:style w:type="character" w:styleId="28">
    <w:name w:val="HTML Code"/>
    <w:basedOn w:val="20"/>
    <w:qFormat/>
    <w:uiPriority w:val="0"/>
    <w:rPr>
      <w:rFonts w:ascii="Courier New" w:hAnsi="Courier New"/>
      <w:sz w:val="20"/>
    </w:rPr>
  </w:style>
  <w:style w:type="character" w:styleId="29">
    <w:name w:val="HTML Cite"/>
    <w:basedOn w:val="20"/>
    <w:qFormat/>
    <w:uiPriority w:val="0"/>
  </w:style>
  <w:style w:type="paragraph" w:customStyle="1" w:styleId="30">
    <w:name w:val="样式 小四"/>
    <w:qFormat/>
    <w:uiPriority w:val="0"/>
    <w:pPr>
      <w:widowControl w:val="0"/>
      <w:adjustRightInd w:val="0"/>
      <w:spacing w:line="360" w:lineRule="atLeast"/>
      <w:textAlignment w:val="baseline"/>
    </w:pPr>
    <w:rPr>
      <w:rFonts w:ascii="Calibri" w:hAnsi="Calibri" w:eastAsia="宋体" w:cs="Arial"/>
      <w:sz w:val="24"/>
      <w:szCs w:val="22"/>
      <w:lang w:val="en-US" w:eastAsia="zh-CN" w:bidi="ar-SA"/>
    </w:rPr>
  </w:style>
  <w:style w:type="paragraph" w:customStyle="1" w:styleId="31">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styleId="32">
    <w:name w:val="List Paragraph"/>
    <w:basedOn w:val="1"/>
    <w:qFormat/>
    <w:uiPriority w:val="34"/>
    <w:pPr>
      <w:ind w:firstLine="420" w:firstLineChars="200"/>
    </w:pPr>
    <w:rPr>
      <w:rFonts w:ascii="Calibri" w:hAnsi="Calibri"/>
      <w:szCs w:val="22"/>
    </w:rPr>
  </w:style>
  <w:style w:type="paragraph" w:customStyle="1" w:styleId="33">
    <w:name w:val="Table Text"/>
    <w:basedOn w:val="1"/>
    <w:semiHidden/>
    <w:qFormat/>
    <w:uiPriority w:val="0"/>
    <w:rPr>
      <w:rFonts w:ascii="宋体" w:hAnsi="宋体" w:eastAsia="宋体" w:cs="宋体"/>
      <w:sz w:val="24"/>
      <w:szCs w:val="24"/>
      <w:lang w:val="en-US" w:eastAsia="en-US" w:bidi="ar-SA"/>
    </w:rPr>
  </w:style>
  <w:style w:type="paragraph" w:customStyle="1" w:styleId="34">
    <w:name w:val="1"/>
    <w:qFormat/>
    <w:uiPriority w:val="0"/>
    <w:rPr>
      <w:rFonts w:ascii="Times New Roman" w:hAnsi="Times New Roman" w:eastAsia="宋体" w:cs="Times New Roman"/>
      <w:kern w:val="2"/>
      <w:sz w:val="21"/>
      <w:szCs w:val="24"/>
      <w:lang w:val="zh-CN" w:eastAsia="zh-CN" w:bidi="ar-SA"/>
    </w:rPr>
  </w:style>
  <w:style w:type="paragraph" w:customStyle="1" w:styleId="35">
    <w:name w:val="样式 标题 2 + Times New Roman 四号 非加粗 段前: 5 磅 段后: 0 磅 行距: 固定值 20..."/>
    <w:basedOn w:val="3"/>
    <w:qFormat/>
    <w:uiPriority w:val="0"/>
    <w:pPr>
      <w:spacing w:beforeLines="50" w:afterLines="50" w:line="360" w:lineRule="auto"/>
    </w:pPr>
    <w:rPr>
      <w:rFonts w:ascii="宋体" w:hAnsi="Times New Roman" w:eastAsia="宋体" w:cs="宋体"/>
      <w:b w:val="0"/>
      <w:sz w:val="28"/>
      <w:szCs w:val="20"/>
    </w:rPr>
  </w:style>
  <w:style w:type="paragraph" w:customStyle="1" w:styleId="36">
    <w:name w:val="样式 标题 3 + (中文) 黑体 小四 非加粗 段前: 7.8 磅 段后: 0 磅 行距: 固定值 20 磅"/>
    <w:basedOn w:val="4"/>
    <w:qFormat/>
    <w:uiPriority w:val="0"/>
    <w:pPr>
      <w:spacing w:beforeLines="50" w:afterLines="50" w:line="360" w:lineRule="auto"/>
    </w:pPr>
    <w:rPr>
      <w:rFonts w:ascii="宋体"/>
      <w:b w:val="0"/>
      <w:sz w:val="24"/>
      <w:szCs w:val="20"/>
    </w:rPr>
  </w:style>
  <w:style w:type="paragraph" w:customStyle="1" w:styleId="37">
    <w:name w:val="列出段落1"/>
    <w:basedOn w:val="1"/>
    <w:qFormat/>
    <w:uiPriority w:val="0"/>
    <w:pPr>
      <w:ind w:firstLine="420" w:firstLineChars="200"/>
    </w:pPr>
    <w:rPr>
      <w:rFonts w:ascii="Calibri" w:hAnsi="Calibri"/>
      <w:szCs w:val="22"/>
    </w:rPr>
  </w:style>
  <w:style w:type="paragraph" w:customStyle="1" w:styleId="38">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39">
    <w:name w:val="样式2"/>
    <w:basedOn w:val="16"/>
    <w:qFormat/>
    <w:uiPriority w:val="0"/>
    <w:pPr>
      <w:spacing w:line="360" w:lineRule="auto"/>
      <w:jc w:val="center"/>
    </w:pPr>
    <w:rPr>
      <w:sz w:val="24"/>
    </w:rPr>
  </w:style>
  <w:style w:type="paragraph" w:customStyle="1" w:styleId="40">
    <w:name w:val="TOC 标题1"/>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E54A1" w:themeColor="accent1" w:themeShade="BF"/>
      <w:kern w:val="0"/>
      <w:sz w:val="32"/>
      <w:szCs w:val="32"/>
    </w:rPr>
  </w:style>
  <w:style w:type="paragraph" w:customStyle="1" w:styleId="41">
    <w:name w:val="无间隔1"/>
    <w:qFormat/>
    <w:uiPriority w:val="1"/>
    <w:rPr>
      <w:rFonts w:ascii="Times New Roman" w:hAnsi="Times New Roman" w:eastAsia="宋体" w:cs="Times New Roman"/>
      <w:lang w:val="en-US" w:eastAsia="zh-CN" w:bidi="ar-SA"/>
    </w:rPr>
  </w:style>
  <w:style w:type="paragraph" w:customStyle="1" w:styleId="42">
    <w:name w:val="正文 缩进2字符"/>
    <w:basedOn w:val="1"/>
    <w:qFormat/>
    <w:uiPriority w:val="0"/>
    <w:pPr>
      <w:spacing w:line="288" w:lineRule="auto"/>
    </w:pPr>
    <w:rPr>
      <w:rFonts w:ascii="宋体" w:hAnsi="宋体"/>
      <w:sz w:val="28"/>
      <w:szCs w:val="28"/>
    </w:rPr>
  </w:style>
  <w:style w:type="table" w:customStyle="1" w:styleId="43">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image" Target="media/image1.png"/><Relationship Id="rId21" Type="http://schemas.openxmlformats.org/officeDocument/2006/relationships/theme" Target="theme/theme1.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header" Target="header8.xml"/><Relationship Id="rId17" Type="http://schemas.openxmlformats.org/officeDocument/2006/relationships/header" Target="header7.xml"/><Relationship Id="rId16" Type="http://schemas.openxmlformats.org/officeDocument/2006/relationships/footer" Target="footer8.xml"/><Relationship Id="rId15" Type="http://schemas.openxmlformats.org/officeDocument/2006/relationships/header" Target="header6.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144</Pages>
  <Words>19294</Words>
  <Characters>20084</Characters>
  <Lines>0</Lines>
  <Paragraphs>0</Paragraphs>
  <TotalTime>6</TotalTime>
  <ScaleCrop>false</ScaleCrop>
  <LinksUpToDate>false</LinksUpToDate>
  <CharactersWithSpaces>20501</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2023-10-19T10:15:00Z</dcterms:created>
  <dc:creator>86138</dc:creator>
  <cp:lastModifiedBy>一叶知秋</cp:lastModifiedBy>
  <dcterms:modified xsi:type="dcterms:W3CDTF">2024-11-04T10:06:32Z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D4DE2885F66E4701A4284AC0DE0147C8_13</vt:lpwstr>
  </property>
</Properties>
</file>